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032026_080937.xml.htm"/>
      <w:bookmarkStart w:id="1" w:name="ksform409032026_08093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Coloma Jason V</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MAZE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171 OYSTER POINT BOULEVARD,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Maze Therapeutics, Inc.</w:t>
              </w:r>
            </w:hyperlink>
            <w:r>
              <w:rPr/>
              <w:t xml:space="preserve"> [ </w:t>
            </w:r>
            <w:r>
              <w:rPr>
                <w:rFonts w:ascii="Times;serif" w:hAnsi="Times;serif"/>
                <w:color w:val="0000FF"/>
                <w:sz w:val="24"/>
                <w:shd w:fill="FFFFFF" w:val="clear"/>
              </w:rPr>
              <w:t>MAZE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38"/>
        <w:gridCol w:w="919"/>
        <w:gridCol w:w="790"/>
        <w:gridCol w:w="610"/>
        <w:gridCol w:w="338"/>
        <w:gridCol w:w="904"/>
        <w:gridCol w:w="416"/>
        <w:gridCol w:w="994"/>
        <w:gridCol w:w="1106"/>
        <w:gridCol w:w="959"/>
        <w:gridCol w:w="12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3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1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3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9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3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2,593</w:t>
            </w:r>
          </w:p>
        </w:tc>
        <w:tc>
          <w:tcPr>
            <w:tcW w:w="4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26.307</w:t>
            </w:r>
            <w:r>
              <w:rPr>
                <w:rFonts w:ascii="Times;serif" w:hAnsi="Times;serif"/>
                <w:color w:val="008000"/>
                <w:position w:val="7"/>
                <w:sz w:val="16"/>
                <w:sz w:val="20"/>
                <w:shd w:fill="FFFFFF" w:val="clear"/>
              </w:rPr>
              <w:t>(2)</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18,151</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The Coloma 2021 Irrevocable Trust</w:t>
            </w:r>
            <w:r>
              <w:rPr>
                <w:rFonts w:ascii="Times;serif" w:hAnsi="Times;serif"/>
                <w:color w:val="008000"/>
                <w:position w:val="7"/>
                <w:sz w:val="16"/>
                <w:sz w:val="20"/>
                <w:shd w:fill="FFFFFF" w:val="clear"/>
              </w:rPr>
              <w:t>(3)</w:t>
            </w:r>
          </w:p>
        </w:tc>
      </w:tr>
      <w:tr>
        <w:trPr/>
        <w:tc>
          <w:tcPr>
            <w:tcW w:w="193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31,908</w:t>
            </w:r>
          </w:p>
        </w:tc>
        <w:tc>
          <w:tcPr>
            <w:tcW w:w="4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26.2876</w:t>
            </w:r>
            <w:r>
              <w:rPr>
                <w:rFonts w:ascii="Times;serif" w:hAnsi="Times;serif"/>
                <w:color w:val="008000"/>
                <w:position w:val="7"/>
                <w:sz w:val="16"/>
                <w:sz w:val="20"/>
                <w:shd w:fill="FFFFFF" w:val="clear"/>
              </w:rPr>
              <w:t>(4)</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223,355</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Coloma Family Trust</w:t>
            </w:r>
            <w:r>
              <w:rPr>
                <w:rFonts w:ascii="Times;serif" w:hAnsi="Times;serif"/>
                <w:color w:val="008000"/>
                <w:position w:val="7"/>
                <w:sz w:val="16"/>
                <w:sz w:val="20"/>
                <w:shd w:fill="FFFFFF" w:val="clear"/>
              </w:rPr>
              <w:t>(5)</w:t>
            </w:r>
          </w:p>
        </w:tc>
      </w:tr>
      <w:tr>
        <w:trPr/>
        <w:tc>
          <w:tcPr>
            <w:tcW w:w="193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9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w:t>
            </w:r>
          </w:p>
        </w:tc>
        <w:tc>
          <w:tcPr>
            <w:tcW w:w="4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9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w:t>
            </w:r>
          </w:p>
        </w:tc>
        <w:tc>
          <w:tcPr>
            <w:tcW w:w="9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effected pursuant to a Rule 10b5-1 trading plan adopted by the reporting person on February 6,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price in Column 4 is a weighted average price. These shares were sold in multiple transactions at prices ranging from $26.14 to $26.50 per share,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and in footnote 4 of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securities are directly held by The Coloma 2021 Irrevocable Trust, for which the reporting person and his spouse serve as co-trustees.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reported price in Column 4 is a weighted average price. These shares were sold in multiple transactions at prices ranging from $26.13 to $26.555 per share,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These securities are directly held by the Coloma Family Trust, for which the reporting person and his spouse serve as co-trustees.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Each restricted stock unit represents a contingent right to receive one share of the Issuer's Common Stock upon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award vested or vests as to 1/2 of the total award on September 1, 2026 and September 1, 2027, subject to the reporting person's continued service to the Issuer on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These restricted stock units do not expire; they either vest or are cancelled prior to the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Courtney Phillips,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676170" TargetMode="External"/><Relationship Id="rId5" Type="http://schemas.openxmlformats.org/officeDocument/2006/relationships/hyperlink" Target="http://www.sec.gov/cgi-bin/browse-edgar?action=getcompany&amp;CIK=000184229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865</Words>
  <Characters>4585</Characters>
  <CharactersWithSpaces>5345</CharactersWithSpaces>
  <Paragraphs>134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