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Maze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00" w:type="dxa"/>
        <w:tblCellMar>
          <w:top w:w="0" w:type="dxa"/>
          <w:left w:w="0" w:type="dxa"/>
          <w:bottom w:w="0" w:type="dxa"/>
          <w:right w:w="0" w:type="dxa"/>
        </w:tblCellMar>
      </w:tblPr>
      <w:tr>
        <w:trPr>
          <w:trHeight w:val="214"/>
        </w:trPr>
        <w:tc>
          <w:tcPr>
            <w:tcW w:w="3560" w:type="dxa"/>
            <w:vAlign w:val="bottom"/>
          </w:tcPr>
          <w:p>
            <w:pPr>
              <w:jc w:val="center"/>
              <w:ind w:right="9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001-42490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82-2635018</w:t>
            </w:r>
          </w:p>
        </w:tc>
      </w:tr>
      <w:tr>
        <w:trPr>
          <w:trHeight w:val="148"/>
        </w:trPr>
        <w:tc>
          <w:tcPr>
            <w:tcW w:w="3560" w:type="dxa"/>
            <w:vAlign w:val="bottom"/>
          </w:tcPr>
          <w:p>
            <w:pPr>
              <w:jc w:val="center"/>
              <w:ind w:right="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5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rPr>
              <w:t>171 Oyster Point Blvd., Suite 300</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60" w:type="dxa"/>
            <w:vAlign w:val="bottom"/>
          </w:tcPr>
          <w:p>
            <w:pPr>
              <w:jc w:val="center"/>
              <w:ind w:right="939"/>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356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650 850-5070</w:t>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MAZE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On June 8, 2026, Maze Therapeutics, Inc. (the “Company”) held its 2026 annual meeting of stockholders (the “Annual Meeting”). 44,660,029 shares of common stock, representing approximately 89.75% of the total outstanding shares entitled to vote at the Annual Meeting, were present virtually or represented by proxy, which constituted a quorum for the transaction of business. The Company’s stockholders who were present virtually or represented by proxy voted on two proposals at the Annual Meeting, each of which is described below and more fully in the Company’s definitive proxy statement filed with the United States Securities and Exchange Commission on April 28, 2026 (the “Proxy Statement”).</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 the Annual Meeting, the Company’s stockholders voted on the following proposals:</w:t>
      </w:r>
    </w:p>
    <w:p>
      <w:pPr>
        <w:spacing w:after="0" w:line="131" w:lineRule="exact"/>
        <w:rPr>
          <w:sz w:val="20"/>
          <w:szCs w:val="20"/>
          <w:color w:val="auto"/>
        </w:rPr>
      </w:pPr>
    </w:p>
    <w:p>
      <w:pPr>
        <w:ind w:left="424" w:right="84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each of Jason Coloma, Ph.D. and Neil Kumar, Ph.D. as a Class I director to serve until the Company’s 2029 annual meeting of stockholders and until such director’s successor has been duly elected and qualified, or until such director’s earlier death, resignation, disqualification, retirement, or removal.</w:t>
      </w:r>
    </w:p>
    <w:p>
      <w:pPr>
        <w:spacing w:after="0" w:line="81" w:lineRule="exact"/>
        <w:rPr>
          <w:rFonts w:ascii="Times New Roman" w:cs="Times New Roman" w:eastAsia="Times New Roman" w:hAnsi="Times New Roman"/>
          <w:sz w:val="18"/>
          <w:szCs w:val="18"/>
          <w:color w:val="auto"/>
        </w:rPr>
      </w:pPr>
    </w:p>
    <w:p>
      <w:pPr>
        <w:ind w:left="424" w:right="96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the Company’s independent registered public accounting firm for the year ending December 31, 2026.</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final voting results for each of these proposals are as follows: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920" w:type="dxa"/>
            <w:vAlign w:val="bottom"/>
          </w:tcPr>
          <w:p>
            <w:pPr>
              <w:spacing w:after="0"/>
              <w:rPr>
                <w:sz w:val="16"/>
                <w:szCs w:val="16"/>
                <w:color w:val="auto"/>
              </w:rPr>
            </w:pPr>
          </w:p>
        </w:tc>
        <w:tc>
          <w:tcPr>
            <w:tcW w:w="8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Jason Coloma, Ph.D.</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35,792,536</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5,926,467</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2,941,026</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Neil Kumar, Ph.D.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34,056,425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7,662,578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2,941,026</w:t>
            </w:r>
          </w:p>
        </w:tc>
        <w:tc>
          <w:tcPr>
            <w:tcW w:w="60" w:type="dxa"/>
            <w:vAlign w:val="bottom"/>
          </w:tcPr>
          <w:p>
            <w:pPr>
              <w:spacing w:after="0"/>
              <w:rPr>
                <w:sz w:val="20"/>
                <w:szCs w:val="20"/>
                <w:color w:val="auto"/>
              </w:rPr>
            </w:pPr>
          </w:p>
        </w:tc>
      </w:tr>
    </w:tbl>
    <w:p>
      <w:pPr>
        <w:spacing w:after="0" w:line="17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Each of the two nominees for director was elected to serve until the Company’s 2029 annual meeting of stockholders and until such director’s successor has been duly elected and qualified, or until such director’s earlier death, resignation, disqualification, retirement, or removal.</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250"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178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640" w:type="dxa"/>
            <w:vAlign w:val="bottom"/>
            <w:gridSpan w:val="3"/>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860" w:type="dxa"/>
            <w:vAlign w:val="bottom"/>
            <w:gridSpan w:val="3"/>
          </w:tcPr>
          <w:p>
            <w:pPr>
              <w:jc w:val="center"/>
              <w:ind w:left="6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520" w:type="dxa"/>
            <w:vAlign w:val="bottom"/>
            <w:gridSpan w:val="3"/>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44,557,778</w:t>
            </w:r>
          </w:p>
        </w:tc>
        <w:tc>
          <w:tcPr>
            <w:tcW w:w="1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728</w:t>
            </w:r>
          </w:p>
        </w:tc>
        <w:tc>
          <w:tcPr>
            <w:tcW w:w="7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101,523</w:t>
            </w:r>
          </w:p>
        </w:tc>
        <w:tc>
          <w:tcPr>
            <w:tcW w:w="7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Ernst &amp; Young LLP as the Company’s independent registered public accounting firm for the year ending December 31, 2026.</w:t>
      </w:r>
    </w:p>
    <w:p>
      <w:pPr>
        <w:sectPr>
          <w:pgSz w:w="11900" w:h="16838" w:orient="portrait"/>
          <w:cols w:equalWidth="0" w:num="1">
            <w:col w:w="11004"/>
          </w:cols>
          <w:pgMar w:left="436" w:top="293"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Courtney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Courtney Phillips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2026-06-10T15:23:07Z</dcterms:created>
  <dcterms:modified xsi:type="dcterms:W3CDTF">2026-06-10T15:23:07Z</dcterms:modified>
</cp:coreProperties>
</file>