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02026_080650.xml.htm"/>
      <w:bookmarkStart w:id="1" w:name="ksform406102026_0806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Hoppenot Herve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and be fully exercisable on the earlier of (i) the date of the issuer's 2027 annual stockholders meeting or (ii) June 8, 2027, subject to the reporting person's continued service to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49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3325</Characters>
  <CharactersWithSpaces>3878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