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02026_080600.xml.htm"/>
      <w:bookmarkStart w:id="1" w:name="ksform406102026_0806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SCHELLER RICHARD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MAZE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BOULEVARD,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Maze Therapeutics, Inc.</w:t>
              </w:r>
            </w:hyperlink>
            <w:r>
              <w:rPr/>
              <w:t xml:space="preserve"> [ </w:t>
            </w:r>
            <w:r>
              <w:rPr>
                <w:rFonts w:ascii="Times;serif" w:hAnsi="Times;serif"/>
                <w:color w:val="0000FF"/>
                <w:sz w:val="24"/>
                <w:shd w:fill="FFFFFF" w:val="clear"/>
              </w:rPr>
              <w:t>MAZE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23.58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shall vest and be fully exercisable on the earlier of (i) the date of the issuer's 2027 annual stockholders meeting or (ii) June 8, 2027, subject to the reporting person's continued service to the issuer on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Courtney Phillips,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4133" TargetMode="External"/><Relationship Id="rId5" Type="http://schemas.openxmlformats.org/officeDocument/2006/relationships/hyperlink" Target="http://www.sec.gov/cgi-bin/browse-edgar?action=getcompany&amp;CIK=00018422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3328</Characters>
  <CharactersWithSpaces>3882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