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02026_080629.xml.htm"/>
      <w:bookmarkStart w:id="1" w:name="ksform406102026_0806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SPIEGELMAN DANIEL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and be fully exercisable on the earlier of (i) the date of the issuer's 2027 annual stockholders meeting or (ii) June 8, 2027, subject to the reporting person's continued service to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403"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3329</Characters>
  <CharactersWithSpaces>3883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