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left="480" w:right="920"/>
        <w:spacing w:after="0" w:line="251" w:lineRule="auto"/>
        <w:rPr>
          <w:sz w:val="20"/>
          <w:szCs w:val="20"/>
          <w:color w:val="auto"/>
        </w:rPr>
      </w:pPr>
      <w:r>
        <w:rPr>
          <w:rFonts w:ascii="Arial" w:cs="Arial" w:eastAsia="Arial" w:hAnsi="Arial"/>
          <w:sz w:val="13"/>
          <w:szCs w:val="13"/>
          <w:b w:val="1"/>
          <w:bCs w:val="1"/>
          <w:color w:val="auto"/>
        </w:rPr>
        <w:t>As confidentially submitted to the Securities and Exchange Commission on June 21, 2024 This draft registration statement has not been publicly filed with the Securities and Exchange Commission and all information herein remains strictly confidential.</w:t>
      </w:r>
    </w:p>
    <w:p>
      <w:pPr>
        <w:spacing w:after="0" w:line="147" w:lineRule="exact"/>
        <w:rPr>
          <w:sz w:val="24"/>
          <w:szCs w:val="24"/>
          <w:color w:val="auto"/>
        </w:rPr>
      </w:pPr>
    </w:p>
    <w:p>
      <w:pPr>
        <w:ind w:left="9100"/>
        <w:spacing w:after="0"/>
        <w:rPr>
          <w:sz w:val="20"/>
          <w:szCs w:val="20"/>
          <w:color w:val="auto"/>
        </w:rPr>
      </w:pPr>
      <w:r>
        <w:rPr>
          <w:rFonts w:ascii="Arial" w:cs="Arial" w:eastAsia="Arial" w:hAnsi="Arial"/>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42545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5"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UNITED STATES</w:t>
      </w:r>
    </w:p>
    <w:p>
      <w:pPr>
        <w:spacing w:after="0" w:line="43"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SECURITIES AND EXCHANGE COMMISSION</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165100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2"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FORM S-1</w:t>
      </w:r>
    </w:p>
    <w:p>
      <w:pPr>
        <w:spacing w:after="0" w:line="43"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REGISTRATION STATEMENT</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165100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2"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MAZE THERAPEUTICS, INC.</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158115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tbl>
      <w:tblPr>
        <w:tblLayout w:type="fixed"/>
        <w:tblInd w:w="520" w:type="dxa"/>
        <w:tblCellMar>
          <w:top w:w="0" w:type="dxa"/>
          <w:left w:w="0" w:type="dxa"/>
          <w:bottom w:w="0" w:type="dxa"/>
          <w:right w:w="0" w:type="dxa"/>
        </w:tblCellMar>
      </w:tblPr>
      <w:tr>
        <w:trPr>
          <w:trHeight w:val="172"/>
        </w:trPr>
        <w:tc>
          <w:tcPr>
            <w:tcW w:w="3620" w:type="dxa"/>
            <w:vAlign w:val="bottom"/>
          </w:tcPr>
          <w:p>
            <w:pPr>
              <w:jc w:val="center"/>
              <w:ind w:right="610"/>
              <w:spacing w:after="0"/>
              <w:rPr>
                <w:sz w:val="20"/>
                <w:szCs w:val="20"/>
                <w:color w:val="auto"/>
              </w:rPr>
            </w:pPr>
            <w:r>
              <w:rPr>
                <w:rFonts w:ascii="Arial" w:cs="Arial" w:eastAsia="Arial" w:hAnsi="Arial"/>
                <w:sz w:val="15"/>
                <w:szCs w:val="15"/>
                <w:b w:val="1"/>
                <w:bCs w:val="1"/>
                <w:color w:val="auto"/>
              </w:rPr>
              <w:t>Delaware</w:t>
            </w:r>
          </w:p>
        </w:tc>
        <w:tc>
          <w:tcPr>
            <w:tcW w:w="3520" w:type="dxa"/>
            <w:vAlign w:val="bottom"/>
          </w:tcPr>
          <w:p>
            <w:pPr>
              <w:jc w:val="center"/>
              <w:ind w:right="270"/>
              <w:spacing w:after="0"/>
              <w:rPr>
                <w:sz w:val="20"/>
                <w:szCs w:val="20"/>
                <w:color w:val="auto"/>
              </w:rPr>
            </w:pPr>
            <w:r>
              <w:rPr>
                <w:rFonts w:ascii="Arial" w:cs="Arial" w:eastAsia="Arial" w:hAnsi="Arial"/>
                <w:sz w:val="15"/>
                <w:szCs w:val="15"/>
                <w:b w:val="1"/>
                <w:bCs w:val="1"/>
                <w:color w:val="auto"/>
              </w:rPr>
              <w:t>2836</w:t>
            </w:r>
          </w:p>
        </w:tc>
        <w:tc>
          <w:tcPr>
            <w:tcW w:w="2420" w:type="dxa"/>
            <w:vAlign w:val="bottom"/>
          </w:tcPr>
          <w:p>
            <w:pPr>
              <w:jc w:val="center"/>
              <w:ind w:left="930"/>
              <w:spacing w:after="0"/>
              <w:rPr>
                <w:sz w:val="20"/>
                <w:szCs w:val="20"/>
                <w:color w:val="auto"/>
              </w:rPr>
            </w:pPr>
            <w:r>
              <w:rPr>
                <w:rFonts w:ascii="Arial" w:cs="Arial" w:eastAsia="Arial" w:hAnsi="Arial"/>
                <w:sz w:val="15"/>
                <w:szCs w:val="15"/>
                <w:b w:val="1"/>
                <w:bCs w:val="1"/>
                <w:color w:val="auto"/>
              </w:rPr>
              <w:t>82-2635018</w:t>
            </w:r>
          </w:p>
        </w:tc>
      </w:tr>
      <w:tr>
        <w:trPr>
          <w:trHeight w:val="148"/>
        </w:trPr>
        <w:tc>
          <w:tcPr>
            <w:tcW w:w="3620" w:type="dxa"/>
            <w:vAlign w:val="bottom"/>
          </w:tcPr>
          <w:p>
            <w:pPr>
              <w:jc w:val="center"/>
              <w:ind w:right="610"/>
              <w:spacing w:after="0"/>
              <w:rPr>
                <w:sz w:val="20"/>
                <w:szCs w:val="20"/>
                <w:color w:val="auto"/>
              </w:rPr>
            </w:pPr>
            <w:r>
              <w:rPr>
                <w:rFonts w:ascii="Arial" w:cs="Arial" w:eastAsia="Arial" w:hAnsi="Arial"/>
                <w:sz w:val="13"/>
                <w:szCs w:val="13"/>
                <w:b w:val="1"/>
                <w:bCs w:val="1"/>
                <w:color w:val="auto"/>
              </w:rPr>
              <w:t>(State or other jurisdiction of incorporation or</w:t>
            </w:r>
          </w:p>
        </w:tc>
        <w:tc>
          <w:tcPr>
            <w:tcW w:w="3520" w:type="dxa"/>
            <w:vAlign w:val="bottom"/>
          </w:tcPr>
          <w:p>
            <w:pPr>
              <w:jc w:val="center"/>
              <w:ind w:right="250"/>
              <w:spacing w:after="0"/>
              <w:rPr>
                <w:sz w:val="20"/>
                <w:szCs w:val="20"/>
                <w:color w:val="auto"/>
              </w:rPr>
            </w:pPr>
            <w:r>
              <w:rPr>
                <w:rFonts w:ascii="Arial" w:cs="Arial" w:eastAsia="Arial" w:hAnsi="Arial"/>
                <w:sz w:val="13"/>
                <w:szCs w:val="13"/>
                <w:b w:val="1"/>
                <w:bCs w:val="1"/>
                <w:color w:val="auto"/>
              </w:rPr>
              <w:t>(Primary Standard Industrial</w:t>
            </w:r>
          </w:p>
        </w:tc>
        <w:tc>
          <w:tcPr>
            <w:tcW w:w="2420" w:type="dxa"/>
            <w:vAlign w:val="bottom"/>
          </w:tcPr>
          <w:p>
            <w:pPr>
              <w:jc w:val="center"/>
              <w:ind w:left="930"/>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620" w:type="dxa"/>
            <w:vAlign w:val="bottom"/>
          </w:tcPr>
          <w:p>
            <w:pPr>
              <w:jc w:val="center"/>
              <w:ind w:right="630"/>
              <w:spacing w:after="0"/>
              <w:rPr>
                <w:sz w:val="20"/>
                <w:szCs w:val="20"/>
                <w:color w:val="auto"/>
              </w:rPr>
            </w:pPr>
            <w:r>
              <w:rPr>
                <w:rFonts w:ascii="Arial" w:cs="Arial" w:eastAsia="Arial" w:hAnsi="Arial"/>
                <w:sz w:val="13"/>
                <w:szCs w:val="13"/>
                <w:b w:val="1"/>
                <w:bCs w:val="1"/>
                <w:color w:val="auto"/>
              </w:rPr>
              <w:t>organization)</w:t>
            </w:r>
          </w:p>
        </w:tc>
        <w:tc>
          <w:tcPr>
            <w:tcW w:w="3520" w:type="dxa"/>
            <w:vAlign w:val="bottom"/>
          </w:tcPr>
          <w:p>
            <w:pPr>
              <w:jc w:val="center"/>
              <w:ind w:right="250"/>
              <w:spacing w:after="0"/>
              <w:rPr>
                <w:sz w:val="20"/>
                <w:szCs w:val="20"/>
                <w:color w:val="auto"/>
              </w:rPr>
            </w:pPr>
            <w:r>
              <w:rPr>
                <w:rFonts w:ascii="Arial" w:cs="Arial" w:eastAsia="Arial" w:hAnsi="Arial"/>
                <w:sz w:val="13"/>
                <w:szCs w:val="13"/>
                <w:b w:val="1"/>
                <w:bCs w:val="1"/>
                <w:color w:val="auto"/>
              </w:rPr>
              <w:t>Classification Code Number)</w:t>
            </w:r>
          </w:p>
        </w:tc>
        <w:tc>
          <w:tcPr>
            <w:tcW w:w="2420" w:type="dxa"/>
            <w:vAlign w:val="bottom"/>
          </w:tcPr>
          <w:p>
            <w:pPr>
              <w:jc w:val="center"/>
              <w:ind w:left="930"/>
              <w:spacing w:after="0"/>
              <w:rPr>
                <w:sz w:val="20"/>
                <w:szCs w:val="20"/>
                <w:color w:val="auto"/>
              </w:rPr>
            </w:pPr>
            <w:r>
              <w:rPr>
                <w:rFonts w:ascii="Arial" w:cs="Arial" w:eastAsia="Arial" w:hAnsi="Arial"/>
                <w:sz w:val="13"/>
                <w:szCs w:val="13"/>
                <w:b w:val="1"/>
                <w:bCs w:val="1"/>
                <w:color w:val="auto"/>
              </w:rPr>
              <w:t>Identification Number)</w:t>
            </w:r>
          </w:p>
        </w:tc>
      </w:tr>
    </w:tbl>
    <w:p>
      <w:pPr>
        <w:spacing w:after="0" w:line="120"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171 Oyster Point Blvd., Suite 300</w:t>
      </w:r>
    </w:p>
    <w:p>
      <w:pPr>
        <w:jc w:val="center"/>
        <w:ind w:right="-179"/>
        <w:spacing w:after="0" w:line="233" w:lineRule="auto"/>
        <w:rPr>
          <w:sz w:val="20"/>
          <w:szCs w:val="20"/>
          <w:color w:val="auto"/>
        </w:rPr>
      </w:pPr>
      <w:r>
        <w:rPr>
          <w:rFonts w:ascii="Arial" w:cs="Arial" w:eastAsia="Arial" w:hAnsi="Arial"/>
          <w:sz w:val="15"/>
          <w:szCs w:val="15"/>
          <w:b w:val="1"/>
          <w:bCs w:val="1"/>
          <w:color w:val="auto"/>
        </w:rPr>
        <w:t>South San Francisco, California 94080</w:t>
      </w:r>
    </w:p>
    <w:p>
      <w:pPr>
        <w:jc w:val="center"/>
        <w:ind w:right="-179"/>
        <w:spacing w:after="0" w:line="229" w:lineRule="auto"/>
        <w:rPr>
          <w:sz w:val="20"/>
          <w:szCs w:val="20"/>
          <w:color w:val="auto"/>
        </w:rPr>
      </w:pPr>
      <w:r>
        <w:rPr>
          <w:rFonts w:ascii="Arial" w:cs="Arial" w:eastAsia="Arial" w:hAnsi="Arial"/>
          <w:sz w:val="15"/>
          <w:szCs w:val="15"/>
          <w:b w:val="1"/>
          <w:bCs w:val="1"/>
          <w:color w:val="auto"/>
        </w:rPr>
        <w:t>(650) 850-5070</w:t>
      </w: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9"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Jason Coloma, Ph.D.</w:t>
      </w:r>
    </w:p>
    <w:p>
      <w:pPr>
        <w:jc w:val="center"/>
        <w:ind w:right="-179"/>
        <w:spacing w:after="0" w:line="233" w:lineRule="auto"/>
        <w:rPr>
          <w:sz w:val="20"/>
          <w:szCs w:val="20"/>
          <w:color w:val="auto"/>
        </w:rPr>
      </w:pPr>
      <w:r>
        <w:rPr>
          <w:rFonts w:ascii="Arial" w:cs="Arial" w:eastAsia="Arial" w:hAnsi="Arial"/>
          <w:sz w:val="15"/>
          <w:szCs w:val="15"/>
          <w:b w:val="1"/>
          <w:bCs w:val="1"/>
          <w:color w:val="auto"/>
        </w:rPr>
        <w:t>Chief Executive Officer</w:t>
      </w:r>
    </w:p>
    <w:p>
      <w:pPr>
        <w:jc w:val="center"/>
        <w:ind w:right="-179"/>
        <w:spacing w:after="0" w:line="225" w:lineRule="auto"/>
        <w:rPr>
          <w:sz w:val="20"/>
          <w:szCs w:val="20"/>
          <w:color w:val="auto"/>
        </w:rPr>
      </w:pPr>
      <w:r>
        <w:rPr>
          <w:rFonts w:ascii="Arial" w:cs="Arial" w:eastAsia="Arial" w:hAnsi="Arial"/>
          <w:sz w:val="15"/>
          <w:szCs w:val="15"/>
          <w:b w:val="1"/>
          <w:bCs w:val="1"/>
          <w:color w:val="auto"/>
        </w:rPr>
        <w:t>Maze Therapeutics, Inc.</w:t>
      </w:r>
    </w:p>
    <w:p>
      <w:pPr>
        <w:jc w:val="center"/>
        <w:ind w:right="-179"/>
        <w:spacing w:after="0" w:line="225" w:lineRule="auto"/>
        <w:rPr>
          <w:sz w:val="20"/>
          <w:szCs w:val="20"/>
          <w:color w:val="auto"/>
        </w:rPr>
      </w:pPr>
      <w:r>
        <w:rPr>
          <w:rFonts w:ascii="Arial" w:cs="Arial" w:eastAsia="Arial" w:hAnsi="Arial"/>
          <w:sz w:val="15"/>
          <w:szCs w:val="15"/>
          <w:b w:val="1"/>
          <w:bCs w:val="1"/>
          <w:color w:val="auto"/>
        </w:rPr>
        <w:t>171 Oyster Point Blvd., Suite 300</w:t>
      </w:r>
    </w:p>
    <w:p>
      <w:pPr>
        <w:jc w:val="center"/>
        <w:ind w:right="-179"/>
        <w:spacing w:after="0" w:line="226" w:lineRule="auto"/>
        <w:rPr>
          <w:sz w:val="20"/>
          <w:szCs w:val="20"/>
          <w:color w:val="auto"/>
        </w:rPr>
      </w:pPr>
      <w:r>
        <w:rPr>
          <w:rFonts w:ascii="Arial" w:cs="Arial" w:eastAsia="Arial" w:hAnsi="Arial"/>
          <w:sz w:val="15"/>
          <w:szCs w:val="15"/>
          <w:b w:val="1"/>
          <w:bCs w:val="1"/>
          <w:color w:val="auto"/>
        </w:rPr>
        <w:t>South San Francisco, California 94080</w:t>
      </w:r>
    </w:p>
    <w:p>
      <w:pPr>
        <w:jc w:val="center"/>
        <w:ind w:right="-179"/>
        <w:spacing w:after="0" w:line="229" w:lineRule="auto"/>
        <w:rPr>
          <w:sz w:val="20"/>
          <w:szCs w:val="20"/>
          <w:color w:val="auto"/>
        </w:rPr>
      </w:pPr>
      <w:r>
        <w:rPr>
          <w:rFonts w:ascii="Arial" w:cs="Arial" w:eastAsia="Arial" w:hAnsi="Arial"/>
          <w:sz w:val="15"/>
          <w:szCs w:val="15"/>
          <w:b w:val="1"/>
          <w:bCs w:val="1"/>
          <w:color w:val="auto"/>
        </w:rPr>
        <w:t>(650) 850-5070</w:t>
      </w:r>
    </w:p>
    <w:p>
      <w:pPr>
        <w:jc w:val="center"/>
        <w:ind w:right="-17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6" w:lineRule="exact"/>
        <w:rPr>
          <w:sz w:val="24"/>
          <w:szCs w:val="24"/>
          <w:color w:val="auto"/>
        </w:rPr>
      </w:pPr>
    </w:p>
    <w:tbl>
      <w:tblPr>
        <w:tblLayout w:type="fixed"/>
        <w:tblInd w:w="1880" w:type="dxa"/>
        <w:tblCellMar>
          <w:top w:w="0" w:type="dxa"/>
          <w:left w:w="0" w:type="dxa"/>
          <w:bottom w:w="0" w:type="dxa"/>
          <w:right w:w="0" w:type="dxa"/>
        </w:tblCellMar>
      </w:tblPr>
      <w:tr>
        <w:trPr>
          <w:trHeight w:val="221"/>
        </w:trPr>
        <w:tc>
          <w:tcPr>
            <w:tcW w:w="2700" w:type="dxa"/>
            <w:vAlign w:val="bottom"/>
          </w:tcPr>
          <w:p>
            <w:pPr>
              <w:spacing w:after="0"/>
              <w:rPr>
                <w:sz w:val="19"/>
                <w:szCs w:val="19"/>
                <w:color w:val="auto"/>
              </w:rPr>
            </w:pPr>
          </w:p>
        </w:tc>
        <w:tc>
          <w:tcPr>
            <w:tcW w:w="4800" w:type="dxa"/>
            <w:vAlign w:val="bottom"/>
          </w:tcPr>
          <w:p>
            <w:pPr>
              <w:ind w:left="640"/>
              <w:spacing w:after="0"/>
              <w:rPr>
                <w:sz w:val="20"/>
                <w:szCs w:val="20"/>
                <w:color w:val="auto"/>
              </w:rPr>
            </w:pPr>
            <w:r>
              <w:rPr>
                <w:rFonts w:ascii="Arial" w:cs="Arial" w:eastAsia="Arial" w:hAnsi="Arial"/>
                <w:sz w:val="16"/>
                <w:szCs w:val="16"/>
                <w:b w:val="1"/>
                <w:bCs w:val="1"/>
                <w:i w:val="1"/>
                <w:iCs w:val="1"/>
                <w:color w:val="auto"/>
              </w:rPr>
              <w:t>Copies to:</w:t>
            </w:r>
          </w:p>
        </w:tc>
      </w:tr>
      <w:tr>
        <w:trPr>
          <w:trHeight w:val="263"/>
        </w:trPr>
        <w:tc>
          <w:tcPr>
            <w:tcW w:w="2700" w:type="dxa"/>
            <w:vAlign w:val="bottom"/>
          </w:tcPr>
          <w:p>
            <w:pPr>
              <w:jc w:val="center"/>
              <w:ind w:right="613"/>
              <w:spacing w:after="0"/>
              <w:rPr>
                <w:sz w:val="20"/>
                <w:szCs w:val="20"/>
                <w:color w:val="auto"/>
              </w:rPr>
            </w:pPr>
            <w:r>
              <w:rPr>
                <w:rFonts w:ascii="Arial" w:cs="Arial" w:eastAsia="Arial" w:hAnsi="Arial"/>
                <w:sz w:val="13"/>
                <w:szCs w:val="13"/>
                <w:b w:val="1"/>
                <w:bCs w:val="1"/>
                <w:color w:val="auto"/>
              </w:rPr>
              <w:t>Effie Toshav, Esq.</w:t>
            </w:r>
          </w:p>
        </w:tc>
        <w:tc>
          <w:tcPr>
            <w:tcW w:w="4800" w:type="dxa"/>
            <w:vAlign w:val="bottom"/>
          </w:tcPr>
          <w:p>
            <w:pPr>
              <w:jc w:val="center"/>
              <w:ind w:left="2891"/>
              <w:spacing w:after="0"/>
              <w:rPr>
                <w:sz w:val="20"/>
                <w:szCs w:val="20"/>
                <w:color w:val="auto"/>
              </w:rPr>
            </w:pPr>
            <w:r>
              <w:rPr>
                <w:rFonts w:ascii="Arial" w:cs="Arial" w:eastAsia="Arial" w:hAnsi="Arial"/>
                <w:sz w:val="13"/>
                <w:szCs w:val="13"/>
                <w:b w:val="1"/>
                <w:bCs w:val="1"/>
                <w:color w:val="auto"/>
              </w:rPr>
              <w:t>Alan Denenberg, Esq.</w:t>
            </w:r>
          </w:p>
        </w:tc>
      </w:tr>
      <w:tr>
        <w:trPr>
          <w:trHeight w:val="149"/>
        </w:trPr>
        <w:tc>
          <w:tcPr>
            <w:tcW w:w="2700" w:type="dxa"/>
            <w:vAlign w:val="bottom"/>
          </w:tcPr>
          <w:p>
            <w:pPr>
              <w:jc w:val="center"/>
              <w:ind w:right="613"/>
              <w:spacing w:after="0"/>
              <w:rPr>
                <w:sz w:val="20"/>
                <w:szCs w:val="20"/>
                <w:color w:val="auto"/>
              </w:rPr>
            </w:pPr>
            <w:r>
              <w:rPr>
                <w:rFonts w:ascii="Arial" w:cs="Arial" w:eastAsia="Arial" w:hAnsi="Arial"/>
                <w:sz w:val="13"/>
                <w:szCs w:val="13"/>
                <w:b w:val="1"/>
                <w:bCs w:val="1"/>
                <w:color w:val="auto"/>
              </w:rPr>
              <w:t>Amanda Rose, Esq.</w:t>
            </w:r>
          </w:p>
        </w:tc>
        <w:tc>
          <w:tcPr>
            <w:tcW w:w="4800" w:type="dxa"/>
            <w:vAlign w:val="bottom"/>
          </w:tcPr>
          <w:p>
            <w:pPr>
              <w:jc w:val="center"/>
              <w:ind w:left="2891"/>
              <w:spacing w:after="0"/>
              <w:rPr>
                <w:sz w:val="20"/>
                <w:szCs w:val="20"/>
                <w:color w:val="auto"/>
              </w:rPr>
            </w:pPr>
            <w:r>
              <w:rPr>
                <w:rFonts w:ascii="Arial" w:cs="Arial" w:eastAsia="Arial" w:hAnsi="Arial"/>
                <w:sz w:val="13"/>
                <w:szCs w:val="13"/>
                <w:b w:val="1"/>
                <w:bCs w:val="1"/>
                <w:color w:val="auto"/>
              </w:rPr>
              <w:t>Emily Roberts, Esq.</w:t>
            </w:r>
          </w:p>
        </w:tc>
      </w:tr>
      <w:tr>
        <w:trPr>
          <w:trHeight w:val="148"/>
        </w:trPr>
        <w:tc>
          <w:tcPr>
            <w:tcW w:w="2700" w:type="dxa"/>
            <w:vAlign w:val="bottom"/>
          </w:tcPr>
          <w:p>
            <w:pPr>
              <w:jc w:val="center"/>
              <w:ind w:right="593"/>
              <w:spacing w:after="0"/>
              <w:rPr>
                <w:sz w:val="20"/>
                <w:szCs w:val="20"/>
                <w:color w:val="auto"/>
              </w:rPr>
            </w:pPr>
            <w:r>
              <w:rPr>
                <w:rFonts w:ascii="Arial" w:cs="Arial" w:eastAsia="Arial" w:hAnsi="Arial"/>
                <w:sz w:val="13"/>
                <w:szCs w:val="13"/>
                <w:b w:val="1"/>
                <w:bCs w:val="1"/>
                <w:color w:val="auto"/>
              </w:rPr>
              <w:t>Ryan Mitteness, Esq.</w:t>
            </w:r>
          </w:p>
        </w:tc>
        <w:tc>
          <w:tcPr>
            <w:tcW w:w="4800" w:type="dxa"/>
            <w:vAlign w:val="bottom"/>
          </w:tcPr>
          <w:p>
            <w:pPr>
              <w:jc w:val="center"/>
              <w:ind w:left="2891"/>
              <w:spacing w:after="0"/>
              <w:rPr>
                <w:sz w:val="20"/>
                <w:szCs w:val="20"/>
                <w:color w:val="auto"/>
              </w:rPr>
            </w:pPr>
            <w:r>
              <w:rPr>
                <w:rFonts w:ascii="Arial" w:cs="Arial" w:eastAsia="Arial" w:hAnsi="Arial"/>
                <w:sz w:val="13"/>
                <w:szCs w:val="13"/>
                <w:b w:val="1"/>
                <w:bCs w:val="1"/>
                <w:color w:val="auto"/>
              </w:rPr>
              <w:t>Davis Polk &amp; Wardwell LLP</w:t>
            </w:r>
          </w:p>
        </w:tc>
      </w:tr>
      <w:tr>
        <w:trPr>
          <w:trHeight w:val="148"/>
        </w:trPr>
        <w:tc>
          <w:tcPr>
            <w:tcW w:w="2700" w:type="dxa"/>
            <w:vAlign w:val="bottom"/>
          </w:tcPr>
          <w:p>
            <w:pPr>
              <w:jc w:val="center"/>
              <w:ind w:right="613"/>
              <w:spacing w:after="0"/>
              <w:rPr>
                <w:sz w:val="20"/>
                <w:szCs w:val="20"/>
                <w:color w:val="auto"/>
              </w:rPr>
            </w:pPr>
            <w:r>
              <w:rPr>
                <w:rFonts w:ascii="Arial" w:cs="Arial" w:eastAsia="Arial" w:hAnsi="Arial"/>
                <w:sz w:val="13"/>
                <w:szCs w:val="13"/>
                <w:b w:val="1"/>
                <w:bCs w:val="1"/>
                <w:color w:val="auto"/>
              </w:rPr>
              <w:t>Chelsea Anderson, Esq.</w:t>
            </w:r>
          </w:p>
        </w:tc>
        <w:tc>
          <w:tcPr>
            <w:tcW w:w="4800" w:type="dxa"/>
            <w:vAlign w:val="bottom"/>
          </w:tcPr>
          <w:p>
            <w:pPr>
              <w:jc w:val="center"/>
              <w:ind w:left="2891"/>
              <w:spacing w:after="0"/>
              <w:rPr>
                <w:sz w:val="20"/>
                <w:szCs w:val="20"/>
                <w:color w:val="auto"/>
              </w:rPr>
            </w:pPr>
            <w:r>
              <w:rPr>
                <w:rFonts w:ascii="Arial" w:cs="Arial" w:eastAsia="Arial" w:hAnsi="Arial"/>
                <w:sz w:val="13"/>
                <w:szCs w:val="13"/>
                <w:b w:val="1"/>
                <w:bCs w:val="1"/>
                <w:color w:val="auto"/>
              </w:rPr>
              <w:t>1600 El Camino Real</w:t>
            </w:r>
          </w:p>
        </w:tc>
      </w:tr>
      <w:tr>
        <w:trPr>
          <w:trHeight w:val="149"/>
        </w:trPr>
        <w:tc>
          <w:tcPr>
            <w:tcW w:w="2700" w:type="dxa"/>
            <w:vAlign w:val="bottom"/>
          </w:tcPr>
          <w:p>
            <w:pPr>
              <w:jc w:val="center"/>
              <w:ind w:right="593"/>
              <w:spacing w:after="0"/>
              <w:rPr>
                <w:sz w:val="20"/>
                <w:szCs w:val="20"/>
                <w:color w:val="auto"/>
              </w:rPr>
            </w:pPr>
            <w:r>
              <w:rPr>
                <w:rFonts w:ascii="Arial" w:cs="Arial" w:eastAsia="Arial" w:hAnsi="Arial"/>
                <w:sz w:val="13"/>
                <w:szCs w:val="13"/>
                <w:b w:val="1"/>
                <w:bCs w:val="1"/>
                <w:color w:val="auto"/>
              </w:rPr>
              <w:t>Fenwick &amp; West LLP</w:t>
            </w:r>
          </w:p>
        </w:tc>
        <w:tc>
          <w:tcPr>
            <w:tcW w:w="4800" w:type="dxa"/>
            <w:vAlign w:val="bottom"/>
          </w:tcPr>
          <w:p>
            <w:pPr>
              <w:jc w:val="center"/>
              <w:ind w:left="2891"/>
              <w:spacing w:after="0"/>
              <w:rPr>
                <w:sz w:val="20"/>
                <w:szCs w:val="20"/>
                <w:color w:val="auto"/>
              </w:rPr>
            </w:pPr>
            <w:r>
              <w:rPr>
                <w:rFonts w:ascii="Arial" w:cs="Arial" w:eastAsia="Arial" w:hAnsi="Arial"/>
                <w:sz w:val="13"/>
                <w:szCs w:val="13"/>
                <w:b w:val="1"/>
                <w:bCs w:val="1"/>
                <w:color w:val="auto"/>
              </w:rPr>
              <w:t>Menlo Park, California 94025</w:t>
            </w:r>
          </w:p>
        </w:tc>
      </w:tr>
      <w:tr>
        <w:trPr>
          <w:trHeight w:val="148"/>
        </w:trPr>
        <w:tc>
          <w:tcPr>
            <w:tcW w:w="2700" w:type="dxa"/>
            <w:vAlign w:val="bottom"/>
          </w:tcPr>
          <w:p>
            <w:pPr>
              <w:jc w:val="center"/>
              <w:ind w:right="613"/>
              <w:spacing w:after="0"/>
              <w:rPr>
                <w:sz w:val="20"/>
                <w:szCs w:val="20"/>
                <w:color w:val="auto"/>
              </w:rPr>
            </w:pPr>
            <w:r>
              <w:rPr>
                <w:rFonts w:ascii="Arial" w:cs="Arial" w:eastAsia="Arial" w:hAnsi="Arial"/>
                <w:sz w:val="13"/>
                <w:szCs w:val="13"/>
                <w:b w:val="1"/>
                <w:bCs w:val="1"/>
                <w:color w:val="auto"/>
              </w:rPr>
              <w:t>555 California Street</w:t>
            </w:r>
          </w:p>
        </w:tc>
        <w:tc>
          <w:tcPr>
            <w:tcW w:w="4800" w:type="dxa"/>
            <w:vAlign w:val="bottom"/>
          </w:tcPr>
          <w:p>
            <w:pPr>
              <w:jc w:val="center"/>
              <w:ind w:left="2891"/>
              <w:spacing w:after="0"/>
              <w:rPr>
                <w:sz w:val="20"/>
                <w:szCs w:val="20"/>
                <w:color w:val="auto"/>
              </w:rPr>
            </w:pPr>
            <w:r>
              <w:rPr>
                <w:rFonts w:ascii="Arial" w:cs="Arial" w:eastAsia="Arial" w:hAnsi="Arial"/>
                <w:sz w:val="13"/>
                <w:szCs w:val="13"/>
                <w:b w:val="1"/>
                <w:bCs w:val="1"/>
                <w:color w:val="auto"/>
              </w:rPr>
              <w:t>(650) 752-2000</w:t>
            </w:r>
          </w:p>
        </w:tc>
      </w:tr>
      <w:tr>
        <w:trPr>
          <w:trHeight w:val="148"/>
        </w:trPr>
        <w:tc>
          <w:tcPr>
            <w:tcW w:w="2700" w:type="dxa"/>
            <w:vAlign w:val="bottom"/>
          </w:tcPr>
          <w:p>
            <w:pPr>
              <w:jc w:val="center"/>
              <w:ind w:right="593"/>
              <w:spacing w:after="0"/>
              <w:rPr>
                <w:sz w:val="20"/>
                <w:szCs w:val="20"/>
                <w:color w:val="auto"/>
              </w:rPr>
            </w:pPr>
            <w:r>
              <w:rPr>
                <w:rFonts w:ascii="Arial" w:cs="Arial" w:eastAsia="Arial" w:hAnsi="Arial"/>
                <w:sz w:val="13"/>
                <w:szCs w:val="13"/>
                <w:b w:val="1"/>
                <w:bCs w:val="1"/>
                <w:color w:val="auto"/>
              </w:rPr>
              <w:t>San Francisco, California 94104</w:t>
            </w:r>
          </w:p>
        </w:tc>
        <w:tc>
          <w:tcPr>
            <w:tcW w:w="4800" w:type="dxa"/>
            <w:vAlign w:val="bottom"/>
          </w:tcPr>
          <w:p>
            <w:pPr>
              <w:spacing w:after="0"/>
              <w:rPr>
                <w:sz w:val="12"/>
                <w:szCs w:val="12"/>
                <w:color w:val="auto"/>
              </w:rPr>
            </w:pPr>
          </w:p>
        </w:tc>
      </w:tr>
      <w:tr>
        <w:trPr>
          <w:trHeight w:val="186"/>
        </w:trPr>
        <w:tc>
          <w:tcPr>
            <w:tcW w:w="2700" w:type="dxa"/>
            <w:vAlign w:val="bottom"/>
          </w:tcPr>
          <w:p>
            <w:pPr>
              <w:jc w:val="center"/>
              <w:ind w:right="593"/>
              <w:spacing w:after="0"/>
              <w:rPr>
                <w:sz w:val="20"/>
                <w:szCs w:val="20"/>
                <w:color w:val="auto"/>
              </w:rPr>
            </w:pPr>
            <w:r>
              <w:rPr>
                <w:rFonts w:ascii="Arial" w:cs="Arial" w:eastAsia="Arial" w:hAnsi="Arial"/>
                <w:sz w:val="13"/>
                <w:szCs w:val="13"/>
                <w:b w:val="1"/>
                <w:bCs w:val="1"/>
                <w:color w:val="auto"/>
              </w:rPr>
              <w:t>(415) 875-2300</w:t>
            </w:r>
          </w:p>
        </w:tc>
        <w:tc>
          <w:tcPr>
            <w:tcW w:w="4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1"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2"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38" w:lineRule="exact"/>
        <w:rPr>
          <w:sz w:val="24"/>
          <w:szCs w:val="24"/>
          <w:color w:val="auto"/>
        </w:rPr>
      </w:pPr>
    </w:p>
    <w:p>
      <w:pPr>
        <w:ind w:left="120" w:right="20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36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440"/>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3"/>
          <w:szCs w:val="13"/>
          <w:color w:val="auto"/>
        </w:rPr>
        <w:t>☐</w:t>
      </w:r>
    </w:p>
    <w:p>
      <w:pPr>
        <w:ind w:left="120"/>
        <w:spacing w:after="0" w:line="23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226" w:right="499" w:bottom="1440" w:gutter="0" w:footer="0" w:header="0"/>
        </w:sectPr>
      </w:pPr>
    </w:p>
    <w:p>
      <w:pPr>
        <w:spacing w:after="0" w:line="103" w:lineRule="exact"/>
        <w:rPr>
          <w:sz w:val="24"/>
          <w:szCs w:val="24"/>
          <w:color w:val="auto"/>
        </w:rPr>
      </w:pPr>
    </w:p>
    <w:p>
      <w:pPr>
        <w:ind w:left="12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filer </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86"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74" w:lineRule="exact"/>
        <w:rPr>
          <w:sz w:val="24"/>
          <w:szCs w:val="24"/>
          <w:color w:val="auto"/>
        </w:rPr>
      </w:pPr>
    </w:p>
    <w:p>
      <w:pPr>
        <w:sectPr>
          <w:pgSz w:w="11900" w:h="16838" w:orient="portrait"/>
          <w:cols w:equalWidth="0" w:num="6">
            <w:col w:w="2400" w:space="720"/>
            <w:col w:w="2240" w:space="720"/>
            <w:col w:w="1200" w:space="60"/>
            <w:col w:w="880" w:space="720"/>
            <w:col w:w="1500" w:space="480"/>
            <w:col w:w="160"/>
          </w:cols>
          <w:pgMar w:left="320" w:top="226" w:right="499" w:bottom="1440" w:gutter="0" w:footer="0" w:header="0"/>
          <w:type w:val="continuous"/>
        </w:sectPr>
      </w:pPr>
    </w:p>
    <w:p>
      <w:pPr>
        <w:ind w:left="120" w:right="16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ind w:left="120" w:right="340"/>
        <w:spacing w:after="0" w:line="264"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Explanatory Note</w:t>
      </w:r>
    </w:p>
    <w:p>
      <w:pPr>
        <w:spacing w:after="0" w:line="144"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Pursuant to the applicable provisions of the Fixing America’s Surface Transportation Act, we are omitting our financial statements for the three months ended March 31, 2024 and 2023 because they relate to historical periods that we believe will not be required to be included in the prospectus at the time of the contemplated offering. We intend to amend the registration statement to include all financial information required by Regulation S-X at the date of such amendment before distributing a preliminary prospectus to investors.</w:t>
      </w:r>
    </w:p>
    <w:p>
      <w:pPr>
        <w:sectPr>
          <w:pgSz w:w="11900" w:h="16838" w:orient="portrait"/>
          <w:cols w:equalWidth="0" w:num="1">
            <w:col w:w="11020"/>
          </w:cols>
          <w:pgMar w:left="320" w:top="455"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0" w:lineRule="auto"/>
        <w:rPr>
          <w:sz w:val="20"/>
          <w:szCs w:val="20"/>
          <w:color w:val="auto"/>
        </w:rPr>
      </w:pPr>
      <w:r>
        <w:rPr>
          <w:rFonts w:ascii="Arial" w:cs="Arial" w:eastAsia="Arial" w:hAnsi="Arial"/>
          <w:sz w:val="18"/>
          <w:szCs w:val="18"/>
          <w:b w:val="1"/>
          <w:bCs w:val="1"/>
          <w:color w:val="8B3F4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1" w:lineRule="exact"/>
        <w:rPr>
          <w:sz w:val="20"/>
          <w:szCs w:val="20"/>
          <w:color w:val="auto"/>
        </w:rPr>
      </w:pPr>
    </w:p>
    <w:p>
      <w:pPr>
        <w:ind w:left="120"/>
        <w:spacing w:after="0"/>
        <w:tabs>
          <w:tab w:leader="none" w:pos="3640" w:val="left"/>
        </w:tabs>
        <w:rPr>
          <w:sz w:val="20"/>
          <w:szCs w:val="20"/>
          <w:color w:val="auto"/>
        </w:rPr>
      </w:pPr>
      <w:r>
        <w:rPr>
          <w:rFonts w:ascii="Arial" w:cs="Arial" w:eastAsia="Arial" w:hAnsi="Arial"/>
          <w:sz w:val="20"/>
          <w:szCs w:val="20"/>
          <w:b w:val="1"/>
          <w:bCs w:val="1"/>
          <w:color w:val="8B3F4E"/>
        </w:rPr>
        <w:t xml:space="preserve">Subject to completion, dated          </w:t>
        <w:tab/>
        <w:t>, 2024</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Preliminary prospectus</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32"/>
          <w:szCs w:val="32"/>
          <w:b w:val="1"/>
          <w:bCs w:val="1"/>
          <w:i w:val="1"/>
          <w:i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3436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32"/>
          <w:szCs w:val="32"/>
          <w:b w:val="1"/>
          <w:bCs w:val="1"/>
          <w:i w:val="1"/>
          <w:iCs w:val="1"/>
          <w:color w:val="auto"/>
        </w:rPr>
        <w:t>Common stock</w:t>
      </w:r>
    </w:p>
    <w:p>
      <w:pPr>
        <w:spacing w:after="0" w:line="166" w:lineRule="exact"/>
        <w:rPr>
          <w:sz w:val="20"/>
          <w:szCs w:val="20"/>
          <w:color w:val="auto"/>
        </w:rPr>
      </w:pPr>
    </w:p>
    <w:p>
      <w:pPr>
        <w:ind w:left="120" w:right="720"/>
        <w:spacing w:after="0" w:line="271" w:lineRule="auto"/>
        <w:rPr>
          <w:sz w:val="20"/>
          <w:szCs w:val="20"/>
          <w:color w:val="auto"/>
        </w:rPr>
      </w:pPr>
      <w:r>
        <w:rPr>
          <w:rFonts w:ascii="Arial" w:cs="Arial" w:eastAsia="Arial" w:hAnsi="Arial"/>
          <w:sz w:val="18"/>
          <w:szCs w:val="18"/>
          <w:color w:val="auto"/>
        </w:rPr>
        <w:t>We are offering        shares of our common stock. This is our initial public offering and no public market currently exists for our common stock. We expect the initial public offering price to be between $        and $        per share.</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applied to list our common stock on the Nasdaq Global Market under the symbol “MAZE.”</w:t>
      </w:r>
    </w:p>
    <w:p>
      <w:pPr>
        <w:spacing w:after="0" w:line="131"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7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ind w:left="2160"/>
              <w:spacing w:after="0"/>
              <w:rPr>
                <w:sz w:val="20"/>
                <w:szCs w:val="20"/>
                <w:color w:val="auto"/>
              </w:rPr>
            </w:pPr>
            <w:r>
              <w:rPr>
                <w:rFonts w:ascii="Arial" w:cs="Arial" w:eastAsia="Arial" w:hAnsi="Arial"/>
                <w:sz w:val="16"/>
                <w:szCs w:val="16"/>
                <w:b w:val="1"/>
                <w:bCs w:val="1"/>
                <w:color w:val="auto"/>
              </w:rPr>
              <w:t>Per share</w:t>
            </w: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Total</w:t>
            </w:r>
          </w:p>
        </w:tc>
      </w:tr>
      <w:tr>
        <w:trPr>
          <w:trHeight w:val="48"/>
        </w:trPr>
        <w:tc>
          <w:tcPr>
            <w:tcW w:w="67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03"/>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Initial public offering price</w:t>
            </w:r>
          </w:p>
        </w:tc>
        <w:tc>
          <w:tcPr>
            <w:tcW w:w="3200" w:type="dxa"/>
            <w:vAlign w:val="bottom"/>
            <w:shd w:val="clear" w:color="auto" w:fill="CCEEFF"/>
          </w:tcPr>
          <w:p>
            <w:pPr>
              <w:ind w:left="2160"/>
              <w:spacing w:after="0" w:line="202" w:lineRule="exact"/>
              <w:rPr>
                <w:sz w:val="20"/>
                <w:szCs w:val="20"/>
                <w:color w:val="auto"/>
              </w:rPr>
            </w:pPr>
            <w:r>
              <w:rPr>
                <w:rFonts w:ascii="Arial" w:cs="Arial" w:eastAsia="Arial" w:hAnsi="Arial"/>
                <w:sz w:val="18"/>
                <w:szCs w:val="18"/>
                <w:b w:val="1"/>
                <w:bCs w:val="1"/>
                <w:color w:val="auto"/>
              </w:rPr>
              <w:t xml:space="preserve">$        </w:t>
            </w:r>
          </w:p>
        </w:tc>
        <w:tc>
          <w:tcPr>
            <w:tcW w:w="10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b w:val="1"/>
                <w:bCs w:val="1"/>
                <w:color w:val="auto"/>
              </w:rPr>
              <w:t xml:space="preserve">$       </w:t>
            </w:r>
          </w:p>
        </w:tc>
      </w:tr>
      <w:tr>
        <w:trPr>
          <w:trHeight w:val="295"/>
        </w:trPr>
        <w:tc>
          <w:tcPr>
            <w:tcW w:w="6760" w:type="dxa"/>
            <w:vAlign w:val="bottom"/>
          </w:tcPr>
          <w:p>
            <w:pPr>
              <w:spacing w:after="0"/>
              <w:rPr>
                <w:sz w:val="20"/>
                <w:szCs w:val="20"/>
                <w:color w:val="auto"/>
              </w:rPr>
            </w:pPr>
            <w:r>
              <w:rPr>
                <w:rFonts w:ascii="Arial" w:cs="Arial" w:eastAsia="Arial" w:hAnsi="Arial"/>
                <w:sz w:val="18"/>
                <w:szCs w:val="18"/>
                <w:b w:val="1"/>
                <w:bCs w:val="1"/>
                <w:color w:val="auto"/>
              </w:rPr>
              <w:t>Underwriting discounts and commissions(1)</w:t>
            </w:r>
          </w:p>
        </w:tc>
        <w:tc>
          <w:tcPr>
            <w:tcW w:w="3200" w:type="dxa"/>
            <w:vAlign w:val="bottom"/>
          </w:tcPr>
          <w:p>
            <w:pPr>
              <w:ind w:left="216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ind w:left="300"/>
              <w:spacing w:after="0"/>
              <w:rPr>
                <w:sz w:val="20"/>
                <w:szCs w:val="20"/>
                <w:color w:val="auto"/>
              </w:rPr>
            </w:pPr>
            <w:r>
              <w:rPr>
                <w:rFonts w:ascii="Arial" w:cs="Arial" w:eastAsia="Arial" w:hAnsi="Arial"/>
                <w:sz w:val="18"/>
                <w:szCs w:val="18"/>
                <w:b w:val="1"/>
                <w:bCs w:val="1"/>
                <w:color w:val="auto"/>
              </w:rPr>
              <w:t>$</w:t>
            </w:r>
          </w:p>
        </w:tc>
      </w:tr>
      <w:tr>
        <w:trPr>
          <w:trHeight w:val="42"/>
        </w:trPr>
        <w:tc>
          <w:tcPr>
            <w:tcW w:w="676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3"/>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Proceeds to Maze Therapeutics, Inc., before expenses</w:t>
            </w:r>
          </w:p>
        </w:tc>
        <w:tc>
          <w:tcPr>
            <w:tcW w:w="3200" w:type="dxa"/>
            <w:vAlign w:val="bottom"/>
            <w:shd w:val="clear" w:color="auto" w:fill="CCEEFF"/>
          </w:tcPr>
          <w:p>
            <w:pPr>
              <w:ind w:left="216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64" w:lineRule="exact"/>
        <w:rPr>
          <w:sz w:val="20"/>
          <w:szCs w:val="20"/>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the section entitled “Underwriting” for a description of the compensation payable to the underwriters.</w:t>
      </w:r>
    </w:p>
    <w:p>
      <w:pPr>
        <w:spacing w:after="0" w:line="155"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We have granted the underwriters an option for a period of 30 days after the date of this prospectus to purchase up to        additional shares of our common stock from us at the initial public offering price, less underwriting discounts and commissions.</w:t>
      </w:r>
    </w:p>
    <w:p>
      <w:pPr>
        <w:spacing w:after="0" w:line="86" w:lineRule="exact"/>
        <w:rPr>
          <w:sz w:val="20"/>
          <w:szCs w:val="20"/>
          <w:color w:val="auto"/>
        </w:rPr>
      </w:pPr>
    </w:p>
    <w:p>
      <w:pPr>
        <w:ind w:left="120" w:right="500"/>
        <w:spacing w:after="0" w:line="281" w:lineRule="auto"/>
        <w:rPr>
          <w:sz w:val="20"/>
          <w:szCs w:val="20"/>
          <w:color w:val="auto"/>
        </w:rPr>
      </w:pPr>
      <w:r>
        <w:rPr>
          <w:rFonts w:ascii="Arial" w:cs="Arial" w:eastAsia="Arial" w:hAnsi="Arial"/>
          <w:sz w:val="18"/>
          <w:szCs w:val="18"/>
          <w:b w:val="1"/>
          <w:bCs w:val="1"/>
          <w:color w:val="auto"/>
        </w:rPr>
        <w:t>Investing in our common stock involves a high degree of risk. Please read the section entitled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xml:space="preserve"> ” beginning on page 12 of this prospectus.</w:t>
      </w:r>
    </w:p>
    <w:p>
      <w:pPr>
        <w:spacing w:after="0" w:line="55" w:lineRule="exact"/>
        <w:rPr>
          <w:sz w:val="20"/>
          <w:szCs w:val="20"/>
          <w:color w:val="auto"/>
        </w:rPr>
      </w:pPr>
    </w:p>
    <w:p>
      <w:pPr>
        <w:ind w:left="120" w:right="300"/>
        <w:spacing w:after="0" w:line="31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expect to deliver the shares of common stock against payment in New York, New York, on            , 2024.</w:t>
      </w:r>
    </w:p>
    <w:p>
      <w:pPr>
        <w:spacing w:after="0" w:line="129" w:lineRule="exact"/>
        <w:rPr>
          <w:sz w:val="20"/>
          <w:szCs w:val="20"/>
          <w:color w:val="auto"/>
        </w:rPr>
      </w:pPr>
    </w:p>
    <w:p>
      <w:pPr>
        <w:ind w:left="120"/>
        <w:spacing w:after="0"/>
        <w:tabs>
          <w:tab w:leader="none" w:pos="2360" w:val="left"/>
          <w:tab w:leader="none" w:pos="4340" w:val="left"/>
          <w:tab w:leader="none" w:pos="778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TD Cowen</w:t>
      </w:r>
      <w:r>
        <w:rPr>
          <w:sz w:val="20"/>
          <w:szCs w:val="20"/>
          <w:color w:val="auto"/>
        </w:rPr>
        <w:tab/>
      </w: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8"/>
          <w:szCs w:val="28"/>
          <w:b w:val="1"/>
          <w:bCs w:val="1"/>
          <w:color w:val="auto"/>
        </w:rPr>
        <w:t>Guggenheim Securities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Prospectus dated            , 2024</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Table of contents</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8"/>
        </w:trPr>
        <w:tc>
          <w:tcPr>
            <w:tcW w:w="8700" w:type="dxa"/>
            <w:vAlign w:val="bottom"/>
            <w:gridSpan w:val="19"/>
          </w:tcPr>
          <w:p>
            <w:pPr>
              <w:spacing w:after="0"/>
              <w:rPr>
                <w:sz w:val="20"/>
                <w:szCs w:val="20"/>
                <w:color w:val="auto"/>
              </w:rPr>
            </w:pPr>
            <w:r>
              <w:rPr>
                <w:rFonts w:ascii="Arial" w:cs="Arial" w:eastAsia="Arial" w:hAnsi="Arial"/>
                <w:sz w:val="18"/>
                <w:szCs w:val="18"/>
                <w:color w:val="0000EE"/>
              </w:rPr>
              <w:t>Prospectus summary</w:t>
            </w: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7"/>
              </w:rPr>
              <w:t>The offering</w:t>
            </w:r>
          </w:p>
        </w:tc>
        <w:tc>
          <w:tcPr>
            <w:tcW w:w="720" w:type="dxa"/>
            <w:vAlign w:val="bottom"/>
            <w:tcBorders>
              <w:top w:val="single" w:sz="8" w:color="0000EE"/>
            </w:tcBorders>
            <w:gridSpan w:val="5"/>
          </w:tcPr>
          <w:p>
            <w:pPr>
              <w:spacing w:after="0"/>
              <w:rPr>
                <w:sz w:val="21"/>
                <w:szCs w:val="21"/>
                <w:color w:val="auto"/>
              </w:rPr>
            </w:pPr>
          </w:p>
        </w:tc>
        <w:tc>
          <w:tcPr>
            <w:tcW w:w="7020" w:type="dxa"/>
            <w:vAlign w:val="bottom"/>
            <w:gridSpan w:val="10"/>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9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7760" w:type="dxa"/>
            <w:vAlign w:val="bottom"/>
            <w:gridSpan w:val="16"/>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Special note regarding forward-looking statements</w:t>
            </w:r>
          </w:p>
        </w:tc>
        <w:tc>
          <w:tcPr>
            <w:tcW w:w="22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50"/>
        </w:trPr>
        <w:tc>
          <w:tcPr>
            <w:tcW w:w="400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Use of proceeds</w:t>
            </w:r>
          </w:p>
        </w:tc>
        <w:tc>
          <w:tcPr>
            <w:tcW w:w="4700" w:type="dxa"/>
            <w:vAlign w:val="bottom"/>
            <w:gridSpan w:val="4"/>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50"/>
        </w:trPr>
        <w:tc>
          <w:tcPr>
            <w:tcW w:w="13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Dividend policy</w:t>
            </w:r>
          </w:p>
        </w:tc>
        <w:tc>
          <w:tcPr>
            <w:tcW w:w="7400" w:type="dxa"/>
            <w:vAlign w:val="bottom"/>
            <w:gridSpan w:val="11"/>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50"/>
        </w:trPr>
        <w:tc>
          <w:tcPr>
            <w:tcW w:w="10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Capitalization</w:t>
            </w:r>
          </w:p>
        </w:tc>
        <w:tc>
          <w:tcPr>
            <w:tcW w:w="120" w:type="dxa"/>
            <w:vAlign w:val="bottom"/>
            <w:tcBorders>
              <w:top w:val="single" w:sz="8" w:color="0000EE"/>
            </w:tcBorders>
          </w:tcPr>
          <w:p>
            <w:pPr>
              <w:spacing w:after="0"/>
              <w:rPr>
                <w:sz w:val="21"/>
                <w:szCs w:val="21"/>
                <w:color w:val="auto"/>
              </w:rPr>
            </w:pPr>
          </w:p>
        </w:tc>
        <w:tc>
          <w:tcPr>
            <w:tcW w:w="7500" w:type="dxa"/>
            <w:vAlign w:val="bottom"/>
            <w:gridSpan w:val="12"/>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6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6"/>
              </w:rPr>
              <w:t>Dilution</w:t>
            </w:r>
          </w:p>
        </w:tc>
        <w:tc>
          <w:tcPr>
            <w:tcW w:w="8100" w:type="dxa"/>
            <w:vAlign w:val="bottom"/>
            <w:gridSpan w:val="18"/>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50"/>
        </w:trPr>
        <w:tc>
          <w:tcPr>
            <w:tcW w:w="68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18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Business</w:t>
            </w:r>
          </w:p>
        </w:tc>
        <w:tc>
          <w:tcPr>
            <w:tcW w:w="22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Management</w:t>
            </w:r>
          </w:p>
        </w:tc>
        <w:tc>
          <w:tcPr>
            <w:tcW w:w="22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Executive compensation</w:t>
            </w:r>
          </w:p>
        </w:tc>
        <w:tc>
          <w:tcPr>
            <w:tcW w:w="22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40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Certain relationships and related party transactions</w:t>
            </w:r>
          </w:p>
        </w:tc>
        <w:tc>
          <w:tcPr>
            <w:tcW w:w="4640" w:type="dxa"/>
            <w:vAlign w:val="bottom"/>
            <w:gridSpan w:val="3"/>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Principal stockholders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21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Description of capital stock</w:t>
            </w:r>
          </w:p>
        </w:tc>
        <w:tc>
          <w:tcPr>
            <w:tcW w:w="6560" w:type="dxa"/>
            <w:vAlign w:val="bottom"/>
            <w:gridSpan w:val="7"/>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Shares eligible for future sale</w:t>
            </w:r>
          </w:p>
        </w:tc>
        <w:tc>
          <w:tcPr>
            <w:tcW w:w="224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40" w:type="dxa"/>
            <w:vAlign w:val="bottom"/>
            <w:tcBorders>
              <w:right w:val="single" w:sz="8" w:color="0000EE"/>
            </w:tcBorders>
            <w:gridSpan w:val="7"/>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Material U.S. federal income tax consequences to non-U.S. 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50"/>
        </w:trPr>
        <w:tc>
          <w:tcPr>
            <w:tcW w:w="536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Underwriting</w:t>
            </w:r>
          </w:p>
        </w:tc>
        <w:tc>
          <w:tcPr>
            <w:tcW w:w="3340" w:type="dxa"/>
            <w:vAlign w:val="bottom"/>
            <w:gridSpan w:val="2"/>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Legal matters</w:t>
            </w:r>
          </w:p>
        </w:tc>
        <w:tc>
          <w:tcPr>
            <w:tcW w:w="224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50"/>
        </w:trPr>
        <w:tc>
          <w:tcPr>
            <w:tcW w:w="10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Experts</w:t>
            </w:r>
          </w:p>
        </w:tc>
        <w:tc>
          <w:tcPr>
            <w:tcW w:w="7620" w:type="dxa"/>
            <w:vAlign w:val="bottom"/>
            <w:gridSpan w:val="13"/>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0"/>
        </w:trPr>
        <w:tc>
          <w:tcPr>
            <w:tcW w:w="600" w:type="dxa"/>
            <w:vAlign w:val="bottom"/>
            <w:shd w:val="clear" w:color="auto" w:fill="0000EE"/>
          </w:tcPr>
          <w:p>
            <w:pPr>
              <w:spacing w:after="0" w:line="20" w:lineRule="exact"/>
              <w:rPr>
                <w:sz w:val="1"/>
                <w:szCs w:val="1"/>
                <w:color w:val="auto"/>
              </w:rPr>
            </w:pPr>
          </w:p>
        </w:tc>
        <w:tc>
          <w:tcPr>
            <w:tcW w:w="1720" w:type="dxa"/>
            <w:vAlign w:val="bottom"/>
            <w:gridSpan w:val="1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50"/>
        </w:trPr>
        <w:tc>
          <w:tcPr>
            <w:tcW w:w="8700" w:type="dxa"/>
            <w:vAlign w:val="bottom"/>
            <w:gridSpan w:val="19"/>
          </w:tcPr>
          <w:p>
            <w:pPr>
              <w:spacing w:after="0"/>
              <w:rPr>
                <w:sz w:val="20"/>
                <w:szCs w:val="20"/>
                <w:color w:val="auto"/>
              </w:rPr>
            </w:pPr>
            <w:r>
              <w:rPr>
                <w:rFonts w:ascii="Arial" w:cs="Arial" w:eastAsia="Arial" w:hAnsi="Arial"/>
                <w:sz w:val="18"/>
                <w:szCs w:val="18"/>
                <w:color w:val="0000EE"/>
              </w:rPr>
              <w:t>Where you can find additional information</w:t>
            </w:r>
          </w:p>
        </w:tc>
        <w:tc>
          <w:tcPr>
            <w:tcW w:w="224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50"/>
        </w:trPr>
        <w:tc>
          <w:tcPr>
            <w:tcW w:w="232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8"/>
                <w:szCs w:val="18"/>
                <w:color w:val="0000EE"/>
                <w:w w:val="99"/>
              </w:rPr>
              <w:t>Index to financial statements</w:t>
            </w:r>
          </w:p>
        </w:tc>
        <w:tc>
          <w:tcPr>
            <w:tcW w:w="980" w:type="dxa"/>
            <w:vAlign w:val="bottom"/>
            <w:tcBorders>
              <w:top w:val="single" w:sz="8" w:color="0000EE"/>
            </w:tcBorders>
          </w:tcPr>
          <w:p>
            <w:pPr>
              <w:spacing w:after="0"/>
              <w:rPr>
                <w:sz w:val="21"/>
                <w:szCs w:val="21"/>
                <w:color w:val="auto"/>
              </w:rPr>
            </w:pPr>
          </w:p>
        </w:tc>
        <w:tc>
          <w:tcPr>
            <w:tcW w:w="5400" w:type="dxa"/>
            <w:vAlign w:val="bottom"/>
            <w:gridSpan w:val="5"/>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14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Through and including        , 2024 (the 25th day after the date of this prospectus), all dealers effecting transactions in these securities, whether or not participating in this offering, may be required to deliver a prospectus. This delivery requirement is in addition to a dealer’s obligation to deliver a prospectus when acting as an underwriter and with respect to an unsold allotment or subscription</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144780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the time of any sale of shares of our common stock.</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147320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320" w:top="455" w:right="5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33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Prospectus summary</w:t>
      </w:r>
    </w:p>
    <w:p>
      <w:pPr>
        <w:spacing w:after="0" w:line="156" w:lineRule="exact"/>
        <w:rPr>
          <w:sz w:val="20"/>
          <w:szCs w:val="20"/>
          <w:color w:val="auto"/>
        </w:rPr>
      </w:pPr>
    </w:p>
    <w:p>
      <w:pPr>
        <w:ind w:left="300" w:right="100"/>
        <w:spacing w:after="0" w:line="257"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thereto and the information set forth under the sections entitled “Risk factors” and “Management’s discussion and analysis of financial condition and results of operations,” in each case included in this prospectus. Some of the statements in this prospectus constitute forward-looking statements that involve risks and uncertainties. See the section entitled “Special note regarding forward-looking statements” for additional information. Unless the context otherwise requires, we use the terms “Maze,” “the company,” “we,” “us” and “our” in this prospectus to refer to Maze Therapeutics, Inc.</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Overview</w:t>
      </w:r>
    </w:p>
    <w:p>
      <w:pPr>
        <w:spacing w:after="0" w:line="135" w:lineRule="exact"/>
        <w:rPr>
          <w:sz w:val="20"/>
          <w:szCs w:val="20"/>
          <w:color w:val="auto"/>
        </w:rPr>
      </w:pPr>
    </w:p>
    <w:p>
      <w:pPr>
        <w:ind w:left="300" w:right="40"/>
        <w:spacing w:after="0" w:line="239" w:lineRule="auto"/>
        <w:rPr>
          <w:sz w:val="20"/>
          <w:szCs w:val="20"/>
          <w:color w:val="auto"/>
        </w:rPr>
      </w:pPr>
      <w:r>
        <w:rPr>
          <w:rFonts w:ascii="Arial" w:cs="Arial" w:eastAsia="Arial" w:hAnsi="Arial"/>
          <w:sz w:val="18"/>
          <w:szCs w:val="18"/>
          <w:color w:val="auto"/>
        </w:rPr>
        <w:t>We are a clinical-stage biopharmaceutical company harnessing the power of human genetics to develop novel, small molecule precision medicines for patients living with common diseases, with a focus on renal, cardiovascular and related metabolic diseases, including obesity. We are advancing a pipeline using our Compass platform, which allows us to identify and characterize genetic variants in disease and then link those variants to the biological pathways that drive disease in specific patient groups through a process we refer to as variant functionalization. Our Compass platform has been purpose-built to inform all phases of our drug discovery and development process through clinical trial design. We are currently advancing two wholly owned lead programs, MZE829 and MZE782, each of which represents a novel precision medicine-based approach for chronic kidney disease, or CKD. Our goal is to bring novel precision medicines to patients with common diseases, which is where we believe we can maximize our impact on human health.</w:t>
      </w:r>
    </w:p>
    <w:p>
      <w:pPr>
        <w:spacing w:after="0" w:line="116" w:lineRule="exact"/>
        <w:rPr>
          <w:sz w:val="20"/>
          <w:szCs w:val="20"/>
          <w:color w:val="auto"/>
        </w:rPr>
      </w:pPr>
    </w:p>
    <w:p>
      <w:pPr>
        <w:ind w:left="300" w:right="160"/>
        <w:spacing w:after="0" w:line="244" w:lineRule="auto"/>
        <w:rPr>
          <w:sz w:val="20"/>
          <w:szCs w:val="20"/>
          <w:color w:val="auto"/>
        </w:rPr>
      </w:pPr>
      <w:r>
        <w:rPr>
          <w:rFonts w:ascii="Arial" w:cs="Arial" w:eastAsia="Arial" w:hAnsi="Arial"/>
          <w:sz w:val="18"/>
          <w:szCs w:val="18"/>
          <w:color w:val="auto"/>
        </w:rPr>
        <w:t>CKD is a serious, progressive condition that affects approximately 37 million patients in the United States, where it is expected to be the fifth most prevalent chronic disease by 2040. Current treatments for CKD consider patients as falling into clinical categories and focus on slowing the progression of disease, but do not target the underlying genetic drivers of disease. Our lead programs are designed to phenocopy, or mimic, the protective effects of certain genetic variants that are associated with reduced disease burden and improved kidney function in distinct groups of CKD patients.</w:t>
      </w:r>
    </w:p>
    <w:p>
      <w:pPr>
        <w:spacing w:after="0" w:line="109" w:lineRule="exact"/>
        <w:rPr>
          <w:sz w:val="20"/>
          <w:szCs w:val="20"/>
          <w:color w:val="auto"/>
        </w:rPr>
      </w:pPr>
    </w:p>
    <w:p>
      <w:pPr>
        <w:ind w:left="300"/>
        <w:spacing w:after="0" w:line="244" w:lineRule="auto"/>
        <w:rPr>
          <w:sz w:val="20"/>
          <w:szCs w:val="20"/>
          <w:color w:val="auto"/>
        </w:rPr>
      </w:pPr>
      <w:r>
        <w:rPr>
          <w:rFonts w:ascii="Arial" w:cs="Arial" w:eastAsia="Arial" w:hAnsi="Arial"/>
          <w:sz w:val="18"/>
          <w:szCs w:val="18"/>
          <w:color w:val="auto"/>
        </w:rPr>
        <w:t>Our most advanced lead program, MZE829, is an oral, small molecule inhibitor of apolipoprotein L1, or APOL1, for the treatment of patients with APOL1 kidney disease, or AKD, which is estimated to affect over one million patients in the United States alone. Although the link between APOL1 variants and renal dysfunction has been known for over a decade, we have identified a new protective variant that underpins our therapeutic approach for MZE829 and may ultimately allow us to address a broader population of AKD than has previously been possible in the clinical setting. We expect to initiate a Phase 2 trial of MZE829 in        .</w:t>
      </w:r>
    </w:p>
    <w:p>
      <w:pPr>
        <w:spacing w:after="0" w:line="95" w:lineRule="exact"/>
        <w:rPr>
          <w:sz w:val="20"/>
          <w:szCs w:val="20"/>
          <w:color w:val="auto"/>
        </w:rPr>
      </w:pPr>
    </w:p>
    <w:p>
      <w:pPr>
        <w:ind w:left="300" w:right="60"/>
        <w:spacing w:after="0" w:line="242" w:lineRule="auto"/>
        <w:rPr>
          <w:sz w:val="20"/>
          <w:szCs w:val="20"/>
          <w:color w:val="auto"/>
        </w:rPr>
      </w:pPr>
      <w:r>
        <w:rPr>
          <w:rFonts w:ascii="Arial" w:cs="Arial" w:eastAsia="Arial" w:hAnsi="Arial"/>
          <w:sz w:val="18"/>
          <w:szCs w:val="18"/>
          <w:color w:val="auto"/>
        </w:rPr>
        <w:t>Our second lead program, MZE782, is a potentially first-in-class, oral, small molecule inhibitor of the solute transporter SLC6A19, a novel CKD target, with the potential to address approximately five million of the CKD patients in the United States with inadequate responses to currently available CKD therapies. Beyond its use as a potential standalone therapy, MZE782 may also provide a significant benefit to patients in combination with standard of care, including as a complementary treatment to current approved regimens or as an alternative option for those patients who do not adequately respond to today’s standard of care. We plan to submit an Investigational New Drug Application, or IND, to the United States Food and Drug Administration, or FDA, for MZE782 in        .</w:t>
      </w:r>
    </w:p>
    <w:p>
      <w:pPr>
        <w:spacing w:after="0" w:line="111" w:lineRule="exact"/>
        <w:rPr>
          <w:sz w:val="20"/>
          <w:szCs w:val="20"/>
          <w:color w:val="auto"/>
        </w:rPr>
      </w:pPr>
    </w:p>
    <w:p>
      <w:pPr>
        <w:jc w:val="both"/>
        <w:ind w:left="300" w:right="60"/>
        <w:spacing w:after="0" w:line="253" w:lineRule="auto"/>
        <w:rPr>
          <w:sz w:val="20"/>
          <w:szCs w:val="20"/>
          <w:color w:val="auto"/>
        </w:rPr>
      </w:pPr>
      <w:r>
        <w:rPr>
          <w:rFonts w:ascii="Arial" w:cs="Arial" w:eastAsia="Arial" w:hAnsi="Arial"/>
          <w:sz w:val="18"/>
          <w:szCs w:val="18"/>
          <w:color w:val="auto"/>
        </w:rPr>
        <w:t>Our Compass platform supports end-to-end variant identification and functionalization capabilities as well as advanced research tools and methodologies for drug development. We believe the process of variant functionalization, or understanding how genetic variants function to affect the course of disease, is a foundational</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04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20"/>
        <w:spacing w:after="0" w:line="271" w:lineRule="auto"/>
        <w:rPr>
          <w:sz w:val="20"/>
          <w:szCs w:val="20"/>
          <w:color w:val="auto"/>
        </w:rPr>
      </w:pPr>
      <w:r>
        <w:rPr>
          <w:rFonts w:ascii="Arial" w:cs="Arial" w:eastAsia="Arial" w:hAnsi="Arial"/>
          <w:sz w:val="18"/>
          <w:szCs w:val="18"/>
          <w:color w:val="auto"/>
        </w:rPr>
        <w:t>aspect of precision medicine and one of the core capabilities that sets us apart from others in the field. Furthermore, we believe we are the first company to implement these workflow elements/methodologies at scale.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pipeline</w:t>
      </w:r>
    </w:p>
    <w:p>
      <w:pPr>
        <w:spacing w:after="0" w:line="148" w:lineRule="exact"/>
        <w:rPr>
          <w:sz w:val="20"/>
          <w:szCs w:val="20"/>
          <w:color w:val="auto"/>
        </w:rPr>
      </w:pPr>
    </w:p>
    <w:p>
      <w:pPr>
        <w:ind w:left="300" w:right="60"/>
        <w:spacing w:after="0" w:line="244" w:lineRule="auto"/>
        <w:rPr>
          <w:sz w:val="20"/>
          <w:szCs w:val="20"/>
          <w:color w:val="auto"/>
        </w:rPr>
      </w:pPr>
      <w:r>
        <w:rPr>
          <w:rFonts w:ascii="Arial" w:cs="Arial" w:eastAsia="Arial" w:hAnsi="Arial"/>
          <w:sz w:val="18"/>
          <w:szCs w:val="18"/>
          <w:color w:val="auto"/>
        </w:rPr>
        <w:t>Our wholly owned pipeline consists of small molecule precision medicines for patients living with common diseases, with a focus on renal, cardiovascular and related metabolic, or CVRM, diseases, including obesity. In areas outside of our focus, we have additional programs in development through partnership arrangements and other third-party relationships, including MZE001 in Pompe disease with Shionogi &amp; Co., Ltd., or Shionogi, and ATXN2 and UNC13A, each for amyotrophic lateral sclerosis, or ALS, with two separate biotechnology companies. Our pipeline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0"/>
        <w:spacing w:after="0" w:line="239" w:lineRule="auto"/>
        <w:rPr>
          <w:sz w:val="20"/>
          <w:szCs w:val="20"/>
          <w:color w:val="auto"/>
        </w:rPr>
      </w:pPr>
      <w:r>
        <w:rPr>
          <w:rFonts w:ascii="Arial" w:cs="Arial" w:eastAsia="Arial" w:hAnsi="Arial"/>
          <w:sz w:val="18"/>
          <w:szCs w:val="18"/>
          <w:color w:val="auto"/>
        </w:rPr>
        <w:t xml:space="preserve">Our most advanced lead program, MZE829, is an oral, small molecule inhibitor of APOL1 for the treatment of patients with AKD, a subset of CKD estimated to affect over one million patients in the United States alone. Although the link between APOL1 variants and renal dysfunction has been known for over a decade, we have identified a new protective variant of the APOL1 gene, N264K. MZE829 is designed to phenocopy N264K and mimic its protective characteristics. Through our preclinical work in AKD, we have demonstrated MZE829’s potential as a disease modifying treatment for patients suffering from this disease.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demonstrated MZE829’s significant potency in a model of APOL1-induced kidney injury, suggesting the ability to explore the potential for greater efficacy and ultimately address a broader population of AKD than has previously been possible in the clinical setting. Additionally, MZE829 has demonstrated the potential to stop or reverse critical features of kidney disease, specifically the breakdown of the kidney’s filtering system and loss of protein in urine, or proteinuria. We expect to initiate a Phase 2 trial of MZE829 in        .</w:t>
      </w:r>
    </w:p>
    <w:p>
      <w:pPr>
        <w:spacing w:after="0" w:line="116" w:lineRule="exact"/>
        <w:rPr>
          <w:sz w:val="20"/>
          <w:szCs w:val="20"/>
          <w:color w:val="auto"/>
        </w:rPr>
      </w:pPr>
    </w:p>
    <w:p>
      <w:pPr>
        <w:ind w:left="300" w:right="400"/>
        <w:spacing w:after="0"/>
        <w:rPr>
          <w:sz w:val="20"/>
          <w:szCs w:val="20"/>
          <w:color w:val="auto"/>
        </w:rPr>
      </w:pPr>
      <w:r>
        <w:rPr>
          <w:rFonts w:ascii="Arial" w:cs="Arial" w:eastAsia="Arial" w:hAnsi="Arial"/>
          <w:sz w:val="18"/>
          <w:szCs w:val="18"/>
          <w:color w:val="auto"/>
        </w:rPr>
        <w:t>Our second most advanced lead program, MZE782, is a potentially first-in-class, oral, small molecule that targets the solute transporter, SLC6A19, with the potential to address approximately five million of the CKD patients in the United States with inadequate responses to currently available CKD therapies. Beyond its use as a potential standalone therapy, MZE782 may also provide a significant benefit to patients in combination with standard of care, including as a complementary treatment to current approved regimens or as an alternative option for those patients who do not adequately respond to today’s standard of care. We identified SLC6A19 using non-public sets of matched, genetic and longitudinal clinical data and discovered a bidirectional allelic series with variants that either improve or</w:t>
      </w:r>
    </w:p>
    <w:p>
      <w:pPr>
        <w:spacing w:after="0" w:line="29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55"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760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47" w:lineRule="auto"/>
        <w:rPr>
          <w:sz w:val="20"/>
          <w:szCs w:val="20"/>
          <w:color w:val="auto"/>
        </w:rPr>
      </w:pPr>
      <w:r>
        <w:rPr>
          <w:rFonts w:ascii="Arial" w:cs="Arial" w:eastAsia="Arial" w:hAnsi="Arial"/>
          <w:sz w:val="18"/>
          <w:szCs w:val="18"/>
          <w:color w:val="auto"/>
        </w:rPr>
        <w:t>worsen renal function. We then applied variant functionalization techniques to understand the characteristics of the naturally occurring protective variants and designed our proprietary small molecule to mimic their inhibitory effects. We plan to apply a non-invasive biomarker strategy in our Phase 1 trial to establish proof of mechanism and to select doses for a Phase 2 trial. We expect to submit an IND to the FDA for MZE782 in         .</w:t>
      </w:r>
    </w:p>
    <w:p>
      <w:pPr>
        <w:spacing w:after="0" w:line="93" w:lineRule="exact"/>
        <w:rPr>
          <w:sz w:val="20"/>
          <w:szCs w:val="20"/>
          <w:color w:val="auto"/>
        </w:rPr>
      </w:pPr>
    </w:p>
    <w:p>
      <w:pPr>
        <w:ind w:left="300" w:right="80"/>
        <w:spacing w:after="0" w:line="238" w:lineRule="auto"/>
        <w:rPr>
          <w:sz w:val="20"/>
          <w:szCs w:val="20"/>
          <w:color w:val="auto"/>
        </w:rPr>
      </w:pPr>
      <w:r>
        <w:rPr>
          <w:rFonts w:ascii="Arial" w:cs="Arial" w:eastAsia="Arial" w:hAnsi="Arial"/>
          <w:sz w:val="18"/>
          <w:szCs w:val="18"/>
          <w:color w:val="auto"/>
        </w:rPr>
        <w:t>In addition to our two lead programs in CKD, our Compass platform has also produced a pipeline across other therapeutic areas and modalities, including MZE001, our first clinical program developed for the treatment of patients with Pompe disease. Within approximately three years, MZE001 progressed from discovery to the clinic and demonstrated proof of mechanism in a Phase 1 trial, suggesting its potential as an oral therapy for the treatment of patients with Pompe disease and demonstrating the potential of our Compass platform. Given our focus on common diseases, where we believe we can maximize our impact on human health, we strategically enter into partnerships with third parties to advance programs that address diseases outside of our core focus areas. In March 2024, following the completion of our Phase 1 trial, we exclusively licensed MZE001 to Shionogi for an upfront payment of $150 million and the potential for additional milestones and royalties. We have also exclusively licensed our ATXN2 and UNC13A programs for the treatment of ALS to other biotechnology companies. Additionally, we formed a spin-out company, Broadwing Bio LLC, or Broadwing, to develop therapeutic candidates treating ophthalmic diseases. We believe these collaborations validate the potential of our Compass platform and our ability to generate new targets and assets of therapeutic interest across a wide range of indications and therapeutic areas.</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approach to precision medicine: Compass platform</w:t>
      </w:r>
    </w:p>
    <w:p>
      <w:pPr>
        <w:spacing w:after="0" w:line="135" w:lineRule="exact"/>
        <w:rPr>
          <w:sz w:val="20"/>
          <w:szCs w:val="20"/>
          <w:color w:val="auto"/>
        </w:rPr>
      </w:pPr>
    </w:p>
    <w:p>
      <w:pPr>
        <w:ind w:left="300" w:right="60"/>
        <w:spacing w:after="0" w:line="239" w:lineRule="auto"/>
        <w:rPr>
          <w:sz w:val="20"/>
          <w:szCs w:val="20"/>
          <w:color w:val="auto"/>
        </w:rPr>
      </w:pPr>
      <w:r>
        <w:rPr>
          <w:rFonts w:ascii="Arial" w:cs="Arial" w:eastAsia="Arial" w:hAnsi="Arial"/>
          <w:sz w:val="18"/>
          <w:szCs w:val="18"/>
          <w:color w:val="auto"/>
        </w:rPr>
        <w:t>Our Compass platform and its associated methodologies give us the ability to aggregate matched, genetic, and longitudinal clinical data at scale to identify genes associated with disease, utilizing a combination of private and publicly-available paired clinical data. More importantly, this process uncovers genetic variants of these genes that provide insight into a therapeutic approach to the applicable target. Using machine learning and statistical modeling, variant functionalization tools, and traditional and computational drug discovery technologies, targets are then prioritized based on their roles in biological pathways, their roles as potential drivers of disease, and their structural properties. These insights ultimately inform our clinical development and patient selection strategies, which we believe have the potential to improve the overall likelihood of technical, regulatory and commercial success of our precision medicine candidates. The power of our Compass platform and its methodologies is best exhibited through our clinical and preclinical programs and multiple contributions to the scientific community over the past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95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44" w:lineRule="auto"/>
        <w:rPr>
          <w:sz w:val="20"/>
          <w:szCs w:val="20"/>
          <w:color w:val="auto"/>
        </w:rPr>
      </w:pPr>
      <w:r>
        <w:rPr>
          <w:rFonts w:ascii="Arial" w:cs="Arial" w:eastAsia="Arial" w:hAnsi="Arial"/>
          <w:sz w:val="18"/>
          <w:szCs w:val="18"/>
          <w:color w:val="auto"/>
        </w:rPr>
        <w:t>Our Compass platform follows a sequential, three phase workflow consisting of: (1) variant discovery, in which we analyze multiple large-scale genetic databases to identify relevant genetic variants; (2) variant function identification, in which we attempt to understand the linkage between genetic variants identified and the biology underpinning disease; and (3) translation into therapy, in which we develop the assays, models, molecules and data necessary to support advancing our programs into clinical development. This workflow creates an iterative learning loop that improves as we onboard, analyze and generate additional data.</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A new era of precision medicine: Maze’s opportunity in common diseases</w:t>
      </w:r>
    </w:p>
    <w:p>
      <w:pPr>
        <w:spacing w:after="0" w:line="148" w:lineRule="exact"/>
        <w:rPr>
          <w:sz w:val="20"/>
          <w:szCs w:val="20"/>
          <w:color w:val="auto"/>
        </w:rPr>
      </w:pPr>
    </w:p>
    <w:p>
      <w:pPr>
        <w:ind w:left="300" w:right="20"/>
        <w:spacing w:after="0"/>
        <w:rPr>
          <w:sz w:val="20"/>
          <w:szCs w:val="20"/>
          <w:color w:val="auto"/>
        </w:rPr>
      </w:pPr>
      <w:r>
        <w:rPr>
          <w:rFonts w:ascii="Arial" w:cs="Arial" w:eastAsia="Arial" w:hAnsi="Arial"/>
          <w:sz w:val="18"/>
          <w:szCs w:val="18"/>
          <w:color w:val="auto"/>
        </w:rPr>
        <w:t>Over the past 20 years, significant advances in human genetics and in the understanding of the biological processes underpinning disease have opened the door to a multitude of potentially new therapeutic targets and treatment approaches, which we believe presents a unique opportunity for a new approach to precision medicine. More recently, the availability of matched, genetic, and longitudinal clinical data and advanced computational methods to analyze these data has enabled the characterization of genetic variants that are strongly correlated with disease susceptibility and severity. Advancements in functional genomics have also provided new tools to help unravel how genetic variants impact disease progression from a mechanistic perspective. Nevertheless, the process of successfully translating genetic insights into effective precision medicines is a challenge that has inspired our mission as a company as well as our name, Maze Therapeutics.</w:t>
      </w:r>
    </w:p>
    <w:p>
      <w:pPr>
        <w:spacing w:after="0" w:line="99" w:lineRule="exact"/>
        <w:rPr>
          <w:sz w:val="20"/>
          <w:szCs w:val="20"/>
          <w:color w:val="auto"/>
        </w:rPr>
      </w:pPr>
    </w:p>
    <w:p>
      <w:pPr>
        <w:ind w:left="300" w:right="140"/>
        <w:spacing w:after="0" w:line="242" w:lineRule="auto"/>
        <w:rPr>
          <w:sz w:val="20"/>
          <w:szCs w:val="20"/>
          <w:color w:val="auto"/>
        </w:rPr>
      </w:pPr>
      <w:r>
        <w:rPr>
          <w:rFonts w:ascii="Arial" w:cs="Arial" w:eastAsia="Arial" w:hAnsi="Arial"/>
          <w:sz w:val="18"/>
          <w:szCs w:val="18"/>
          <w:color w:val="auto"/>
        </w:rPr>
        <w:t>Based on insights from our Compass platform, we design our therapeutic candidates to modulate the target of interest, either by mimicking the beneficial effects of certain protective variants or by blocking the unwanted activity associated with toxic variants, to address the underlying biological drivers of disease. Our process of designing precision medicines that take into account the genetic drivers of disease in defined patient groups parallels many of the foundational principles of precision oncology, which has revolutionized the treatment landscape in cancer, and, we believe, may help streamline our development efforts and increase our odds of clinical success.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team and investors</w:t>
      </w:r>
    </w:p>
    <w:p>
      <w:pPr>
        <w:spacing w:after="0" w:line="135" w:lineRule="exact"/>
        <w:rPr>
          <w:sz w:val="20"/>
          <w:szCs w:val="20"/>
          <w:color w:val="auto"/>
        </w:rPr>
      </w:pPr>
    </w:p>
    <w:p>
      <w:pPr>
        <w:ind w:left="300" w:right="180"/>
        <w:spacing w:after="0" w:line="253" w:lineRule="auto"/>
        <w:rPr>
          <w:sz w:val="20"/>
          <w:szCs w:val="20"/>
          <w:color w:val="auto"/>
        </w:rPr>
      </w:pPr>
      <w:r>
        <w:rPr>
          <w:rFonts w:ascii="Arial" w:cs="Arial" w:eastAsia="Arial" w:hAnsi="Arial"/>
          <w:sz w:val="18"/>
          <w:szCs w:val="18"/>
          <w:color w:val="auto"/>
        </w:rPr>
        <w:t>Our leadership team and board of directors have significant experience discovering, developing and commercializing therapies. Our syndicate of investors has renowned life sciences experience and a shared, dedicated goal of transforming the lives of patients by creating a leading precision medicine company in the CVRM disease spaces.</w:t>
      </w:r>
    </w:p>
    <w:p>
      <w:pPr>
        <w:spacing w:after="0" w:line="101" w:lineRule="exact"/>
        <w:rPr>
          <w:sz w:val="20"/>
          <w:szCs w:val="20"/>
          <w:color w:val="auto"/>
        </w:rPr>
      </w:pPr>
    </w:p>
    <w:p>
      <w:pPr>
        <w:ind w:left="300"/>
        <w:spacing w:after="0" w:line="253" w:lineRule="auto"/>
        <w:rPr>
          <w:sz w:val="20"/>
          <w:szCs w:val="20"/>
          <w:color w:val="auto"/>
        </w:rPr>
      </w:pPr>
      <w:r>
        <w:rPr>
          <w:rFonts w:ascii="Arial" w:cs="Arial" w:eastAsia="Arial" w:hAnsi="Arial"/>
          <w:sz w:val="18"/>
          <w:szCs w:val="18"/>
          <w:b w:val="1"/>
          <w:bCs w:val="1"/>
          <w:i w:val="1"/>
          <w:iCs w:val="1"/>
          <w:color w:val="auto"/>
        </w:rPr>
        <w:t xml:space="preserve">Jason Coloma, Ph.D., M.P.H., </w:t>
      </w:r>
      <w:r>
        <w:rPr>
          <w:rFonts w:ascii="Arial" w:cs="Arial" w:eastAsia="Arial" w:hAnsi="Arial"/>
          <w:sz w:val="18"/>
          <w:szCs w:val="18"/>
          <w:color w:val="auto"/>
        </w:rPr>
        <w:t>our Chief Executive Officer, brings over 20 years of life science leadership experience. 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recently operated as a venture partner at Third Rock Ventures, LLC, or Third Rock Ventures, during which time he served as the Chief Operating Officer of Maze before being appointed CEO.</w:t>
      </w:r>
    </w:p>
    <w:p>
      <w:pPr>
        <w:spacing w:after="0" w:line="88" w:lineRule="exact"/>
        <w:rPr>
          <w:sz w:val="20"/>
          <w:szCs w:val="20"/>
          <w:color w:val="auto"/>
        </w:rPr>
      </w:pPr>
    </w:p>
    <w:p>
      <w:pPr>
        <w:ind w:left="300" w:right="380"/>
        <w:spacing w:after="0" w:line="244" w:lineRule="auto"/>
        <w:rPr>
          <w:sz w:val="20"/>
          <w:szCs w:val="20"/>
          <w:color w:val="auto"/>
        </w:rPr>
      </w:pPr>
      <w:r>
        <w:rPr>
          <w:rFonts w:ascii="Arial" w:cs="Arial" w:eastAsia="Arial" w:hAnsi="Arial"/>
          <w:sz w:val="18"/>
          <w:szCs w:val="18"/>
          <w:b w:val="1"/>
          <w:bCs w:val="1"/>
          <w:i w:val="1"/>
          <w:iCs w:val="1"/>
          <w:color w:val="auto"/>
        </w:rPr>
        <w:t xml:space="preserve">Harold Bernstein, M.D., Ph.D., </w:t>
      </w:r>
      <w:r>
        <w:rPr>
          <w:rFonts w:ascii="Arial" w:cs="Arial" w:eastAsia="Arial" w:hAnsi="Arial"/>
          <w:sz w:val="18"/>
          <w:szCs w:val="18"/>
          <w:color w:val="auto"/>
        </w:rPr>
        <w:t>our President, Research &amp; Development and Chief Medical Officer, brings over 30 years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 scientific research, translational medicine and clinical development. Dr. Bernstein most recently was Chief Medical Officer and Head of Global Clinical Development at BioMarin Pharmaceuticals Inc. He previously served as Head of Translational Medicine at Vertex Pharmaceuticals Incorporated, or Vertex, and held roles of increasing responsibility at Merck and Co., Inc., including Head of Early Development for Cardiometabolic Diseases.</w:t>
      </w:r>
    </w:p>
    <w:p>
      <w:pPr>
        <w:spacing w:after="0" w:line="109" w:lineRule="exact"/>
        <w:rPr>
          <w:sz w:val="20"/>
          <w:szCs w:val="20"/>
          <w:color w:val="auto"/>
        </w:rPr>
      </w:pPr>
    </w:p>
    <w:p>
      <w:pPr>
        <w:ind w:left="300" w:right="140"/>
        <w:spacing w:after="0" w:line="275" w:lineRule="auto"/>
        <w:rPr>
          <w:sz w:val="20"/>
          <w:szCs w:val="20"/>
          <w:color w:val="auto"/>
        </w:rPr>
      </w:pPr>
      <w:r>
        <w:rPr>
          <w:rFonts w:ascii="Arial" w:cs="Arial" w:eastAsia="Arial" w:hAnsi="Arial"/>
          <w:sz w:val="17"/>
          <w:szCs w:val="17"/>
          <w:b w:val="1"/>
          <w:bCs w:val="1"/>
          <w:i w:val="1"/>
          <w:iCs w:val="1"/>
          <w:color w:val="auto"/>
        </w:rPr>
        <w:t xml:space="preserve">Atul Dandekar, </w:t>
      </w:r>
      <w:r>
        <w:rPr>
          <w:rFonts w:ascii="Arial" w:cs="Arial" w:eastAsia="Arial" w:hAnsi="Arial"/>
          <w:sz w:val="17"/>
          <w:szCs w:val="17"/>
          <w:color w:val="auto"/>
        </w:rPr>
        <w:t>our Chief Strategy Officer, brings over 20 years of experience in strategy, clinical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commercialization. Mr. Dandekar most recently was VP, Global Franchise Head for Ophthalmology at Genentech, Inc., or Genetech, and F. Hoffmann-La Roche AG, or Roche, and previously served as Senior Global Program Head in Neuroscience at Novartis AG.</w:t>
      </w:r>
    </w:p>
    <w:p>
      <w:pPr>
        <w:spacing w:after="0" w:line="2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13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60"/>
        <w:spacing w:after="0" w:line="271" w:lineRule="auto"/>
        <w:rPr>
          <w:sz w:val="20"/>
          <w:szCs w:val="20"/>
          <w:color w:val="auto"/>
        </w:rPr>
      </w:pPr>
      <w:r>
        <w:rPr>
          <w:rFonts w:ascii="Arial" w:cs="Arial" w:eastAsia="Arial" w:hAnsi="Arial"/>
          <w:sz w:val="18"/>
          <w:szCs w:val="18"/>
          <w:color w:val="auto"/>
        </w:rPr>
        <w:t>Since our inception, we have raised approximately $424.0 million from leading life science investors, including our 5% or greater stockholders, Third Rock Ventures, ARCH Venture Partners, Matrix Capital Management and Google Ventures.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strategy</w:t>
      </w:r>
    </w:p>
    <w:p>
      <w:pPr>
        <w:spacing w:after="0" w:line="148" w:lineRule="exact"/>
        <w:rPr>
          <w:sz w:val="20"/>
          <w:szCs w:val="20"/>
          <w:color w:val="auto"/>
        </w:rPr>
      </w:pPr>
    </w:p>
    <w:p>
      <w:pPr>
        <w:ind w:left="300" w:right="20"/>
        <w:spacing w:after="0" w:line="247" w:lineRule="auto"/>
        <w:rPr>
          <w:sz w:val="20"/>
          <w:szCs w:val="20"/>
          <w:color w:val="auto"/>
        </w:rPr>
      </w:pPr>
      <w:r>
        <w:rPr>
          <w:rFonts w:ascii="Arial" w:cs="Arial" w:eastAsia="Arial" w:hAnsi="Arial"/>
          <w:sz w:val="18"/>
          <w:szCs w:val="18"/>
          <w:color w:val="auto"/>
        </w:rPr>
        <w:t>We leverage our Compass platform to discover and develop precision medicines in subsets of common diseases to achieve improved treatment outcomes for patients. Our focus on common CVRM diseases, including obesity, is driven in part by the emerging understanding of the interconnectivity of these diseases. By focusing on these common diseases, we believe we can maximize our impact on human health.</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core elements of our business strategy are to:</w:t>
      </w:r>
    </w:p>
    <w:p>
      <w:pPr>
        <w:spacing w:after="0" w:line="146" w:lineRule="exact"/>
        <w:rPr>
          <w:sz w:val="20"/>
          <w:szCs w:val="20"/>
          <w:color w:val="auto"/>
        </w:rPr>
      </w:pPr>
    </w:p>
    <w:p>
      <w:pPr>
        <w:ind w:left="480" w:right="400" w:hanging="186"/>
        <w:spacing w:after="0" w:line="278"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Advance the clinical development of MZE829 and MZE782 for the treatment of CKD, a disease affecting a large patient population with high unmet need.</w:t>
      </w:r>
    </w:p>
    <w:p>
      <w:pPr>
        <w:spacing w:after="0" w:line="73" w:lineRule="exact"/>
        <w:rPr>
          <w:rFonts w:ascii="Arial" w:cs="Arial" w:eastAsia="Arial" w:hAnsi="Arial"/>
          <w:sz w:val="18"/>
          <w:szCs w:val="18"/>
          <w:color w:val="auto"/>
        </w:rPr>
      </w:pPr>
    </w:p>
    <w:p>
      <w:pPr>
        <w:ind w:left="480" w:hanging="186"/>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Leverage our proprietary Compass platform to expand our pipeline of precision medicine candidates.</w:t>
      </w:r>
    </w:p>
    <w:p>
      <w:pPr>
        <w:spacing w:after="0" w:line="144" w:lineRule="exact"/>
        <w:rPr>
          <w:rFonts w:ascii="Arial" w:cs="Arial" w:eastAsia="Arial" w:hAnsi="Arial"/>
          <w:sz w:val="18"/>
          <w:szCs w:val="18"/>
          <w:color w:val="auto"/>
        </w:rPr>
      </w:pPr>
    </w:p>
    <w:p>
      <w:pPr>
        <w:ind w:left="480" w:hanging="186"/>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Enhance our Compass platform and methodology.</w:t>
      </w:r>
    </w:p>
    <w:p>
      <w:pPr>
        <w:spacing w:after="0" w:line="142" w:lineRule="exact"/>
        <w:rPr>
          <w:rFonts w:ascii="Arial" w:cs="Arial" w:eastAsia="Arial" w:hAnsi="Arial"/>
          <w:sz w:val="18"/>
          <w:szCs w:val="18"/>
          <w:color w:val="auto"/>
        </w:rPr>
      </w:pPr>
    </w:p>
    <w:p>
      <w:pPr>
        <w:ind w:left="480" w:hanging="186"/>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Maximize the commercial potential of our pipeline</w:t>
      </w:r>
      <w:r>
        <w:rPr>
          <w:rFonts w:ascii="Arial" w:cs="Arial" w:eastAsia="Arial" w:hAnsi="Arial"/>
          <w:sz w:val="18"/>
          <w:szCs w:val="18"/>
          <w:color w:val="auto"/>
        </w:rPr>
        <w:t>.</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Summary of risks affecting us</w:t>
      </w:r>
    </w:p>
    <w:p>
      <w:pPr>
        <w:spacing w:after="0" w:line="135" w:lineRule="exact"/>
        <w:rPr>
          <w:sz w:val="20"/>
          <w:szCs w:val="20"/>
          <w:color w:val="auto"/>
        </w:rPr>
      </w:pPr>
    </w:p>
    <w:p>
      <w:pPr>
        <w:ind w:left="300" w:right="120"/>
        <w:spacing w:after="0" w:line="247" w:lineRule="auto"/>
        <w:rPr>
          <w:sz w:val="20"/>
          <w:szCs w:val="20"/>
          <w:color w:val="auto"/>
        </w:rPr>
      </w:pPr>
      <w:r>
        <w:rPr>
          <w:rFonts w:ascii="Arial" w:cs="Arial" w:eastAsia="Arial" w:hAnsi="Arial"/>
          <w:sz w:val="18"/>
          <w:szCs w:val="18"/>
          <w:color w:val="auto"/>
        </w:rPr>
        <w:t>Our business and our ability to implement our business strategy are subject to numerous risks, as more fully described in the section entitled “Risk factors” immediately following this prospectus summary. You should read these risks before you invest in our common stock. We may be unable, for many reasons, including those that are beyond our control, to implement our business strategy. In particular, risks associated with our business include:</w:t>
      </w:r>
    </w:p>
    <w:p>
      <w:pPr>
        <w:spacing w:after="0" w:line="106" w:lineRule="exact"/>
        <w:rPr>
          <w:sz w:val="20"/>
          <w:szCs w:val="20"/>
          <w:color w:val="auto"/>
        </w:rPr>
      </w:pPr>
    </w:p>
    <w:p>
      <w:pPr>
        <w:ind w:left="480" w:right="20" w:hanging="186"/>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limited operating history, which may make it difficult to evaluate the success of our business to date and to assess our future viability. Since our inception, we have incurred significant operating losses and have not generated any revenue. We expect to incur continued losses for the foreseeable future and may never achieve or maintain profitability.</w:t>
      </w:r>
    </w:p>
    <w:p>
      <w:pPr>
        <w:spacing w:after="0" w:line="106" w:lineRule="exact"/>
        <w:rPr>
          <w:rFonts w:ascii="Arial" w:cs="Arial" w:eastAsia="Arial" w:hAnsi="Arial"/>
          <w:sz w:val="18"/>
          <w:szCs w:val="18"/>
          <w:color w:val="auto"/>
        </w:rPr>
      </w:pPr>
    </w:p>
    <w:p>
      <w:pPr>
        <w:ind w:left="480" w:hanging="186"/>
        <w:spacing w:after="0" w:line="253"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101" w:lineRule="exact"/>
        <w:rPr>
          <w:rFonts w:ascii="Arial" w:cs="Arial" w:eastAsia="Arial" w:hAnsi="Arial"/>
          <w:sz w:val="18"/>
          <w:szCs w:val="18"/>
          <w:color w:val="auto"/>
        </w:rPr>
      </w:pPr>
    </w:p>
    <w:p>
      <w:pPr>
        <w:ind w:left="480" w:right="460" w:hanging="186"/>
        <w:spacing w:after="0" w:line="301"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early in our development efforts and highly dependent on the success of our lead programs. If we are unable to commercialize our therapeutic candidates or experience significant delays in doing so, our business will be materially harmed.</w:t>
      </w:r>
    </w:p>
    <w:p>
      <w:pPr>
        <w:spacing w:after="0" w:line="63" w:lineRule="exact"/>
        <w:rPr>
          <w:rFonts w:ascii="Arial" w:cs="Arial" w:eastAsia="Arial" w:hAnsi="Arial"/>
          <w:sz w:val="17"/>
          <w:szCs w:val="17"/>
          <w:color w:val="auto"/>
        </w:rPr>
      </w:pPr>
    </w:p>
    <w:p>
      <w:pPr>
        <w:ind w:left="480" w:right="160" w:hanging="186"/>
        <w:spacing w:after="0" w:line="24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and clinical drug development is a lengthy and expensive process, with uncertain timelines and outcomes. If preclinical studies or clinical trials of our therapeutic candidates are prolonged or delayed, we may be unable to obtain required regulatory approvals, and therefore be unable to commercialize our therapeutic candidates or any of our future therapeutic candidates on a timely basis or at all.</w:t>
      </w:r>
    </w:p>
    <w:p>
      <w:pPr>
        <w:spacing w:after="0" w:line="106" w:lineRule="exact"/>
        <w:rPr>
          <w:rFonts w:ascii="Arial" w:cs="Arial" w:eastAsia="Arial" w:hAnsi="Arial"/>
          <w:sz w:val="18"/>
          <w:szCs w:val="18"/>
          <w:color w:val="auto"/>
        </w:rPr>
      </w:pPr>
    </w:p>
    <w:p>
      <w:pPr>
        <w:ind w:left="480" w:hanging="186"/>
        <w:spacing w:after="0" w:line="271"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applying our Compass platform to identify targets with therapeutic potential or to discover and develop safe, effective or commercially viable therapeutic candidates.</w:t>
      </w: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0" w:right="480" w:hanging="186"/>
        <w:spacing w:after="0" w:line="253"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Compass platform relies on access to high quality data repositories with paired genetic and clinical data and loss of such access, or the inability to use such data, could have a material adverse effect on our business, financial condition, results of operations and prospects.</w:t>
      </w:r>
    </w:p>
    <w:p>
      <w:pPr>
        <w:spacing w:after="0" w:line="101" w:lineRule="exact"/>
        <w:rPr>
          <w:rFonts w:ascii="Arial" w:cs="Arial" w:eastAsia="Arial" w:hAnsi="Arial"/>
          <w:sz w:val="18"/>
          <w:szCs w:val="18"/>
          <w:color w:val="auto"/>
        </w:rPr>
      </w:pPr>
    </w:p>
    <w:p>
      <w:pPr>
        <w:jc w:val="both"/>
        <w:ind w:left="480" w:right="200" w:hanging="186"/>
        <w:spacing w:after="0" w:line="253"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entered, and may in the future enter, into strategic collaborations, transactions and licensing partnerships for research, development or commercialization of our programs, including our first therapeutic candidate MZE001, and we may not be able to realize the full value of these partnerships or our partnered programs.</w:t>
      </w:r>
    </w:p>
    <w:p>
      <w:pPr>
        <w:spacing w:after="0" w:line="101" w:lineRule="exact"/>
        <w:rPr>
          <w:rFonts w:ascii="Arial" w:cs="Arial" w:eastAsia="Arial" w:hAnsi="Arial"/>
          <w:sz w:val="18"/>
          <w:szCs w:val="18"/>
          <w:color w:val="auto"/>
        </w:rPr>
      </w:pPr>
    </w:p>
    <w:p>
      <w:pPr>
        <w:ind w:left="480" w:right="40" w:hanging="186"/>
        <w:spacing w:after="0" w:line="253"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change and there is a possibility that our competitors may achieve regulatory approval before us or develop therapies or technologies that are more advanced or effective than ours, which may harm our business and financial condition, and our ability to successfully market or commercialize our therapeutic candidates.</w:t>
      </w:r>
    </w:p>
    <w:p>
      <w:pPr>
        <w:spacing w:after="0" w:line="101" w:lineRule="exact"/>
        <w:rPr>
          <w:rFonts w:ascii="Arial" w:cs="Arial" w:eastAsia="Arial" w:hAnsi="Arial"/>
          <w:sz w:val="18"/>
          <w:szCs w:val="18"/>
          <w:color w:val="auto"/>
        </w:rPr>
      </w:pPr>
    </w:p>
    <w:p>
      <w:pPr>
        <w:ind w:left="480" w:right="120" w:hanging="186"/>
        <w:spacing w:after="0" w:line="242"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in part on our and our partners’ ability to obtain, maintain, enforce and protect our intellectual property and proprietary rights. It is difficult and costly to protect our intellectual property rights and technologies, and we may not be able to ensure their protection. If we are unable to adequately protect our technologies or obtain and maintain patent protection for our technologies and products or if the scope of the patent protection obtained is not sufficiently broad, our competitors could develop and commercialize technologies and products similar or identical to ours, and our ability to successfully commercialize our technologies and products may be impaired.</w:t>
      </w:r>
    </w:p>
    <w:p>
      <w:pPr>
        <w:spacing w:after="0" w:line="111" w:lineRule="exact"/>
        <w:rPr>
          <w:rFonts w:ascii="Arial" w:cs="Arial" w:eastAsia="Arial" w:hAnsi="Arial"/>
          <w:sz w:val="18"/>
          <w:szCs w:val="18"/>
          <w:color w:val="auto"/>
        </w:rPr>
      </w:pPr>
    </w:p>
    <w:p>
      <w:pPr>
        <w:ind w:left="480" w:right="180" w:hanging="186"/>
        <w:spacing w:after="0" w:line="257"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sued for infringing, misappropriating or otherwise violating intellectual property or proprietary rights of third parties, such litigation or disputes could be costly and time-consuming and could prevent or delay us from developing or commercializing our therapeutic candidates</w:t>
      </w:r>
      <w:r>
        <w:rPr>
          <w:rFonts w:ascii="Arial" w:cs="Arial" w:eastAsia="Arial" w:hAnsi="Arial"/>
          <w:sz w:val="18"/>
          <w:szCs w:val="18"/>
          <w:b w:val="1"/>
          <w:bCs w:val="1"/>
          <w:i w:val="1"/>
          <w:iCs w:val="1"/>
          <w:color w:val="auto"/>
        </w:rPr>
        <w:t>.</w:t>
      </w:r>
    </w:p>
    <w:p>
      <w:pPr>
        <w:spacing w:after="0" w:line="91" w:lineRule="exact"/>
        <w:rPr>
          <w:rFonts w:ascii="Arial" w:cs="Arial" w:eastAsia="Arial" w:hAnsi="Arial"/>
          <w:sz w:val="18"/>
          <w:szCs w:val="18"/>
          <w:color w:val="auto"/>
        </w:rPr>
      </w:pPr>
    </w:p>
    <w:p>
      <w:pPr>
        <w:ind w:left="480" w:hanging="186"/>
        <w:spacing w:after="0" w:line="253"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of the diseases we, or which our partners, seek to treat have low prevalence and/or have available therapies, and it may be difficult for us or our partners to identify patients with these diseases or face competition in the recruitment of these limited groups of patients, which may lead to difficulties in enrolling clinical trials.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information</w:t>
      </w:r>
    </w:p>
    <w:p>
      <w:pPr>
        <w:spacing w:after="0" w:line="148" w:lineRule="exact"/>
        <w:rPr>
          <w:sz w:val="20"/>
          <w:szCs w:val="20"/>
          <w:color w:val="auto"/>
        </w:rPr>
      </w:pPr>
    </w:p>
    <w:p>
      <w:pPr>
        <w:ind w:left="300" w:right="460"/>
        <w:spacing w:after="0" w:line="253" w:lineRule="auto"/>
        <w:rPr>
          <w:sz w:val="20"/>
          <w:szCs w:val="20"/>
          <w:color w:val="auto"/>
        </w:rPr>
      </w:pPr>
      <w:r>
        <w:rPr>
          <w:rFonts w:ascii="Arial" w:cs="Arial" w:eastAsia="Arial" w:hAnsi="Arial"/>
          <w:sz w:val="18"/>
          <w:szCs w:val="18"/>
          <w:color w:val="auto"/>
        </w:rPr>
        <w:t>We were incorporated under the laws of the State of Delaware on August 29, 2017, originally under the name Genetic Modifiers NewCo, Inc. We changed our name on July 5, 2018 to Modulus Therapeutics, Inc. and on September 25, 2018, to Maze Therapeutics, Inc.</w:t>
      </w:r>
    </w:p>
    <w:p>
      <w:pPr>
        <w:spacing w:after="0" w:line="88" w:lineRule="exact"/>
        <w:rPr>
          <w:sz w:val="20"/>
          <w:szCs w:val="20"/>
          <w:color w:val="auto"/>
        </w:rPr>
      </w:pPr>
    </w:p>
    <w:p>
      <w:pPr>
        <w:ind w:left="300" w:right="480"/>
        <w:spacing w:after="0" w:line="253" w:lineRule="auto"/>
        <w:rPr>
          <w:sz w:val="20"/>
          <w:szCs w:val="20"/>
          <w:color w:val="auto"/>
        </w:rPr>
      </w:pPr>
      <w:r>
        <w:rPr>
          <w:rFonts w:ascii="Arial" w:cs="Arial" w:eastAsia="Arial" w:hAnsi="Arial"/>
          <w:sz w:val="18"/>
          <w:szCs w:val="18"/>
          <w:color w:val="auto"/>
        </w:rPr>
        <w:t>Our principal executive offices are located at 171 Oyster Point Blvd., Suite 300, South San Francisco, California 94080, and our telephone number is (650) 850-5070. Our website address is www.mazetx.com. The information contained on, or that can be accessed through, our website is not part of, and is not incorporated by reference into, this prospectus.</w:t>
      </w:r>
    </w:p>
    <w:p>
      <w:pPr>
        <w:spacing w:after="0" w:line="101" w:lineRule="exact"/>
        <w:rPr>
          <w:sz w:val="20"/>
          <w:szCs w:val="20"/>
          <w:color w:val="auto"/>
        </w:rPr>
      </w:pPr>
    </w:p>
    <w:p>
      <w:pPr>
        <w:ind w:left="300" w:right="160"/>
        <w:spacing w:after="0" w:line="223" w:lineRule="auto"/>
        <w:rPr>
          <w:sz w:val="20"/>
          <w:szCs w:val="20"/>
          <w:color w:val="auto"/>
        </w:rPr>
      </w:pPr>
      <w:r>
        <w:rPr>
          <w:rFonts w:ascii="Arial" w:cs="Arial" w:eastAsia="Arial" w:hAnsi="Arial"/>
          <w:sz w:val="18"/>
          <w:szCs w:val="18"/>
          <w:color w:val="auto"/>
        </w:rPr>
        <w:t xml:space="preserve">The mark “Maze Therapeutics,” the Maze logo, “Maze Compass” and all product names are our registered or common law trademarks. All other service marks, trademarks and trade names appearing in this prospectus are the property of their respective owners. Solely for convenience, the trademarks and tradenames referred to in this prospectus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an emerging growth company and a smaller reporting company</w:t>
      </w:r>
    </w:p>
    <w:p>
      <w:pPr>
        <w:spacing w:after="0" w:line="148" w:lineRule="exact"/>
        <w:rPr>
          <w:sz w:val="20"/>
          <w:szCs w:val="20"/>
          <w:color w:val="auto"/>
        </w:rPr>
      </w:pPr>
    </w:p>
    <w:p>
      <w:pPr>
        <w:ind w:left="300" w:right="360"/>
        <w:spacing w:after="0" w:line="271"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or EGC, as defined in the Jumpstart Our Business Startups Act of 2012, or the JOBS Act. An</w:t>
      </w:r>
    </w:p>
    <w:p>
      <w:pPr>
        <w:spacing w:after="0" w:line="2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16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EGC may take advantage of certain exemptions from various reporting requirements that are applicable to other public companies.</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These provisions include, but are not limited to:</w:t>
      </w:r>
    </w:p>
    <w:p>
      <w:pPr>
        <w:spacing w:after="0" w:line="126" w:lineRule="exact"/>
        <w:rPr>
          <w:sz w:val="20"/>
          <w:szCs w:val="20"/>
          <w:color w:val="auto"/>
        </w:rPr>
      </w:pPr>
    </w:p>
    <w:p>
      <w:pPr>
        <w:ind w:left="480" w:right="320" w:hanging="186"/>
        <w:spacing w:after="0" w:line="271"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reduced related “Management’s discussion and analysis of financial condition and results of operations” disclosure in this prospectus;</w:t>
      </w:r>
    </w:p>
    <w:p>
      <w:pPr>
        <w:spacing w:after="0" w:line="86" w:lineRule="exact"/>
        <w:rPr>
          <w:rFonts w:ascii="Arial" w:cs="Arial" w:eastAsia="Arial" w:hAnsi="Arial"/>
          <w:sz w:val="18"/>
          <w:szCs w:val="18"/>
          <w:color w:val="auto"/>
        </w:rPr>
      </w:pPr>
    </w:p>
    <w:p>
      <w:pPr>
        <w:ind w:left="480" w:right="620" w:hanging="186"/>
        <w:spacing w:after="0" w:line="271"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 on the effectiveness of our internal controls over financial reporting;</w:t>
      </w:r>
    </w:p>
    <w:p>
      <w:pPr>
        <w:spacing w:after="0" w:line="86" w:lineRule="exact"/>
        <w:rPr>
          <w:rFonts w:ascii="Arial" w:cs="Arial" w:eastAsia="Arial" w:hAnsi="Arial"/>
          <w:sz w:val="18"/>
          <w:szCs w:val="18"/>
          <w:color w:val="auto"/>
        </w:rPr>
      </w:pPr>
    </w:p>
    <w:p>
      <w:pPr>
        <w:ind w:left="480" w:hanging="186"/>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arrangements; and</w:t>
      </w:r>
    </w:p>
    <w:p>
      <w:pPr>
        <w:spacing w:after="0" w:line="144" w:lineRule="exact"/>
        <w:rPr>
          <w:rFonts w:ascii="Arial" w:cs="Arial" w:eastAsia="Arial" w:hAnsi="Arial"/>
          <w:sz w:val="18"/>
          <w:szCs w:val="18"/>
          <w:color w:val="auto"/>
        </w:rPr>
      </w:pPr>
    </w:p>
    <w:p>
      <w:pPr>
        <w:ind w:left="480" w:right="200" w:hanging="186"/>
        <w:spacing w:after="0" w:line="271"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73" w:lineRule="exact"/>
        <w:rPr>
          <w:sz w:val="20"/>
          <w:szCs w:val="20"/>
          <w:color w:val="auto"/>
        </w:rPr>
      </w:pPr>
    </w:p>
    <w:p>
      <w:pPr>
        <w:ind w:left="300" w:right="40"/>
        <w:spacing w:after="0" w:line="266" w:lineRule="auto"/>
        <w:rPr>
          <w:sz w:val="20"/>
          <w:szCs w:val="20"/>
          <w:color w:val="auto"/>
        </w:rPr>
      </w:pPr>
      <w:r>
        <w:rPr>
          <w:rFonts w:ascii="Arial" w:cs="Arial" w:eastAsia="Arial" w:hAnsi="Arial"/>
          <w:sz w:val="17"/>
          <w:szCs w:val="17"/>
          <w:color w:val="auto"/>
        </w:rPr>
        <w:t>We will remain an EGC until the earliest to occur of: (1) the last day of our fiscal year in which we have more than $1.235 billion in annual revenue; (2) the date we qualify as a “large accelerated filer,” as defined under Rule 12b-2 of the Securities Exchange Act of 1934, as amended, or the Exchange Act; (3) the date on which we have issued, in any three-year period, more than $1.0 billion in non-convertible debt securities; or (4) the last day of our fiscal year ending after the fifth anniversary of the completion of this offering.</w:t>
      </w:r>
    </w:p>
    <w:p>
      <w:pPr>
        <w:spacing w:after="0" w:line="92" w:lineRule="exact"/>
        <w:rPr>
          <w:sz w:val="20"/>
          <w:szCs w:val="20"/>
          <w:color w:val="auto"/>
        </w:rPr>
      </w:pPr>
    </w:p>
    <w:p>
      <w:pPr>
        <w:ind w:left="300" w:right="280"/>
        <w:spacing w:after="0" w:line="247" w:lineRule="auto"/>
        <w:rPr>
          <w:sz w:val="20"/>
          <w:szCs w:val="20"/>
          <w:color w:val="auto"/>
        </w:rPr>
      </w:pPr>
      <w:r>
        <w:rPr>
          <w:rFonts w:ascii="Arial" w:cs="Arial" w:eastAsia="Arial" w:hAnsi="Arial"/>
          <w:sz w:val="18"/>
          <w:szCs w:val="18"/>
          <w:color w:val="auto"/>
        </w:rPr>
        <w:t>We have elected to take advantage of certain of the reduced disclosure obligations for EGCs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06" w:lineRule="exact"/>
        <w:rPr>
          <w:sz w:val="20"/>
          <w:szCs w:val="20"/>
          <w:color w:val="auto"/>
        </w:rPr>
      </w:pPr>
    </w:p>
    <w:p>
      <w:pPr>
        <w:ind w:left="300"/>
        <w:spacing w:after="0" w:line="237" w:lineRule="auto"/>
        <w:rPr>
          <w:sz w:val="20"/>
          <w:szCs w:val="20"/>
          <w:color w:val="auto"/>
        </w:rPr>
      </w:pPr>
      <w:r>
        <w:rPr>
          <w:rFonts w:ascii="Arial" w:cs="Arial" w:eastAsia="Arial" w:hAnsi="Arial"/>
          <w:sz w:val="18"/>
          <w:szCs w:val="18"/>
          <w:color w:val="auto"/>
        </w:rPr>
        <w:t>The JOBS Act provides that an EGC can take advantage of an extended transition period for complying with new or revised accounting standards, until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financial statements may not be comparable to companies that comply with such new or revised accounting standards. Until the date that we are no longer an EGC or affirmatively and irrevocably opt out of the exemption provided by Section 7(a)(2)(B) of the Securities Act of 1933, as amended, or the Securities Act, upon issuance of a new or revised accounting standard that applies to our financial statements and that has a different effective date for public and private companies, we will disclose the date on which adoption is required for non-EGCs and the date on which we will adopt the recently issued accounting standard. We are also a “smaller reporting company,” or SRC, meaning that the market value of our capital stock held by non-affiliates plus the proposed aggregate amount of gross proceeds to us as a result of this offering is less than $ 700.0 million and our annual revenue is less than $100.0 million during our most recently completed fiscal year. We may continue to be a SRC after this offering if either (i) the market value of our capital stock held by non-affiliates is less than $250.0 million or (ii) our annual revenue was less than $100.0 million during our most recently completed fiscal year and the market value of our capital stock held by non-affiliates is less than $700.0 million. If we are a SRC at the time we cease to be an EGC, we may continue to rely on exemptions from certain disclosure requirements that are available to SRCs. Specifically, as a SRC, we may choose to present only the two most recent fiscal years of audited financial statements in our Annual Report on Form 10-K and we are not required to comply with the auditor attestation requirements of Section 404(b) of the Sarbanes-Oxley Act and, similar to EGCs, SRCs have reduced disclosure obligations regarding executive compensation.</w:t>
      </w:r>
    </w:p>
    <w:p>
      <w:pPr>
        <w:spacing w:after="0" w:line="2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907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49072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8"/>
          <w:szCs w:val="28"/>
          <w:b w:val="1"/>
          <w:bCs w:val="1"/>
          <w:color w:val="auto"/>
        </w:rPr>
        <w:t>The offering</w:t>
      </w:r>
    </w:p>
    <w:p>
      <w:pPr>
        <w:sectPr>
          <w:pgSz w:w="11900" w:h="16838" w:orient="portrait"/>
          <w:cols w:equalWidth="0" w:num="1">
            <w:col w:w="10920"/>
          </w:cols>
          <w:pgMar w:left="320" w:top="455" w:right="659" w:bottom="1440" w:gutter="0" w:footer="0" w:header="0"/>
        </w:sectPr>
      </w:pPr>
    </w:p>
    <w:p>
      <w:pPr>
        <w:spacing w:after="0" w:line="17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shares</w:t>
      </w:r>
    </w:p>
    <w:p>
      <w:pPr>
        <w:spacing w:after="0" w:line="169" w:lineRule="exact"/>
        <w:rPr>
          <w:sz w:val="20"/>
          <w:szCs w:val="20"/>
          <w:color w:val="auto"/>
        </w:rPr>
      </w:pPr>
    </w:p>
    <w:p>
      <w:pPr>
        <w:sectPr>
          <w:pgSz w:w="11900" w:h="16838" w:orient="portrait"/>
          <w:cols w:equalWidth="0" w:num="2">
            <w:col w:w="2780" w:space="480"/>
            <w:col w:w="7660"/>
          </w:cols>
          <w:pgMar w:left="320" w:top="455" w:right="659" w:bottom="1440" w:gutter="0" w:footer="0" w:header="0"/>
          <w:type w:val="continuous"/>
        </w:sectPr>
      </w:pPr>
    </w:p>
    <w:p>
      <w:pPr>
        <w:ind w:left="300"/>
        <w:spacing w:after="0" w:line="281" w:lineRule="auto"/>
        <w:rPr>
          <w:sz w:val="20"/>
          <w:szCs w:val="20"/>
          <w:color w:val="auto"/>
        </w:rPr>
      </w:pPr>
      <w:r>
        <w:rPr>
          <w:rFonts w:ascii="Arial" w:cs="Arial" w:eastAsia="Arial" w:hAnsi="Arial"/>
          <w:sz w:val="18"/>
          <w:szCs w:val="18"/>
          <w:b w:val="1"/>
          <w:bCs w:val="1"/>
          <w:color w:val="auto"/>
        </w:rPr>
        <w:t>Option to purchase additional shares</w:t>
      </w:r>
    </w:p>
    <w:p>
      <w:pPr>
        <w:spacing w:after="0" w:line="20" w:lineRule="exact"/>
        <w:rPr>
          <w:sz w:val="20"/>
          <w:szCs w:val="20"/>
          <w:color w:val="auto"/>
        </w:rPr>
      </w:pPr>
      <w:r>
        <w:rPr>
          <w:sz w:val="20"/>
          <w:szCs w:val="20"/>
          <w:color w:val="auto"/>
        </w:rPr>
        <w:br w:type="column"/>
      </w:r>
    </w:p>
    <w:p>
      <w:pPr>
        <w:ind w:right="120"/>
        <w:spacing w:after="0" w:line="253" w:lineRule="auto"/>
        <w:rPr>
          <w:sz w:val="20"/>
          <w:szCs w:val="20"/>
          <w:color w:val="auto"/>
        </w:rPr>
      </w:pPr>
      <w:r>
        <w:rPr>
          <w:rFonts w:ascii="Arial" w:cs="Arial" w:eastAsia="Arial" w:hAnsi="Arial"/>
          <w:sz w:val="18"/>
          <w:szCs w:val="18"/>
          <w:color w:val="auto"/>
        </w:rPr>
        <w:t>We have granted the underwriters an option, exercisable for 30 days after the date of this prospectus, to purchase up to an additional         shares from us at the initial public offering price per share less the underwriting discounts and commissions.</w:t>
      </w:r>
    </w:p>
    <w:p>
      <w:pPr>
        <w:spacing w:after="0" w:line="101" w:lineRule="exact"/>
        <w:rPr>
          <w:sz w:val="20"/>
          <w:szCs w:val="20"/>
          <w:color w:val="auto"/>
        </w:rPr>
      </w:pPr>
    </w:p>
    <w:p>
      <w:pPr>
        <w:sectPr>
          <w:pgSz w:w="11900" w:h="16838" w:orient="portrait"/>
          <w:cols w:equalWidth="0" w:num="2">
            <w:col w:w="2840" w:space="420"/>
            <w:col w:w="7660"/>
          </w:cols>
          <w:pgMar w:left="320" w:top="455" w:right="659" w:bottom="1440" w:gutter="0" w:footer="0" w:header="0"/>
          <w:type w:val="continuous"/>
        </w:sectPr>
      </w:pPr>
    </w:p>
    <w:p>
      <w:pPr>
        <w:ind w:left="300"/>
        <w:spacing w:after="0" w:line="311" w:lineRule="auto"/>
        <w:rPr>
          <w:sz w:val="20"/>
          <w:szCs w:val="20"/>
          <w:color w:val="auto"/>
        </w:rPr>
      </w:pPr>
      <w:r>
        <w:rPr>
          <w:rFonts w:ascii="Arial" w:cs="Arial" w:eastAsia="Arial" w:hAnsi="Arial"/>
          <w:sz w:val="17"/>
          <w:szCs w:val="17"/>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ind w:right="640"/>
        <w:spacing w:after="0" w:line="271" w:lineRule="auto"/>
        <w:rPr>
          <w:sz w:val="20"/>
          <w:szCs w:val="20"/>
          <w:color w:val="auto"/>
        </w:rPr>
      </w:pPr>
      <w:r>
        <w:rPr>
          <w:rFonts w:ascii="Arial" w:cs="Arial" w:eastAsia="Arial" w:hAnsi="Arial"/>
          <w:sz w:val="18"/>
          <w:szCs w:val="18"/>
          <w:color w:val="auto"/>
        </w:rPr>
        <w:t>        shares (or         shares, if the underwriters exercise their option to purchase additional shares in full).</w:t>
      </w:r>
    </w:p>
    <w:p>
      <w:pPr>
        <w:spacing w:after="0" w:line="99" w:lineRule="exact"/>
        <w:rPr>
          <w:sz w:val="20"/>
          <w:szCs w:val="20"/>
          <w:color w:val="auto"/>
        </w:rPr>
      </w:pPr>
    </w:p>
    <w:p>
      <w:pPr>
        <w:sectPr>
          <w:pgSz w:w="11900" w:h="16838" w:orient="portrait"/>
          <w:cols w:equalWidth="0" w:num="2">
            <w:col w:w="3160" w:space="100"/>
            <w:col w:w="7660"/>
          </w:cols>
          <w:pgMar w:left="320" w:top="455" w:right="65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242" w:lineRule="auto"/>
        <w:rPr>
          <w:sz w:val="20"/>
          <w:szCs w:val="20"/>
          <w:color w:val="auto"/>
        </w:rPr>
      </w:pPr>
      <w:r>
        <w:rPr>
          <w:rFonts w:ascii="Arial" w:cs="Arial" w:eastAsia="Arial" w:hAnsi="Arial"/>
          <w:sz w:val="18"/>
          <w:szCs w:val="18"/>
          <w:color w:val="auto"/>
        </w:rPr>
        <w:t>We estimate that the net proceeds from this offering will be approximately $         million (or approximately $         million if the underwriters exercise their option to purchase additional shares in full), based upon an assumed initial public offering price of $         per share, which is the midpoint of the estimated price range set forth on the cover of this prospectus, after deducting the estimated underwriting discounts and commissions and estimated offering expenses payable by us.</w:t>
      </w:r>
    </w:p>
    <w:p>
      <w:pPr>
        <w:spacing w:after="0" w:line="111" w:lineRule="exact"/>
        <w:rPr>
          <w:sz w:val="20"/>
          <w:szCs w:val="20"/>
          <w:color w:val="auto"/>
        </w:rPr>
      </w:pPr>
    </w:p>
    <w:p>
      <w:pPr>
        <w:sectPr>
          <w:pgSz w:w="11900" w:h="16838" w:orient="portrait"/>
          <w:cols w:equalWidth="0" w:num="2">
            <w:col w:w="2540" w:space="720"/>
            <w:col w:w="7660"/>
          </w:cols>
          <w:pgMar w:left="320" w:top="455" w:right="659" w:bottom="1440" w:gutter="0" w:footer="0" w:header="0"/>
          <w:type w:val="continuous"/>
        </w:sectPr>
      </w:pPr>
    </w:p>
    <w:p>
      <w:pPr>
        <w:ind w:left="3260" w:right="20"/>
        <w:spacing w:after="0" w:line="244" w:lineRule="auto"/>
        <w:rPr>
          <w:sz w:val="20"/>
          <w:szCs w:val="20"/>
          <w:color w:val="auto"/>
        </w:rPr>
      </w:pPr>
      <w:r>
        <w:rPr>
          <w:rFonts w:ascii="Arial" w:cs="Arial" w:eastAsia="Arial" w:hAnsi="Arial"/>
          <w:sz w:val="18"/>
          <w:szCs w:val="18"/>
          <w:color w:val="auto"/>
        </w:rPr>
        <w:t>We intend to use the net proceeds from this offering, together with our existing cash and cash equivalents, to fund the clinical development of MZE829, MZE782 and our other discovery and preclinical programs, to conduct research, to broaden the pipeline of product candidates, to fund the further development of our Compass platform, and for working capital and other general corporate purposes.</w:t>
      </w:r>
    </w:p>
    <w:p>
      <w:pPr>
        <w:spacing w:after="0" w:line="10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See the section entitled “Use of proceeds” for additional information.</w:t>
      </w:r>
    </w:p>
    <w:p>
      <w:pPr>
        <w:sectPr>
          <w:pgSz w:w="11900" w:h="16838" w:orient="portrait"/>
          <w:cols w:equalWidth="0" w:num="1">
            <w:col w:w="10920"/>
          </w:cols>
          <w:pgMar w:left="320" w:top="455" w:right="659" w:bottom="1440" w:gutter="0" w:footer="0" w:header="0"/>
          <w:type w:val="continuous"/>
        </w:sectPr>
      </w:pP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You should read the section entitled “Risk factors” in this prospectus for a discussion of factors to consider carefully before deciding to invest in shares of our common stock.</w:t>
      </w:r>
    </w:p>
    <w:p>
      <w:pPr>
        <w:spacing w:after="0" w:line="200" w:lineRule="exact"/>
        <w:rPr>
          <w:sz w:val="20"/>
          <w:szCs w:val="20"/>
          <w:color w:val="auto"/>
        </w:rPr>
      </w:pPr>
    </w:p>
    <w:p>
      <w:pPr>
        <w:sectPr>
          <w:pgSz w:w="11900" w:h="16838" w:orient="portrait"/>
          <w:cols w:equalWidth="0" w:num="2">
            <w:col w:w="2540" w:space="720"/>
            <w:col w:w="7660"/>
          </w:cols>
          <w:pgMar w:left="320" w:top="455" w:right="659" w:bottom="1440" w:gutter="0" w:footer="0" w:header="0"/>
          <w:type w:val="continuous"/>
        </w:sectPr>
      </w:pPr>
    </w:p>
    <w:p>
      <w:pPr>
        <w:spacing w:after="0" w:line="75" w:lineRule="exact"/>
        <w:rPr>
          <w:sz w:val="20"/>
          <w:szCs w:val="20"/>
          <w:color w:val="auto"/>
        </w:rPr>
      </w:pPr>
    </w:p>
    <w:p>
      <w:pPr>
        <w:ind w:left="300"/>
        <w:spacing w:after="0" w:line="281" w:lineRule="auto"/>
        <w:rPr>
          <w:sz w:val="20"/>
          <w:szCs w:val="20"/>
          <w:color w:val="auto"/>
        </w:rPr>
      </w:pPr>
      <w:r>
        <w:rPr>
          <w:rFonts w:ascii="Arial" w:cs="Arial" w:eastAsia="Arial" w:hAnsi="Arial"/>
          <w:sz w:val="18"/>
          <w:szCs w:val="18"/>
          <w:b w:val="1"/>
          <w:bCs w:val="1"/>
          <w:color w:val="auto"/>
        </w:rPr>
        <w:t>Proposed Nasdaq Global Market symbol</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“MAZE”</w:t>
      </w:r>
    </w:p>
    <w:p>
      <w:pPr>
        <w:spacing w:after="0" w:line="346" w:lineRule="exact"/>
        <w:rPr>
          <w:sz w:val="20"/>
          <w:szCs w:val="20"/>
          <w:color w:val="auto"/>
        </w:rPr>
      </w:pPr>
    </w:p>
    <w:p>
      <w:pPr>
        <w:sectPr>
          <w:pgSz w:w="11900" w:h="16838" w:orient="portrait"/>
          <w:cols w:equalWidth="0" w:num="2">
            <w:col w:w="3060" w:space="200"/>
            <w:col w:w="7660"/>
          </w:cols>
          <w:pgMar w:left="320" w:top="455" w:right="659" w:bottom="1440" w:gutter="0" w:footer="0" w:header="0"/>
          <w:type w:val="continuous"/>
        </w:sectPr>
      </w:pPr>
    </w:p>
    <w:p>
      <w:pPr>
        <w:ind w:left="300" w:right="60"/>
        <w:spacing w:after="0" w:line="244" w:lineRule="auto"/>
        <w:rPr>
          <w:sz w:val="20"/>
          <w:szCs w:val="20"/>
          <w:color w:val="auto"/>
        </w:rPr>
      </w:pPr>
      <w:r>
        <w:rPr>
          <w:rFonts w:ascii="Arial" w:cs="Arial" w:eastAsia="Arial" w:hAnsi="Arial"/>
          <w:sz w:val="18"/>
          <w:szCs w:val="18"/>
          <w:color w:val="auto"/>
        </w:rPr>
        <w:t>The number of shares of our common stock to be outstanding after this offering is based on (i)         shares of our common stock outstanding as of March 31, 2024, including         shares that are unvested and subject to repurchase or forfeiture, (ii) the automatic conversion of all shares of our outstanding redeemable convertible preferred stock into an aggregate of         shares of our common stock immediately prior to the completion of this offering and (iii) the automatic conversion of all principal and accrued and unpaid interest on our outstanding convertible promissory notes into         shares of our common stock immediately prior to</w:t>
      </w: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5" w:right="6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8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71" w:lineRule="auto"/>
        <w:rPr>
          <w:sz w:val="20"/>
          <w:szCs w:val="20"/>
          <w:color w:val="auto"/>
        </w:rPr>
      </w:pPr>
      <w:r>
        <w:rPr>
          <w:rFonts w:ascii="Arial" w:cs="Arial" w:eastAsia="Arial" w:hAnsi="Arial"/>
          <w:sz w:val="18"/>
          <w:szCs w:val="18"/>
          <w:color w:val="auto"/>
        </w:rPr>
        <w:t>the completion of this offering, based upon an assumed initial public offering price of $        per share, which is the midpoint of the estimated price range set forth on the cover of this prospectus, and excludes:</w:t>
      </w:r>
    </w:p>
    <w:p>
      <w:pPr>
        <w:spacing w:after="0" w:line="86" w:lineRule="exact"/>
        <w:rPr>
          <w:sz w:val="20"/>
          <w:szCs w:val="20"/>
          <w:color w:val="auto"/>
        </w:rPr>
      </w:pPr>
    </w:p>
    <w:p>
      <w:pPr>
        <w:ind w:left="480" w:right="140" w:hanging="188"/>
        <w:spacing w:after="0" w:line="253" w:lineRule="auto"/>
        <w:rPr>
          <w:sz w:val="20"/>
          <w:szCs w:val="20"/>
          <w:color w:val="auto"/>
        </w:rPr>
      </w:pPr>
      <w:r>
        <w:rPr>
          <w:rFonts w:ascii="Arial" w:cs="Arial" w:eastAsia="Arial" w:hAnsi="Arial"/>
          <w:sz w:val="18"/>
          <w:szCs w:val="18"/>
          <w:color w:val="auto"/>
        </w:rPr>
        <w:t xml:space="preserve">•        </w:t>
      </w:r>
      <w:r>
        <w:rPr>
          <w:sz w:val="20"/>
          <w:szCs w:val="20"/>
          <w:color w:val="auto"/>
        </w:rPr>
        <w:t xml:space="preserve"> </w:t>
      </w:r>
      <w:r>
        <w:rPr>
          <w:rFonts w:ascii="Arial" w:cs="Arial" w:eastAsia="Arial" w:hAnsi="Arial"/>
          <w:sz w:val="18"/>
          <w:szCs w:val="18"/>
          <w:color w:val="auto"/>
        </w:rPr>
        <w:t>shares of our common stock issuable upon the exercise of options to purchase shares of our common stock outstanding as of March 31, 2024 under our 2019 Equity Incentive Plan, or the 2019 Plan, with a weighted-average exercise price of $        per share;</w:t>
      </w:r>
    </w:p>
    <w:p>
      <w:pPr>
        <w:spacing w:after="0" w:line="101" w:lineRule="exact"/>
        <w:rPr>
          <w:sz w:val="20"/>
          <w:szCs w:val="20"/>
          <w:color w:val="auto"/>
        </w:rPr>
      </w:pPr>
    </w:p>
    <w:p>
      <w:pPr>
        <w:ind w:left="480" w:right="40" w:hanging="179"/>
        <w:spacing w:after="0" w:line="271" w:lineRule="auto"/>
        <w:tabs>
          <w:tab w:leader="none" w:pos="460" w:val="left"/>
        </w:tabs>
        <w:rPr>
          <w:sz w:val="20"/>
          <w:szCs w:val="20"/>
          <w:color w:val="auto"/>
        </w:rPr>
      </w:pPr>
      <w:r>
        <w:rPr>
          <w:rFonts w:ascii="Arial" w:cs="Arial" w:eastAsia="Arial" w:hAnsi="Arial"/>
          <w:sz w:val="18"/>
          <w:szCs w:val="18"/>
          <w:color w:val="auto"/>
        </w:rPr>
        <w:t>•</w:t>
        <w:tab/>
        <w:t>        shares of our common stock issuable upon the exercise of options to purchase shares of our common stock granted after March 31, 2024 under our 2019 Plan, with a weighted-average exercise price of $        per share; and</w:t>
      </w:r>
    </w:p>
    <w:p>
      <w:pPr>
        <w:sectPr>
          <w:pgSz w:w="11900" w:h="16838" w:orient="portrait"/>
          <w:cols w:equalWidth="0" w:num="1">
            <w:col w:w="10940"/>
          </w:cols>
          <w:pgMar w:left="320" w:top="455" w:right="639" w:bottom="1440" w:gutter="0" w:footer="0" w:header="0"/>
        </w:sectPr>
      </w:pP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reserved for future issuance under our equity compensation plans, consisting of:</w:t>
      </w:r>
    </w:p>
    <w:p>
      <w:pPr>
        <w:spacing w:after="0" w:line="155" w:lineRule="exact"/>
        <w:rPr>
          <w:sz w:val="20"/>
          <w:szCs w:val="20"/>
          <w:color w:val="auto"/>
        </w:rPr>
      </w:pPr>
    </w:p>
    <w:p>
      <w:pPr>
        <w:sectPr>
          <w:pgSz w:w="11900" w:h="16838" w:orient="portrait"/>
          <w:cols w:equalWidth="0" w:num="2">
            <w:col w:w="1080" w:space="180"/>
            <w:col w:w="9680"/>
          </w:cols>
          <w:pgMar w:left="320" w:top="455" w:right="639" w:bottom="1440" w:gutter="0" w:footer="0" w:header="0"/>
          <w:type w:val="continuous"/>
        </w:sect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shares of our common stock reserved for future issuance under our 2019 Plan;</w:t>
      </w:r>
    </w:p>
    <w:p>
      <w:pPr>
        <w:spacing w:after="0" w:line="144" w:lineRule="exact"/>
        <w:rPr>
          <w:sz w:val="20"/>
          <w:szCs w:val="20"/>
          <w:color w:val="auto"/>
        </w:rPr>
      </w:pPr>
    </w:p>
    <w:p>
      <w:pPr>
        <w:sectPr>
          <w:pgSz w:w="11900" w:h="16838" w:orient="portrait"/>
          <w:cols w:equalWidth="0" w:num="3">
            <w:col w:w="780" w:space="340"/>
            <w:col w:w="580" w:space="180"/>
            <w:col w:w="9060"/>
          </w:cols>
          <w:pgMar w:left="320" w:top="455" w:right="639" w:bottom="1440" w:gutter="0" w:footer="0" w:header="0"/>
          <w:type w:val="continuous"/>
        </w:sectPr>
      </w:pPr>
    </w:p>
    <w:p>
      <w:pPr>
        <w:ind w:left="1120" w:right="100" w:hanging="407"/>
        <w:spacing w:after="0" w:line="253"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shares of our common stock to be reserved for future issuance under our 2024 Equity Incentive Plan, or the 2024 Plan, which will become effective immediately prior to the date of the effectiveness of the registration statement of which this prospectus forms a part; and</w:t>
      </w:r>
    </w:p>
    <w:p>
      <w:pPr>
        <w:spacing w:after="0" w:line="101" w:lineRule="exact"/>
        <w:rPr>
          <w:rFonts w:ascii="Arial" w:cs="Arial" w:eastAsia="Arial" w:hAnsi="Arial"/>
          <w:sz w:val="18"/>
          <w:szCs w:val="18"/>
          <w:color w:val="auto"/>
        </w:rPr>
      </w:pPr>
    </w:p>
    <w:p>
      <w:pPr>
        <w:jc w:val="both"/>
        <w:ind w:left="1120" w:hanging="407"/>
        <w:spacing w:after="0" w:line="253"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shares of our common stock to be reserved for future issuance under our 2024 Employee Stock Purchase Plan, or the ESPP, which will become effective on the date of the effectiveness of the registration statement of which this prospectus forms a part.</w:t>
      </w:r>
    </w:p>
    <w:p>
      <w:pPr>
        <w:spacing w:after="0" w:line="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2024 Plan and our ESPP provide for automatic annual increases in the number of shares of our common stock reserved thereunder, and our 2024 Plan provides for increases to the number of shares that may be granted thereunder based on shares under our 2019 Plan or 2018 Stock Option and Grant Plan, or the 2018 Plan, that expire, are tendered to or withheld by us for payment of an exercise price or for satisfying tax withholding obligations or are forfeited or otherwise repurchased by us. Upon completion of this offering, any remaining shares of our common stock available for issuance under our 2019 Plan will be added to the shares reserved under our 2024 Plan and we will cease granting awards under our 2019 Plan. See the section entitled “Executive compensation— Equity compensation plans and other benefit plans” for additional information.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Except as otherwise indicated, all information in this prospectus assumes or gives effect to:</w:t>
      </w:r>
    </w:p>
    <w:p>
      <w:pPr>
        <w:spacing w:after="0" w:line="144" w:lineRule="exact"/>
        <w:rPr>
          <w:sz w:val="20"/>
          <w:szCs w:val="20"/>
          <w:color w:val="auto"/>
        </w:rPr>
      </w:pPr>
    </w:p>
    <w:p>
      <w:pPr>
        <w:ind w:left="480" w:hanging="186"/>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automatic conversion of all outstanding shares of our redeemable convertible preferred stock into an aggregate of           </w:t>
      </w:r>
    </w:p>
    <w:p>
      <w:pPr>
        <w:spacing w:after="0" w:line="13"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shares of our common stock immediately prior to the completion of this offering;</w:t>
      </w:r>
    </w:p>
    <w:p>
      <w:pPr>
        <w:spacing w:after="0" w:line="126" w:lineRule="exact"/>
        <w:rPr>
          <w:rFonts w:ascii="Arial" w:cs="Arial" w:eastAsia="Arial" w:hAnsi="Arial"/>
          <w:sz w:val="18"/>
          <w:szCs w:val="18"/>
          <w:color w:val="auto"/>
        </w:rPr>
      </w:pPr>
    </w:p>
    <w:p>
      <w:pPr>
        <w:ind w:left="480" w:hanging="186"/>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automatic conversion of all principal and accrued and unpaid interest on our outstanding convertible promissory notes</w:t>
      </w:r>
    </w:p>
    <w:p>
      <w:pPr>
        <w:spacing w:after="0" w:line="13" w:lineRule="exact"/>
        <w:rPr>
          <w:rFonts w:ascii="Arial" w:cs="Arial" w:eastAsia="Arial" w:hAnsi="Arial"/>
          <w:sz w:val="18"/>
          <w:szCs w:val="18"/>
          <w:color w:val="auto"/>
        </w:rPr>
      </w:pPr>
    </w:p>
    <w:p>
      <w:pPr>
        <w:ind w:left="480"/>
        <w:spacing w:after="0" w:line="234" w:lineRule="auto"/>
        <w:rPr>
          <w:rFonts w:ascii="Arial" w:cs="Arial" w:eastAsia="Arial" w:hAnsi="Arial"/>
          <w:sz w:val="18"/>
          <w:szCs w:val="18"/>
          <w:color w:val="auto"/>
        </w:rPr>
      </w:pPr>
      <w:r>
        <w:rPr>
          <w:rFonts w:ascii="Arial" w:cs="Arial" w:eastAsia="Arial" w:hAnsi="Arial"/>
          <w:sz w:val="18"/>
          <w:szCs w:val="18"/>
          <w:color w:val="auto"/>
        </w:rPr>
        <w:t>into            shares of our common stock immediately prior to the completion of this offering, based upon an assumed initial public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offering price of $         per share, which is the midpoint of the estimated price range set forth on the cover of this prospectus;</w:t>
      </w:r>
    </w:p>
    <w:p>
      <w:pPr>
        <w:spacing w:after="0" w:line="126" w:lineRule="exact"/>
        <w:rPr>
          <w:sz w:val="20"/>
          <w:szCs w:val="20"/>
          <w:color w:val="auto"/>
        </w:rPr>
      </w:pPr>
    </w:p>
    <w:p>
      <w:pPr>
        <w:ind w:left="480" w:right="380" w:hanging="179"/>
        <w:spacing w:after="0" w:line="271" w:lineRule="auto"/>
        <w:tabs>
          <w:tab w:leader="none" w:pos="460" w:val="left"/>
        </w:tabs>
        <w:rPr>
          <w:sz w:val="20"/>
          <w:szCs w:val="20"/>
          <w:color w:val="auto"/>
        </w:rPr>
      </w:pPr>
      <w:r>
        <w:rPr>
          <w:rFonts w:ascii="Arial" w:cs="Arial" w:eastAsia="Arial" w:hAnsi="Arial"/>
          <w:sz w:val="18"/>
          <w:szCs w:val="18"/>
          <w:color w:val="auto"/>
        </w:rPr>
        <w:t>•</w:t>
        <w:tab/>
        <w:t>a        -for-        reverse stock split of our outstanding common stock and redeemable convertible preferred stock to be effected on        , 2024;</w:t>
      </w:r>
    </w:p>
    <w:p>
      <w:pPr>
        <w:spacing w:after="0" w:line="86" w:lineRule="exact"/>
        <w:rPr>
          <w:sz w:val="20"/>
          <w:szCs w:val="20"/>
          <w:color w:val="auto"/>
        </w:rPr>
      </w:pPr>
    </w:p>
    <w:p>
      <w:pPr>
        <w:ind w:left="480" w:right="140" w:hanging="186"/>
        <w:spacing w:after="0" w:line="271"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filing and effectiveness of our restated certificate of incorporation and restated bylaws in connection with the completion of this offering;</w:t>
      </w:r>
    </w:p>
    <w:p>
      <w:pPr>
        <w:spacing w:after="0" w:line="86" w:lineRule="exact"/>
        <w:rPr>
          <w:rFonts w:ascii="Arial" w:cs="Arial" w:eastAsia="Arial" w:hAnsi="Arial"/>
          <w:sz w:val="18"/>
          <w:szCs w:val="18"/>
          <w:color w:val="auto"/>
        </w:rPr>
      </w:pPr>
    </w:p>
    <w:p>
      <w:pPr>
        <w:ind w:left="480" w:hanging="186"/>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outstanding options after March 31, 2024; and</w:t>
      </w:r>
    </w:p>
    <w:p>
      <w:pPr>
        <w:spacing w:after="0" w:line="144" w:lineRule="exact"/>
        <w:rPr>
          <w:rFonts w:ascii="Arial" w:cs="Arial" w:eastAsia="Arial" w:hAnsi="Arial"/>
          <w:sz w:val="18"/>
          <w:szCs w:val="18"/>
          <w:color w:val="auto"/>
        </w:rPr>
      </w:pPr>
    </w:p>
    <w:p>
      <w:pPr>
        <w:ind w:left="480" w:hanging="186"/>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w:t>
      </w: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5" w:right="6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78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Summary financial data</w:t>
      </w:r>
    </w:p>
    <w:p>
      <w:pPr>
        <w:spacing w:after="0" w:line="154" w:lineRule="exact"/>
        <w:rPr>
          <w:sz w:val="20"/>
          <w:szCs w:val="20"/>
          <w:color w:val="auto"/>
        </w:rPr>
      </w:pPr>
    </w:p>
    <w:p>
      <w:pPr>
        <w:ind w:left="300" w:right="20"/>
        <w:spacing w:after="0" w:line="238" w:lineRule="auto"/>
        <w:rPr>
          <w:sz w:val="20"/>
          <w:szCs w:val="20"/>
          <w:color w:val="auto"/>
        </w:rPr>
      </w:pPr>
      <w:r>
        <w:rPr>
          <w:rFonts w:ascii="Arial" w:cs="Arial" w:eastAsia="Arial" w:hAnsi="Arial"/>
          <w:sz w:val="18"/>
          <w:szCs w:val="18"/>
          <w:color w:val="auto"/>
        </w:rPr>
        <w:t>The following tables set forth our summary statements of operations and comprehensive loss and balance sheet data. The summary statement of operations and comprehensive loss data presented below for the years ended December 31, 2022 and 2023 are derived from our audited financial statements included elsewhere in this prospectus. The summary statement of operations and comprehensive loss data presented below for the three months ended March 31, 2023 and 2024 and balance sheet data as of March 31, 2024 are derived from our unaudited interim condensed financial statements included elsewhere in this prospectus. The following summary financial data should be read in conjunction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and our results of operations for the three months ended March 31, 2024 and balance sheet data as of March 31, 2024 are not necessarily indicative of our results to be expected for the year ended December 31, 2024 or any future period. The summary financial data in this section are not intended to replace our financial statements and are qualified in their entirety by the financial statements and related notes included elsewhere in this prospectus.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5"/>
          </w:tcPr>
          <w:p>
            <w:pPr>
              <w:jc w:val="right"/>
              <w:ind w:right="410"/>
              <w:spacing w:after="0"/>
              <w:rPr>
                <w:sz w:val="20"/>
                <w:szCs w:val="20"/>
                <w:color w:val="auto"/>
              </w:rPr>
            </w:pPr>
            <w:r>
              <w:rPr>
                <w:rFonts w:ascii="Arial" w:cs="Arial" w:eastAsia="Arial" w:hAnsi="Arial"/>
                <w:sz w:val="16"/>
                <w:szCs w:val="16"/>
                <w:b w:val="1"/>
                <w:bCs w:val="1"/>
                <w:color w:val="auto"/>
              </w:rPr>
              <w:t>Year Ended December 31,</w:t>
            </w:r>
          </w:p>
        </w:tc>
        <w:tc>
          <w:tcPr>
            <w:tcW w:w="2520" w:type="dxa"/>
            <w:vAlign w:val="bottom"/>
            <w:gridSpan w:val="13"/>
          </w:tcPr>
          <w:p>
            <w:pPr>
              <w:jc w:val="right"/>
              <w:ind w:right="40"/>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506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gridSpan w:val="2"/>
          </w:tcPr>
          <w:p>
            <w:pPr>
              <w:jc w:val="right"/>
              <w:ind w:right="441"/>
              <w:spacing w:after="0" w:line="183" w:lineRule="exact"/>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w w:val="95"/>
              </w:rPr>
              <w:t>2024</w:t>
            </w:r>
          </w:p>
        </w:tc>
        <w:tc>
          <w:tcPr>
            <w:tcW w:w="40" w:type="dxa"/>
            <w:vAlign w:val="bottom"/>
            <w:tcBorders>
              <w:bottom w:val="single" w:sz="8" w:color="auto"/>
            </w:tcBorders>
          </w:tcPr>
          <w:p>
            <w:pPr>
              <w:spacing w:after="0"/>
              <w:rPr>
                <w:sz w:val="15"/>
                <w:szCs w:val="15"/>
                <w:color w:val="auto"/>
              </w:rPr>
            </w:pPr>
          </w:p>
        </w:tc>
      </w:tr>
      <w:tr>
        <w:trPr>
          <w:trHeight w:val="216"/>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80" w:type="dxa"/>
            <w:vAlign w:val="bottom"/>
            <w:gridSpan w:val="12"/>
          </w:tcPr>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4"/>
        </w:trPr>
        <w:tc>
          <w:tcPr>
            <w:tcW w:w="5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88,192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73,945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20" w:type="dxa"/>
            <w:vAlign w:val="bottom"/>
          </w:tcPr>
          <w:p>
            <w:pPr>
              <w:ind w:left="80"/>
              <w:spacing w:after="0"/>
              <w:rPr>
                <w:sz w:val="20"/>
                <w:szCs w:val="20"/>
                <w:color w:val="auto"/>
              </w:rPr>
            </w:pPr>
            <w:r>
              <w:rPr>
                <w:rFonts w:ascii="Arial" w:cs="Arial" w:eastAsia="Arial" w:hAnsi="Arial"/>
                <w:sz w:val="2"/>
                <w:szCs w:val="2"/>
                <w:color w:val="auto"/>
                <w:w w:val="97"/>
              </w:rPr>
              <w:t> </w:t>
            </w:r>
          </w:p>
        </w:tc>
        <w:tc>
          <w:tcPr>
            <w:tcW w:w="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 </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20" w:type="dxa"/>
            <w:vAlign w:val="bottom"/>
          </w:tcPr>
          <w:p>
            <w:pPr>
              <w:ind w:left="60"/>
              <w:spacing w:after="0"/>
              <w:rPr>
                <w:sz w:val="20"/>
                <w:szCs w:val="20"/>
                <w:color w:val="auto"/>
              </w:rPr>
            </w:pPr>
            <w:r>
              <w:rPr>
                <w:rFonts w:ascii="Arial" w:cs="Arial" w:eastAsia="Arial" w:hAnsi="Arial"/>
                <w:sz w:val="4"/>
                <w:szCs w:val="4"/>
                <w:color w:val="auto"/>
                <w:w w:val="98"/>
              </w:rPr>
              <w:t> </w:t>
            </w:r>
          </w:p>
        </w:tc>
        <w:tc>
          <w:tcPr>
            <w:tcW w:w="4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 </w:t>
            </w:r>
          </w:p>
        </w:tc>
      </w:tr>
      <w:tr>
        <w:trPr>
          <w:trHeight w:val="203"/>
        </w:trPr>
        <w:tc>
          <w:tcPr>
            <w:tcW w:w="50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22,834</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24,606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7"/>
        </w:trPr>
        <w:tc>
          <w:tcPr>
            <w:tcW w:w="50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111,026</w:t>
            </w: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98,551</w:t>
            </w: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1"/>
              <w:spacing w:after="0" w:line="202" w:lineRule="exact"/>
              <w:rPr>
                <w:sz w:val="20"/>
                <w:szCs w:val="20"/>
                <w:color w:val="auto"/>
              </w:rPr>
            </w:pPr>
            <w:r>
              <w:rPr>
                <w:rFonts w:ascii="Arial" w:cs="Arial" w:eastAsia="Arial" w:hAnsi="Arial"/>
                <w:sz w:val="18"/>
                <w:szCs w:val="18"/>
                <w:color w:val="auto"/>
              </w:rPr>
              <w:t>(111,026)</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(98,551)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20" w:type="dxa"/>
            <w:vAlign w:val="bottom"/>
          </w:tcPr>
          <w:p>
            <w:pPr>
              <w:spacing w:after="0"/>
              <w:rPr>
                <w:sz w:val="17"/>
                <w:szCs w:val="17"/>
                <w:color w:val="auto"/>
              </w:rPr>
            </w:pPr>
          </w:p>
        </w:tc>
        <w:tc>
          <w:tcPr>
            <w:tcW w:w="142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2,028</w:t>
            </w:r>
          </w:p>
        </w:tc>
        <w:tc>
          <w:tcPr>
            <w:tcW w:w="100" w:type="dxa"/>
            <w:vAlign w:val="bottom"/>
          </w:tcPr>
          <w:p>
            <w:pPr>
              <w:spacing w:after="0"/>
              <w:rPr>
                <w:sz w:val="17"/>
                <w:szCs w:val="17"/>
                <w:color w:val="auto"/>
              </w:rPr>
            </w:pPr>
          </w:p>
        </w:tc>
        <w:tc>
          <w:tcPr>
            <w:tcW w:w="1420" w:type="dxa"/>
            <w:vAlign w:val="bottom"/>
            <w:gridSpan w:val="2"/>
          </w:tcPr>
          <w:p>
            <w:pPr>
              <w:jc w:val="right"/>
              <w:ind w:right="410"/>
              <w:spacing w:after="0" w:line="202" w:lineRule="exact"/>
              <w:rPr>
                <w:sz w:val="20"/>
                <w:szCs w:val="20"/>
                <w:color w:val="auto"/>
              </w:rPr>
            </w:pPr>
            <w:r>
              <w:rPr>
                <w:rFonts w:ascii="Arial" w:cs="Arial" w:eastAsia="Arial" w:hAnsi="Arial"/>
                <w:sz w:val="18"/>
                <w:szCs w:val="18"/>
                <w:color w:val="auto"/>
              </w:rPr>
              <w:t>1,966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convertible promissory notes</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(3,830)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84"/>
        </w:trPr>
        <w:tc>
          <w:tcPr>
            <w:tcW w:w="5060" w:type="dxa"/>
            <w:vAlign w:val="bottom"/>
          </w:tcPr>
          <w:p>
            <w:pPr>
              <w:spacing w:after="0" w:line="183" w:lineRule="exact"/>
              <w:rPr>
                <w:sz w:val="20"/>
                <w:szCs w:val="20"/>
                <w:color w:val="auto"/>
              </w:rPr>
            </w:pPr>
            <w:r>
              <w:rPr>
                <w:rFonts w:ascii="Arial" w:cs="Arial" w:eastAsia="Arial" w:hAnsi="Arial"/>
                <w:sz w:val="18"/>
                <w:szCs w:val="18"/>
                <w:color w:val="auto"/>
              </w:rPr>
              <w:t>Net loss on impairment and dissolution of equity method</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1"/>
        </w:trPr>
        <w:tc>
          <w:tcPr>
            <w:tcW w:w="5060" w:type="dxa"/>
            <w:vAlign w:val="bottom"/>
          </w:tcPr>
          <w:p>
            <w:pPr>
              <w:ind w:left="18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9"/>
                <w:szCs w:val="19"/>
                <w:color w:val="auto"/>
              </w:rPr>
            </w:pPr>
          </w:p>
        </w:tc>
        <w:tc>
          <w:tcPr>
            <w:tcW w:w="1420" w:type="dxa"/>
            <w:vAlign w:val="bottom"/>
            <w:gridSpan w:val="2"/>
          </w:tcPr>
          <w:p>
            <w:pPr>
              <w:jc w:val="right"/>
              <w:ind w:right="381"/>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14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in net loss of equity method investments</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81"/>
              <w:spacing w:after="0" w:line="202" w:lineRule="exact"/>
              <w:rPr>
                <w:sz w:val="20"/>
                <w:szCs w:val="20"/>
                <w:color w:val="auto"/>
              </w:rPr>
            </w:pPr>
            <w:r>
              <w:rPr>
                <w:rFonts w:ascii="Arial" w:cs="Arial" w:eastAsia="Arial" w:hAnsi="Arial"/>
                <w:sz w:val="18"/>
                <w:szCs w:val="18"/>
                <w:color w:val="auto"/>
              </w:rPr>
              <w:t>(3,542)</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(114,940</w:t>
            </w:r>
          </w:p>
        </w:tc>
        <w:tc>
          <w:tcPr>
            <w:tcW w:w="520" w:type="dxa"/>
            <w:vAlign w:val="bottom"/>
          </w:tcPr>
          <w:p>
            <w:pPr>
              <w:jc w:val="right"/>
              <w:ind w:right="3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(100,415</w:t>
            </w:r>
          </w:p>
        </w:tc>
        <w:tc>
          <w:tcPr>
            <w:tcW w:w="52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1"/>
                <w:szCs w:val="11"/>
                <w:color w:val="auto"/>
                <w:w w:val="72"/>
              </w:rPr>
              <w:t> </w:t>
            </w:r>
          </w:p>
        </w:tc>
        <w:tc>
          <w:tcPr>
            <w:tcW w:w="1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2"/>
                <w:szCs w:val="2"/>
                <w:color w:val="auto"/>
                <w:w w:val="97"/>
              </w:rPr>
              <w:t> </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w w:val="76"/>
              </w:rPr>
              <w:t> </w:t>
            </w:r>
          </w:p>
        </w:tc>
        <w:tc>
          <w:tcPr>
            <w:tcW w:w="1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4"/>
                <w:szCs w:val="4"/>
                <w:color w:val="auto"/>
                <w:w w:val="98"/>
              </w:rPr>
              <w:t> </w:t>
            </w:r>
          </w:p>
        </w:tc>
        <w:tc>
          <w:tcPr>
            <w:tcW w:w="3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4"/>
        </w:trPr>
        <w:tc>
          <w:tcPr>
            <w:tcW w:w="506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rPr>
              <w:t>Adjustment of redeemable convertible preferred stock to</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21"/>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redemption value</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(114,940)</w:t>
            </w:r>
          </w:p>
        </w:tc>
        <w:tc>
          <w:tcPr>
            <w:tcW w:w="5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(100,415)</w:t>
            </w:r>
          </w:p>
        </w:tc>
        <w:tc>
          <w:tcPr>
            <w:tcW w:w="5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1"/>
                <w:szCs w:val="11"/>
                <w:color w:val="auto"/>
                <w:w w:val="72"/>
              </w:rPr>
              <w:t> </w:t>
            </w:r>
          </w:p>
        </w:tc>
        <w:tc>
          <w:tcPr>
            <w:tcW w:w="1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2"/>
                <w:szCs w:val="2"/>
                <w:color w:val="auto"/>
                <w:w w:val="97"/>
              </w:rPr>
              <w:t> </w:t>
            </w:r>
          </w:p>
        </w:tc>
        <w:tc>
          <w:tcPr>
            <w:tcW w:w="3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color w:val="auto"/>
                <w:w w:val="76"/>
              </w:rPr>
              <w:t> </w:t>
            </w:r>
          </w:p>
        </w:tc>
        <w:tc>
          <w:tcPr>
            <w:tcW w:w="1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4"/>
                <w:szCs w:val="4"/>
                <w:color w:val="auto"/>
                <w:w w:val="98"/>
              </w:rPr>
              <w:t> </w:t>
            </w:r>
          </w:p>
        </w:tc>
        <w:tc>
          <w:tcPr>
            <w:tcW w:w="3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basic and diluted(1)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381"/>
              <w:spacing w:after="0" w:line="202" w:lineRule="exact"/>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Arial" w:cs="Arial" w:eastAsia="Arial" w:hAnsi="Arial"/>
                <w:sz w:val="11"/>
                <w:szCs w:val="11"/>
                <w:color w:val="auto"/>
                <w:w w:val="72"/>
              </w:rPr>
              <w:t> </w:t>
            </w:r>
          </w:p>
        </w:tc>
        <w:tc>
          <w:tcPr>
            <w:tcW w:w="120" w:type="dxa"/>
            <w:vAlign w:val="bottom"/>
            <w:shd w:val="clear" w:color="auto" w:fill="CCEEFF"/>
          </w:tcPr>
          <w:p>
            <w:pPr>
              <w:ind w:left="80"/>
              <w:spacing w:after="0"/>
              <w:rPr>
                <w:sz w:val="20"/>
                <w:szCs w:val="20"/>
                <w:color w:val="auto"/>
              </w:rPr>
            </w:pPr>
            <w:r>
              <w:rPr>
                <w:rFonts w:ascii="Arial" w:cs="Arial" w:eastAsia="Arial" w:hAnsi="Arial"/>
                <w:sz w:val="2"/>
                <w:szCs w:val="2"/>
                <w:color w:val="auto"/>
                <w:w w:val="97"/>
              </w:rPr>
              <w:t> </w:t>
            </w:r>
          </w:p>
        </w:tc>
        <w:tc>
          <w:tcPr>
            <w:tcW w:w="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120" w:type="dxa"/>
            <w:vAlign w:val="bottom"/>
            <w:shd w:val="clear" w:color="auto" w:fill="CCEEFF"/>
          </w:tcPr>
          <w:p>
            <w:pPr>
              <w:ind w:left="60"/>
              <w:spacing w:after="0"/>
              <w:rPr>
                <w:sz w:val="20"/>
                <w:szCs w:val="20"/>
                <w:color w:val="auto"/>
              </w:rPr>
            </w:pPr>
            <w:r>
              <w:rPr>
                <w:rFonts w:ascii="Arial" w:cs="Arial" w:eastAsia="Arial" w:hAnsi="Arial"/>
                <w:sz w:val="4"/>
                <w:szCs w:val="4"/>
                <w:color w:val="auto"/>
                <w:w w:val="98"/>
              </w:rPr>
              <w:t> </w:t>
            </w:r>
          </w:p>
        </w:tc>
        <w:tc>
          <w:tcPr>
            <w:tcW w:w="40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 </w:t>
            </w:r>
          </w:p>
        </w:tc>
      </w:tr>
      <w:tr>
        <w:trPr>
          <w:trHeight w:val="191"/>
        </w:trPr>
        <w:tc>
          <w:tcPr>
            <w:tcW w:w="5060" w:type="dxa"/>
            <w:vAlign w:val="bottom"/>
          </w:tcPr>
          <w:p>
            <w:pPr>
              <w:spacing w:after="0" w:line="191" w:lineRule="exact"/>
              <w:rPr>
                <w:sz w:val="20"/>
                <w:szCs w:val="20"/>
                <w:color w:val="auto"/>
              </w:rPr>
            </w:pPr>
            <w:r>
              <w:rPr>
                <w:rFonts w:ascii="Arial" w:cs="Arial" w:eastAsia="Arial" w:hAnsi="Arial"/>
                <w:sz w:val="18"/>
                <w:szCs w:val="18"/>
                <w:color w:val="auto"/>
              </w:rPr>
              <w:t>Weighted-average shares of common stock outstanding</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8"/>
        </w:trPr>
        <w:tc>
          <w:tcPr>
            <w:tcW w:w="5060" w:type="dxa"/>
            <w:vAlign w:val="bottom"/>
          </w:tcPr>
          <w:p>
            <w:pPr>
              <w:ind w:left="180"/>
              <w:spacing w:after="0"/>
              <w:rPr>
                <w:sz w:val="20"/>
                <w:szCs w:val="20"/>
                <w:color w:val="auto"/>
              </w:rPr>
            </w:pPr>
            <w:r>
              <w:rPr>
                <w:rFonts w:ascii="Arial" w:cs="Arial" w:eastAsia="Arial" w:hAnsi="Arial"/>
                <w:sz w:val="18"/>
                <w:szCs w:val="18"/>
                <w:color w:val="auto"/>
              </w:rPr>
              <w:t>used to compute net loss per share, basic and diluted(1)</w:t>
            </w:r>
          </w:p>
        </w:tc>
        <w:tc>
          <w:tcPr>
            <w:tcW w:w="120" w:type="dxa"/>
            <w:vAlign w:val="bottom"/>
          </w:tcPr>
          <w:p>
            <w:pPr>
              <w:spacing w:after="0"/>
              <w:rPr>
                <w:sz w:val="19"/>
                <w:szCs w:val="19"/>
                <w:color w:val="auto"/>
              </w:rPr>
            </w:pPr>
          </w:p>
        </w:tc>
        <w:tc>
          <w:tcPr>
            <w:tcW w:w="1420" w:type="dxa"/>
            <w:vAlign w:val="bottom"/>
            <w:gridSpan w:val="2"/>
          </w:tcPr>
          <w:p>
            <w:pPr>
              <w:jc w:val="right"/>
              <w:ind w:right="441"/>
              <w:spacing w:after="0"/>
              <w:rPr>
                <w:sz w:val="20"/>
                <w:szCs w:val="20"/>
                <w:color w:val="auto"/>
              </w:rPr>
            </w:pPr>
            <w:r>
              <w:rPr>
                <w:rFonts w:ascii="Arial" w:cs="Arial" w:eastAsia="Arial" w:hAnsi="Arial"/>
                <w:sz w:val="18"/>
                <w:szCs w:val="18"/>
                <w:color w:val="auto"/>
                <w:w w:val="97"/>
              </w:rPr>
              <w:t>19,379,583</w:t>
            </w:r>
          </w:p>
        </w:tc>
        <w:tc>
          <w:tcPr>
            <w:tcW w:w="100" w:type="dxa"/>
            <w:vAlign w:val="bottom"/>
          </w:tcPr>
          <w:p>
            <w:pPr>
              <w:spacing w:after="0"/>
              <w:rPr>
                <w:sz w:val="19"/>
                <w:szCs w:val="19"/>
                <w:color w:val="auto"/>
              </w:rPr>
            </w:pPr>
          </w:p>
        </w:tc>
        <w:tc>
          <w:tcPr>
            <w:tcW w:w="1420" w:type="dxa"/>
            <w:vAlign w:val="bottom"/>
            <w:gridSpan w:val="2"/>
          </w:tcPr>
          <w:p>
            <w:pPr>
              <w:jc w:val="right"/>
              <w:ind w:right="410"/>
              <w:spacing w:after="0"/>
              <w:rPr>
                <w:sz w:val="20"/>
                <w:szCs w:val="20"/>
                <w:color w:val="auto"/>
              </w:rPr>
            </w:pPr>
            <w:r>
              <w:rPr>
                <w:rFonts w:ascii="Arial" w:cs="Arial" w:eastAsia="Arial" w:hAnsi="Arial"/>
                <w:sz w:val="18"/>
                <w:szCs w:val="18"/>
                <w:color w:val="auto"/>
                <w:w w:val="99"/>
              </w:rPr>
              <w:t>22,071,408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4"/>
        </w:trPr>
        <w:tc>
          <w:tcPr>
            <w:tcW w:w="50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Pro forma net loss per share, basic and diluted (unaudited)</w:t>
            </w: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21"/>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1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4"/>
                <w:szCs w:val="4"/>
                <w:color w:val="auto"/>
                <w:w w:val="98"/>
              </w:rPr>
              <w:t> </w:t>
            </w:r>
          </w:p>
        </w:tc>
        <w:tc>
          <w:tcPr>
            <w:tcW w:w="3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60" w:type="dxa"/>
            <w:vAlign w:val="bottom"/>
            <w:gridSpan w:val="2"/>
            <w:shd w:val="clear" w:color="auto" w:fill="CCEEFF"/>
          </w:tcPr>
          <w:p>
            <w:pPr>
              <w:spacing w:after="0"/>
              <w:rPr>
                <w:sz w:val="19"/>
                <w:szCs w:val="19"/>
                <w:color w:val="auto"/>
              </w:rPr>
            </w:pPr>
          </w:p>
        </w:tc>
      </w:tr>
    </w:tbl>
    <w:p>
      <w:pPr>
        <w:spacing w:after="0" w:line="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 forma weighted-average shares of common stock</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outstanding used to compute net loss per share, basic</w:t>
      </w:r>
    </w:p>
    <w:p>
      <w:pPr>
        <w:ind w:left="480"/>
        <w:spacing w:after="0"/>
        <w:rPr>
          <w:sz w:val="20"/>
          <w:szCs w:val="20"/>
          <w:color w:val="auto"/>
        </w:rPr>
      </w:pPr>
      <w:r>
        <w:rPr>
          <w:rFonts w:ascii="Arial" w:cs="Arial" w:eastAsia="Arial" w:hAnsi="Arial"/>
          <w:sz w:val="18"/>
          <w:szCs w:val="18"/>
          <w:color w:val="auto"/>
        </w:rPr>
        <w:t>and diluted (unaudited)(1)</w:t>
      </w:r>
    </w:p>
    <w:p>
      <w:pPr>
        <w:spacing w:after="0" w:line="3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5" w:right="6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84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43846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600" w:right="160" w:hanging="306"/>
        <w:spacing w:after="0" w:line="249" w:lineRule="auto"/>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See note 13 to our audited financial statements included elsewhere in this prospectus for further details on the calculation of historical net loss per share and the weighted-average number of shares of common stock used in the computation of the per share data. The unaudited pro forma basic and diluted net loss per share were computed using the weighted-average number of shares of common stock outstanding, including the pro forma effect of the automatic conversion of all outstanding shares of redeemable convertible preferred stock into shares of common stock, and the automatic conversion of the convertible promissory notes into common stock as of the beginning of the period.</w:t>
      </w:r>
    </w:p>
    <w:p>
      <w:pPr>
        <w:spacing w:after="0" w:line="337"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80" w:type="dxa"/>
            <w:vAlign w:val="bottom"/>
            <w:gridSpan w:val="6"/>
          </w:tcPr>
          <w:p>
            <w:pPr>
              <w:jc w:val="right"/>
              <w:ind w:right="40"/>
              <w:spacing w:after="0"/>
              <w:rPr>
                <w:sz w:val="20"/>
                <w:szCs w:val="20"/>
                <w:color w:val="auto"/>
              </w:rPr>
            </w:pPr>
            <w:r>
              <w:rPr>
                <w:rFonts w:ascii="Arial" w:cs="Arial" w:eastAsia="Arial" w:hAnsi="Arial"/>
                <w:sz w:val="16"/>
                <w:szCs w:val="16"/>
                <w:b w:val="1"/>
                <w:bCs w:val="1"/>
                <w:color w:val="auto"/>
              </w:rPr>
              <w:t>As of March 31, 2024</w:t>
            </w:r>
          </w:p>
        </w:tc>
      </w:tr>
      <w:tr>
        <w:trPr>
          <w:trHeight w:val="168"/>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spacing w:after="0" w:line="168" w:lineRule="exact"/>
              <w:rPr>
                <w:sz w:val="20"/>
                <w:szCs w:val="20"/>
                <w:color w:val="auto"/>
              </w:rPr>
            </w:pPr>
            <w:r>
              <w:rPr>
                <w:rFonts w:ascii="Arial" w:cs="Arial" w:eastAsia="Arial" w:hAnsi="Arial"/>
                <w:sz w:val="16"/>
                <w:szCs w:val="16"/>
                <w:b w:val="1"/>
                <w:bCs w:val="1"/>
                <w:color w:val="auto"/>
              </w:rPr>
              <w:t>Pro forma</w:t>
            </w:r>
          </w:p>
        </w:tc>
        <w:tc>
          <w:tcPr>
            <w:tcW w:w="40" w:type="dxa"/>
            <w:vAlign w:val="bottom"/>
          </w:tcPr>
          <w:p>
            <w:pPr>
              <w:spacing w:after="0"/>
              <w:rPr>
                <w:sz w:val="14"/>
                <w:szCs w:val="14"/>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Actual</w:t>
            </w: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Pro forma(1)</w:t>
            </w:r>
          </w:p>
        </w:tc>
        <w:tc>
          <w:tcPr>
            <w:tcW w:w="13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6"/>
                <w:szCs w:val="16"/>
                <w:b w:val="1"/>
                <w:bCs w:val="1"/>
                <w:color w:val="auto"/>
              </w:rPr>
              <w:t>as adjusted(2)</w:t>
            </w:r>
          </w:p>
        </w:tc>
      </w:tr>
      <w:tr>
        <w:trPr>
          <w:trHeight w:val="168"/>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5"/>
          </w:tcPr>
          <w:p>
            <w:pPr>
              <w:jc w:val="right"/>
              <w:ind w:right="40"/>
              <w:spacing w:after="0" w:line="168" w:lineRule="exact"/>
              <w:rPr>
                <w:sz w:val="20"/>
                <w:szCs w:val="20"/>
                <w:color w:val="auto"/>
              </w:rPr>
            </w:pPr>
            <w:r>
              <w:rPr>
                <w:rFonts w:ascii="Arial" w:cs="Arial" w:eastAsia="Arial" w:hAnsi="Arial"/>
                <w:sz w:val="16"/>
                <w:szCs w:val="16"/>
                <w:b w:val="1"/>
                <w:bCs w:val="1"/>
                <w:color w:val="auto"/>
              </w:rPr>
              <w:t>(in thousands)</w:t>
            </w:r>
          </w:p>
        </w:tc>
      </w:tr>
      <w:tr>
        <w:trPr>
          <w:trHeight w:val="223"/>
        </w:trPr>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(unaudited)</w:t>
            </w:r>
          </w:p>
        </w:tc>
      </w:tr>
      <w:tr>
        <w:trPr>
          <w:trHeight w:val="61"/>
        </w:trPr>
        <w:tc>
          <w:tcPr>
            <w:tcW w:w="2240" w:type="dxa"/>
            <w:vAlign w:val="bottom"/>
            <w:gridSpan w:val="2"/>
          </w:tcPr>
          <w:p>
            <w:pPr>
              <w:spacing w:after="0"/>
              <w:rPr>
                <w:sz w:val="5"/>
                <w:szCs w:val="5"/>
                <w:color w:val="auto"/>
              </w:rPr>
            </w:pPr>
          </w:p>
        </w:tc>
        <w:tc>
          <w:tcPr>
            <w:tcW w:w="1480" w:type="dxa"/>
            <w:vAlign w:val="bottom"/>
          </w:tcPr>
          <w:p>
            <w:pPr>
              <w:spacing w:after="0"/>
              <w:rPr>
                <w:sz w:val="5"/>
                <w:szCs w:val="5"/>
                <w:color w:val="auto"/>
              </w:rPr>
            </w:pPr>
          </w:p>
        </w:tc>
        <w:tc>
          <w:tcPr>
            <w:tcW w:w="3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203"/>
        </w:trPr>
        <w:tc>
          <w:tcPr>
            <w:tcW w:w="2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14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24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14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 xml:space="preserve">$  </w:t>
            </w:r>
          </w:p>
        </w:tc>
        <w:tc>
          <w:tcPr>
            <w:tcW w:w="160" w:type="dxa"/>
            <w:vAlign w:val="bottom"/>
          </w:tcPr>
          <w:p>
            <w:pPr>
              <w:ind w:left="100"/>
              <w:spacing w:after="0"/>
              <w:rPr>
                <w:sz w:val="20"/>
                <w:szCs w:val="20"/>
                <w:color w:val="auto"/>
              </w:rPr>
            </w:pPr>
            <w:r>
              <w:rPr>
                <w:rFonts w:ascii="Arial" w:cs="Arial" w:eastAsia="Arial" w:hAnsi="Arial"/>
                <w:sz w:val="4"/>
                <w:szCs w:val="4"/>
                <w:color w:val="auto"/>
                <w:w w:val="98"/>
              </w:rPr>
              <w:t> </w:t>
            </w:r>
          </w:p>
        </w:tc>
        <w:tc>
          <w:tcPr>
            <w:tcW w:w="720" w:type="dxa"/>
            <w:vAlign w:val="bottom"/>
          </w:tcPr>
          <w:p>
            <w:pPr>
              <w:ind w:left="120"/>
              <w:spacing w:after="0" w:line="202" w:lineRule="exact"/>
              <w:rPr>
                <w:sz w:val="20"/>
                <w:szCs w:val="20"/>
                <w:color w:val="auto"/>
              </w:rPr>
            </w:pPr>
            <w:r>
              <w:rPr>
                <w:rFonts w:ascii="Arial" w:cs="Arial" w:eastAsia="Arial" w:hAnsi="Arial"/>
                <w:sz w:val="18"/>
                <w:szCs w:val="18"/>
                <w:color w:val="auto"/>
              </w:rPr>
              <w:t xml:space="preserve">    </w:t>
            </w:r>
          </w:p>
        </w:tc>
        <w:tc>
          <w:tcPr>
            <w:tcW w:w="4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  </w:t>
            </w:r>
          </w:p>
        </w:tc>
        <w:tc>
          <w:tcPr>
            <w:tcW w:w="840" w:type="dxa"/>
            <w:vAlign w:val="bottom"/>
          </w:tcPr>
          <w:p>
            <w:pPr>
              <w:ind w:left="80"/>
              <w:spacing w:after="0" w:line="202" w:lineRule="exact"/>
              <w:rPr>
                <w:sz w:val="20"/>
                <w:szCs w:val="20"/>
                <w:color w:val="auto"/>
              </w:rPr>
            </w:pPr>
            <w:r>
              <w:rPr>
                <w:rFonts w:ascii="Arial" w:cs="Arial" w:eastAsia="Arial" w:hAnsi="Arial"/>
                <w:sz w:val="18"/>
                <w:szCs w:val="18"/>
                <w:color w:val="auto"/>
              </w:rPr>
              <w:t xml:space="preserve">       </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140"/>
              <w:spacing w:after="0"/>
              <w:rPr>
                <w:sz w:val="20"/>
                <w:szCs w:val="20"/>
                <w:color w:val="auto"/>
              </w:rPr>
            </w:pPr>
            <w:r>
              <w:rPr>
                <w:rFonts w:ascii="Arial" w:cs="Arial" w:eastAsia="Arial" w:hAnsi="Arial"/>
                <w:sz w:val="17"/>
                <w:szCs w:val="17"/>
                <w:color w:val="auto"/>
                <w:w w:val="70"/>
              </w:rPr>
              <w:t> </w:t>
            </w:r>
          </w:p>
        </w:tc>
        <w:tc>
          <w:tcPr>
            <w:tcW w:w="6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 xml:space="preserve">       </w:t>
            </w:r>
          </w:p>
        </w:tc>
      </w:tr>
      <w:tr>
        <w:trPr>
          <w:trHeight w:val="203"/>
        </w:trPr>
        <w:tc>
          <w:tcPr>
            <w:tcW w:w="2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Working capital(3)</w:t>
            </w:r>
          </w:p>
        </w:tc>
        <w:tc>
          <w:tcPr>
            <w:tcW w:w="14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24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14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Convertible promissory notes</w:t>
            </w:r>
          </w:p>
        </w:tc>
        <w:tc>
          <w:tcPr>
            <w:tcW w:w="3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240" w:type="dxa"/>
            <w:vAlign w:val="bottom"/>
            <w:gridSpan w:val="2"/>
          </w:tcPr>
          <w:p>
            <w:pPr>
              <w:spacing w:after="0" w:line="202" w:lineRule="exact"/>
              <w:rPr>
                <w:sz w:val="20"/>
                <w:szCs w:val="20"/>
                <w:color w:val="auto"/>
              </w:rPr>
            </w:pPr>
            <w:r>
              <w:rPr>
                <w:rFonts w:ascii="Arial" w:cs="Arial" w:eastAsia="Arial" w:hAnsi="Arial"/>
                <w:sz w:val="18"/>
                <w:szCs w:val="18"/>
                <w:color w:val="auto"/>
              </w:rPr>
              <w:t>Total liabilities</w:t>
            </w:r>
          </w:p>
        </w:tc>
        <w:tc>
          <w:tcPr>
            <w:tcW w:w="14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redeemable convertible preferred stock</w:t>
            </w:r>
          </w:p>
        </w:tc>
        <w:tc>
          <w:tcPr>
            <w:tcW w:w="3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240" w:type="dxa"/>
            <w:vAlign w:val="bottom"/>
            <w:gridSpan w:val="2"/>
          </w:tcPr>
          <w:p>
            <w:pPr>
              <w:spacing w:after="0" w:line="202" w:lineRule="exact"/>
              <w:rPr>
                <w:sz w:val="20"/>
                <w:szCs w:val="20"/>
                <w:color w:val="auto"/>
              </w:rPr>
            </w:pPr>
            <w:r>
              <w:rPr>
                <w:rFonts w:ascii="Arial" w:cs="Arial" w:eastAsia="Arial" w:hAnsi="Arial"/>
                <w:sz w:val="18"/>
                <w:szCs w:val="18"/>
                <w:color w:val="auto"/>
              </w:rPr>
              <w:t>Accumulated deficit</w:t>
            </w:r>
          </w:p>
        </w:tc>
        <w:tc>
          <w:tcPr>
            <w:tcW w:w="14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7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3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20" w:type="dxa"/>
            <w:vAlign w:val="bottom"/>
            <w:tcBorders>
              <w:bottom w:val="single" w:sz="8" w:color="auto"/>
            </w:tcBorders>
          </w:tcPr>
          <w:p>
            <w:pPr>
              <w:spacing w:after="0"/>
              <w:rPr>
                <w:sz w:val="17"/>
                <w:szCs w:val="17"/>
                <w:color w:val="auto"/>
              </w:rPr>
            </w:pPr>
          </w:p>
        </w:tc>
        <w:tc>
          <w:tcPr>
            <w:tcW w:w="6680" w:type="dxa"/>
            <w:vAlign w:val="bottom"/>
            <w:tcBorders>
              <w:bottom w:val="single" w:sz="8" w:color="auto"/>
            </w:tcBorders>
            <w:gridSpan w:val="3"/>
          </w:tcPr>
          <w:p>
            <w:pPr>
              <w:spacing w:after="0"/>
              <w:rPr>
                <w:sz w:val="17"/>
                <w:szCs w:val="17"/>
                <w:color w:val="auto"/>
              </w:rPr>
            </w:pPr>
          </w:p>
        </w:tc>
        <w:tc>
          <w:tcPr>
            <w:tcW w:w="2780" w:type="dxa"/>
            <w:vAlign w:val="bottom"/>
            <w:tcBorders>
              <w:bottom w:val="single" w:sz="8" w:color="auto"/>
            </w:tcBorders>
            <w:gridSpan w:val="6"/>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220" w:type="dxa"/>
            <w:vAlign w:val="bottom"/>
          </w:tcPr>
          <w:p>
            <w:pPr>
              <w:spacing w:after="0"/>
              <w:rPr>
                <w:sz w:val="20"/>
                <w:szCs w:val="20"/>
                <w:color w:val="auto"/>
              </w:rPr>
            </w:pPr>
            <w:r>
              <w:rPr>
                <w:rFonts w:ascii="Arial" w:cs="Arial" w:eastAsia="Arial" w:hAnsi="Arial"/>
                <w:sz w:val="13"/>
                <w:szCs w:val="13"/>
                <w:color w:val="auto"/>
              </w:rPr>
              <w:t>(1)</w:t>
            </w:r>
          </w:p>
        </w:tc>
        <w:tc>
          <w:tcPr>
            <w:tcW w:w="9460" w:type="dxa"/>
            <w:vAlign w:val="bottom"/>
            <w:gridSpan w:val="9"/>
          </w:tcPr>
          <w:p>
            <w:pPr>
              <w:ind w:left="80"/>
              <w:spacing w:after="0"/>
              <w:rPr>
                <w:sz w:val="20"/>
                <w:szCs w:val="20"/>
                <w:color w:val="auto"/>
              </w:rPr>
            </w:pPr>
            <w:r>
              <w:rPr>
                <w:rFonts w:ascii="Arial" w:cs="Arial" w:eastAsia="Arial" w:hAnsi="Arial"/>
                <w:sz w:val="13"/>
                <w:szCs w:val="13"/>
                <w:color w:val="auto"/>
              </w:rPr>
              <w:t xml:space="preserve">Pro forma amounts give effect to (i) the automatic conversion of all outstanding shares of our redeemable convertible preferred stock into an aggregate of     </w:t>
            </w:r>
          </w:p>
        </w:tc>
        <w:tc>
          <w:tcPr>
            <w:tcW w:w="280" w:type="dxa"/>
            <w:vAlign w:val="bottom"/>
          </w:tcPr>
          <w:p>
            <w:pPr>
              <w:ind w:left="60"/>
              <w:spacing w:after="0"/>
              <w:rPr>
                <w:sz w:val="20"/>
                <w:szCs w:val="20"/>
                <w:color w:val="auto"/>
              </w:rPr>
            </w:pPr>
            <w:r>
              <w:rPr>
                <w:rFonts w:ascii="Arial" w:cs="Arial" w:eastAsia="Arial" w:hAnsi="Arial"/>
                <w:sz w:val="13"/>
                <w:szCs w:val="13"/>
                <w:color w:val="auto"/>
              </w:rPr>
              <w:t xml:space="preserve">    </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shares of</w:t>
            </w:r>
          </w:p>
        </w:tc>
      </w:tr>
      <w:tr>
        <w:trPr>
          <w:trHeight w:val="148"/>
        </w:trPr>
        <w:tc>
          <w:tcPr>
            <w:tcW w:w="220" w:type="dxa"/>
            <w:vAlign w:val="bottom"/>
          </w:tcPr>
          <w:p>
            <w:pPr>
              <w:spacing w:after="0"/>
              <w:rPr>
                <w:sz w:val="12"/>
                <w:szCs w:val="12"/>
                <w:color w:val="auto"/>
              </w:rPr>
            </w:pPr>
          </w:p>
        </w:tc>
        <w:tc>
          <w:tcPr>
            <w:tcW w:w="10420" w:type="dxa"/>
            <w:vAlign w:val="bottom"/>
            <w:gridSpan w:val="13"/>
          </w:tcPr>
          <w:p>
            <w:pPr>
              <w:ind w:left="80"/>
              <w:spacing w:after="0"/>
              <w:rPr>
                <w:sz w:val="20"/>
                <w:szCs w:val="20"/>
                <w:color w:val="auto"/>
              </w:rPr>
            </w:pPr>
            <w:r>
              <w:rPr>
                <w:rFonts w:ascii="Arial" w:cs="Arial" w:eastAsia="Arial" w:hAnsi="Arial"/>
                <w:sz w:val="13"/>
                <w:szCs w:val="13"/>
                <w:color w:val="auto"/>
              </w:rPr>
              <w:t>our common stock immediately prior to the completion of this offering and (ii) the automatic conversion of all principal and accrued and unpaid interest on our outstanding</w:t>
            </w:r>
          </w:p>
        </w:tc>
      </w:tr>
      <w:tr>
        <w:trPr>
          <w:trHeight w:val="148"/>
        </w:trPr>
        <w:tc>
          <w:tcPr>
            <w:tcW w:w="220" w:type="dxa"/>
            <w:vAlign w:val="bottom"/>
          </w:tcPr>
          <w:p>
            <w:pPr>
              <w:spacing w:after="0"/>
              <w:rPr>
                <w:sz w:val="12"/>
                <w:szCs w:val="12"/>
                <w:color w:val="auto"/>
              </w:rPr>
            </w:pPr>
          </w:p>
        </w:tc>
        <w:tc>
          <w:tcPr>
            <w:tcW w:w="3500" w:type="dxa"/>
            <w:vAlign w:val="bottom"/>
            <w:gridSpan w:val="2"/>
          </w:tcPr>
          <w:p>
            <w:pPr>
              <w:ind w:left="80"/>
              <w:spacing w:after="0"/>
              <w:rPr>
                <w:sz w:val="20"/>
                <w:szCs w:val="20"/>
                <w:color w:val="auto"/>
              </w:rPr>
            </w:pPr>
            <w:r>
              <w:rPr>
                <w:rFonts w:ascii="Arial" w:cs="Arial" w:eastAsia="Arial" w:hAnsi="Arial"/>
                <w:sz w:val="13"/>
                <w:szCs w:val="13"/>
                <w:color w:val="auto"/>
              </w:rPr>
              <w:t xml:space="preserve">convertible promissory notes into an aggregate of          </w:t>
            </w:r>
          </w:p>
        </w:tc>
        <w:tc>
          <w:tcPr>
            <w:tcW w:w="6920" w:type="dxa"/>
            <w:vAlign w:val="bottom"/>
            <w:gridSpan w:val="11"/>
          </w:tcPr>
          <w:p>
            <w:pPr>
              <w:jc w:val="right"/>
              <w:ind w:right="200"/>
              <w:spacing w:after="0"/>
              <w:rPr>
                <w:sz w:val="20"/>
                <w:szCs w:val="20"/>
                <w:color w:val="auto"/>
              </w:rPr>
            </w:pPr>
            <w:r>
              <w:rPr>
                <w:rFonts w:ascii="Arial" w:cs="Arial" w:eastAsia="Arial" w:hAnsi="Arial"/>
                <w:sz w:val="13"/>
                <w:szCs w:val="13"/>
                <w:color w:val="auto"/>
              </w:rPr>
              <w:t>shares of our common stock immediately prior to the completion of this offering, based upon an assumed initial</w:t>
            </w:r>
          </w:p>
        </w:tc>
      </w:tr>
      <w:tr>
        <w:trPr>
          <w:trHeight w:val="176"/>
        </w:trPr>
        <w:tc>
          <w:tcPr>
            <w:tcW w:w="220" w:type="dxa"/>
            <w:vAlign w:val="bottom"/>
          </w:tcPr>
          <w:p>
            <w:pPr>
              <w:spacing w:after="0"/>
              <w:rPr>
                <w:sz w:val="15"/>
                <w:szCs w:val="15"/>
                <w:color w:val="auto"/>
              </w:rPr>
            </w:pPr>
          </w:p>
        </w:tc>
        <w:tc>
          <w:tcPr>
            <w:tcW w:w="2020" w:type="dxa"/>
            <w:vAlign w:val="bottom"/>
          </w:tcPr>
          <w:p>
            <w:pPr>
              <w:ind w:left="80"/>
              <w:spacing w:after="0"/>
              <w:rPr>
                <w:sz w:val="20"/>
                <w:szCs w:val="20"/>
                <w:color w:val="auto"/>
              </w:rPr>
            </w:pPr>
            <w:r>
              <w:rPr>
                <w:rFonts w:ascii="Arial" w:cs="Arial" w:eastAsia="Arial" w:hAnsi="Arial"/>
                <w:sz w:val="13"/>
                <w:szCs w:val="13"/>
                <w:color w:val="auto"/>
              </w:rPr>
              <w:t xml:space="preserve">public offering price of $          </w:t>
            </w:r>
          </w:p>
        </w:tc>
        <w:tc>
          <w:tcPr>
            <w:tcW w:w="6220" w:type="dxa"/>
            <w:vAlign w:val="bottom"/>
            <w:gridSpan w:val="6"/>
          </w:tcPr>
          <w:p>
            <w:pPr>
              <w:ind w:left="60"/>
              <w:spacing w:after="0"/>
              <w:rPr>
                <w:sz w:val="20"/>
                <w:szCs w:val="20"/>
                <w:color w:val="auto"/>
              </w:rPr>
            </w:pPr>
            <w:r>
              <w:rPr>
                <w:rFonts w:ascii="Arial" w:cs="Arial" w:eastAsia="Arial" w:hAnsi="Arial"/>
                <w:sz w:val="13"/>
                <w:szCs w:val="13"/>
                <w:color w:val="auto"/>
              </w:rPr>
              <w:t>per share, which is the midpoint of the estimated price range set forth on the cover of this prospectus.</w:t>
            </w: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2"/>
        </w:trPr>
        <w:tc>
          <w:tcPr>
            <w:tcW w:w="220" w:type="dxa"/>
            <w:vAlign w:val="bottom"/>
          </w:tcPr>
          <w:p>
            <w:pPr>
              <w:spacing w:after="0"/>
              <w:rPr>
                <w:sz w:val="20"/>
                <w:szCs w:val="20"/>
                <w:color w:val="auto"/>
              </w:rPr>
            </w:pPr>
            <w:r>
              <w:rPr>
                <w:rFonts w:ascii="Arial" w:cs="Arial" w:eastAsia="Arial" w:hAnsi="Arial"/>
                <w:sz w:val="13"/>
                <w:szCs w:val="13"/>
                <w:color w:val="auto"/>
              </w:rPr>
              <w:t>(2)</w:t>
            </w:r>
          </w:p>
        </w:tc>
        <w:tc>
          <w:tcPr>
            <w:tcW w:w="6900" w:type="dxa"/>
            <w:vAlign w:val="bottom"/>
            <w:gridSpan w:val="4"/>
          </w:tcPr>
          <w:p>
            <w:pPr>
              <w:ind w:left="80"/>
              <w:spacing w:after="0"/>
              <w:rPr>
                <w:sz w:val="20"/>
                <w:szCs w:val="20"/>
                <w:color w:val="auto"/>
              </w:rPr>
            </w:pPr>
            <w:r>
              <w:rPr>
                <w:rFonts w:ascii="Arial" w:cs="Arial" w:eastAsia="Arial" w:hAnsi="Arial"/>
                <w:sz w:val="13"/>
                <w:szCs w:val="13"/>
                <w:color w:val="auto"/>
              </w:rPr>
              <w:t xml:space="preserve">Pro forma as adjusted amounts reflect pro forma adjustments described in footnote (1) as well as the sale of       </w:t>
            </w:r>
          </w:p>
        </w:tc>
        <w:tc>
          <w:tcPr>
            <w:tcW w:w="160" w:type="dxa"/>
            <w:vAlign w:val="bottom"/>
          </w:tcPr>
          <w:p>
            <w:pPr>
              <w:ind w:left="20"/>
              <w:spacing w:after="0"/>
              <w:rPr>
                <w:sz w:val="20"/>
                <w:szCs w:val="20"/>
                <w:color w:val="auto"/>
              </w:rPr>
            </w:pPr>
            <w:r>
              <w:rPr>
                <w:rFonts w:ascii="Arial" w:cs="Arial" w:eastAsia="Arial" w:hAnsi="Arial"/>
                <w:sz w:val="13"/>
                <w:szCs w:val="13"/>
                <w:color w:val="auto"/>
                <w:w w:val="91"/>
              </w:rPr>
              <w:t> </w:t>
            </w:r>
          </w:p>
        </w:tc>
        <w:tc>
          <w:tcPr>
            <w:tcW w:w="3360" w:type="dxa"/>
            <w:vAlign w:val="bottom"/>
            <w:gridSpan w:val="8"/>
          </w:tcPr>
          <w:p>
            <w:pPr>
              <w:jc w:val="right"/>
              <w:ind w:right="320"/>
              <w:spacing w:after="0"/>
              <w:rPr>
                <w:sz w:val="20"/>
                <w:szCs w:val="20"/>
                <w:color w:val="auto"/>
              </w:rPr>
            </w:pPr>
            <w:r>
              <w:rPr>
                <w:rFonts w:ascii="Arial" w:cs="Arial" w:eastAsia="Arial" w:hAnsi="Arial"/>
                <w:sz w:val="13"/>
                <w:szCs w:val="13"/>
                <w:color w:val="auto"/>
              </w:rPr>
              <w:t>shares of our common stock in this offering, based</w:t>
            </w:r>
          </w:p>
        </w:tc>
      </w:tr>
      <w:tr>
        <w:trPr>
          <w:trHeight w:val="148"/>
        </w:trPr>
        <w:tc>
          <w:tcPr>
            <w:tcW w:w="220" w:type="dxa"/>
            <w:vAlign w:val="bottom"/>
          </w:tcPr>
          <w:p>
            <w:pPr>
              <w:spacing w:after="0"/>
              <w:rPr>
                <w:sz w:val="12"/>
                <w:szCs w:val="12"/>
                <w:color w:val="auto"/>
              </w:rPr>
            </w:pPr>
          </w:p>
        </w:tc>
        <w:tc>
          <w:tcPr>
            <w:tcW w:w="3500" w:type="dxa"/>
            <w:vAlign w:val="bottom"/>
            <w:gridSpan w:val="2"/>
          </w:tcPr>
          <w:p>
            <w:pPr>
              <w:ind w:left="80"/>
              <w:spacing w:after="0"/>
              <w:rPr>
                <w:sz w:val="20"/>
                <w:szCs w:val="20"/>
                <w:color w:val="auto"/>
              </w:rPr>
            </w:pPr>
            <w:r>
              <w:rPr>
                <w:rFonts w:ascii="Arial" w:cs="Arial" w:eastAsia="Arial" w:hAnsi="Arial"/>
                <w:sz w:val="13"/>
                <w:szCs w:val="13"/>
                <w:color w:val="auto"/>
              </w:rPr>
              <w:t xml:space="preserve">upon an assumed initial public offering price of $          </w:t>
            </w:r>
          </w:p>
        </w:tc>
        <w:tc>
          <w:tcPr>
            <w:tcW w:w="6920" w:type="dxa"/>
            <w:vAlign w:val="bottom"/>
            <w:gridSpan w:val="11"/>
          </w:tcPr>
          <w:p>
            <w:pPr>
              <w:jc w:val="right"/>
              <w:ind w:right="520"/>
              <w:spacing w:after="0"/>
              <w:rPr>
                <w:sz w:val="20"/>
                <w:szCs w:val="20"/>
                <w:color w:val="auto"/>
              </w:rPr>
            </w:pPr>
            <w:r>
              <w:rPr>
                <w:rFonts w:ascii="Arial" w:cs="Arial" w:eastAsia="Arial" w:hAnsi="Arial"/>
                <w:sz w:val="13"/>
                <w:szCs w:val="13"/>
                <w:color w:val="auto"/>
              </w:rPr>
              <w:t>per share, which is the midpoint of the estimated price range set forth on the cover of this prospectus, after</w:t>
            </w:r>
          </w:p>
        </w:tc>
      </w:tr>
      <w:tr>
        <w:trPr>
          <w:trHeight w:val="148"/>
        </w:trPr>
        <w:tc>
          <w:tcPr>
            <w:tcW w:w="220" w:type="dxa"/>
            <w:vAlign w:val="bottom"/>
          </w:tcPr>
          <w:p>
            <w:pPr>
              <w:spacing w:after="0"/>
              <w:rPr>
                <w:sz w:val="12"/>
                <w:szCs w:val="12"/>
                <w:color w:val="auto"/>
              </w:rPr>
            </w:pPr>
          </w:p>
        </w:tc>
        <w:tc>
          <w:tcPr>
            <w:tcW w:w="10420" w:type="dxa"/>
            <w:vAlign w:val="bottom"/>
            <w:gridSpan w:val="13"/>
          </w:tcPr>
          <w:p>
            <w:pPr>
              <w:ind w:left="80"/>
              <w:spacing w:after="0"/>
              <w:rPr>
                <w:sz w:val="20"/>
                <w:szCs w:val="20"/>
                <w:color w:val="auto"/>
              </w:rPr>
            </w:pPr>
            <w:r>
              <w:rPr>
                <w:rFonts w:ascii="Arial" w:cs="Arial" w:eastAsia="Arial" w:hAnsi="Arial"/>
                <w:sz w:val="13"/>
                <w:szCs w:val="13"/>
                <w:color w:val="auto"/>
              </w:rPr>
              <w:t>deducting the estimated underwriting discounts and commissions and estimated offering expenses payable by us. The pro forma as adjusted information is illustrative only,</w:t>
            </w:r>
          </w:p>
        </w:tc>
      </w:tr>
      <w:tr>
        <w:trPr>
          <w:trHeight w:val="148"/>
        </w:trPr>
        <w:tc>
          <w:tcPr>
            <w:tcW w:w="220" w:type="dxa"/>
            <w:vAlign w:val="bottom"/>
          </w:tcPr>
          <w:p>
            <w:pPr>
              <w:spacing w:after="0"/>
              <w:rPr>
                <w:sz w:val="12"/>
                <w:szCs w:val="12"/>
                <w:color w:val="auto"/>
              </w:rPr>
            </w:pPr>
          </w:p>
        </w:tc>
        <w:tc>
          <w:tcPr>
            <w:tcW w:w="10420" w:type="dxa"/>
            <w:vAlign w:val="bottom"/>
            <w:gridSpan w:val="13"/>
          </w:tcPr>
          <w:p>
            <w:pPr>
              <w:ind w:left="80"/>
              <w:spacing w:after="0"/>
              <w:rPr>
                <w:sz w:val="20"/>
                <w:szCs w:val="20"/>
                <w:color w:val="auto"/>
              </w:rPr>
            </w:pPr>
            <w:r>
              <w:rPr>
                <w:rFonts w:ascii="Arial" w:cs="Arial" w:eastAsia="Arial" w:hAnsi="Arial"/>
                <w:sz w:val="13"/>
                <w:szCs w:val="13"/>
                <w:color w:val="auto"/>
              </w:rPr>
              <w:t>and will change based on the actual initial public offering price and other terms of this offering determined at pricing. Each $1.00 increase (decrease) in the assumed initial</w:t>
            </w:r>
          </w:p>
        </w:tc>
      </w:tr>
      <w:tr>
        <w:trPr>
          <w:trHeight w:val="148"/>
        </w:trPr>
        <w:tc>
          <w:tcPr>
            <w:tcW w:w="220" w:type="dxa"/>
            <w:vAlign w:val="bottom"/>
          </w:tcPr>
          <w:p>
            <w:pPr>
              <w:spacing w:after="0"/>
              <w:rPr>
                <w:sz w:val="12"/>
                <w:szCs w:val="12"/>
                <w:color w:val="auto"/>
              </w:rPr>
            </w:pPr>
          </w:p>
        </w:tc>
        <w:tc>
          <w:tcPr>
            <w:tcW w:w="2020" w:type="dxa"/>
            <w:vAlign w:val="bottom"/>
          </w:tcPr>
          <w:p>
            <w:pPr>
              <w:ind w:left="80"/>
              <w:spacing w:after="0"/>
              <w:rPr>
                <w:sz w:val="20"/>
                <w:szCs w:val="20"/>
                <w:color w:val="auto"/>
              </w:rPr>
            </w:pPr>
            <w:r>
              <w:rPr>
                <w:rFonts w:ascii="Arial" w:cs="Arial" w:eastAsia="Arial" w:hAnsi="Arial"/>
                <w:sz w:val="13"/>
                <w:szCs w:val="13"/>
                <w:color w:val="auto"/>
              </w:rPr>
              <w:t xml:space="preserve">public offering price of $          </w:t>
            </w:r>
          </w:p>
        </w:tc>
        <w:tc>
          <w:tcPr>
            <w:tcW w:w="8400" w:type="dxa"/>
            <w:vAlign w:val="bottom"/>
            <w:gridSpan w:val="12"/>
          </w:tcPr>
          <w:p>
            <w:pPr>
              <w:ind w:left="60"/>
              <w:spacing w:after="0"/>
              <w:rPr>
                <w:sz w:val="20"/>
                <w:szCs w:val="20"/>
                <w:color w:val="auto"/>
              </w:rPr>
            </w:pPr>
            <w:r>
              <w:rPr>
                <w:rFonts w:ascii="Arial" w:cs="Arial" w:eastAsia="Arial" w:hAnsi="Arial"/>
                <w:sz w:val="13"/>
                <w:szCs w:val="13"/>
                <w:color w:val="auto"/>
              </w:rPr>
              <w:t>per share, which is the midpoint of the estimated price range set forth on the cover of this prospectus, would increase (decrease) the pro</w:t>
            </w:r>
          </w:p>
        </w:tc>
      </w:tr>
      <w:tr>
        <w:trPr>
          <w:trHeight w:val="148"/>
        </w:trPr>
        <w:tc>
          <w:tcPr>
            <w:tcW w:w="220" w:type="dxa"/>
            <w:vAlign w:val="bottom"/>
          </w:tcPr>
          <w:p>
            <w:pPr>
              <w:spacing w:after="0"/>
              <w:rPr>
                <w:sz w:val="12"/>
                <w:szCs w:val="12"/>
                <w:color w:val="auto"/>
              </w:rPr>
            </w:pPr>
          </w:p>
        </w:tc>
        <w:tc>
          <w:tcPr>
            <w:tcW w:w="7780" w:type="dxa"/>
            <w:vAlign w:val="bottom"/>
            <w:gridSpan w:val="6"/>
          </w:tcPr>
          <w:p>
            <w:pPr>
              <w:ind w:left="80"/>
              <w:spacing w:after="0"/>
              <w:rPr>
                <w:sz w:val="20"/>
                <w:szCs w:val="20"/>
                <w:color w:val="auto"/>
              </w:rPr>
            </w:pPr>
            <w:r>
              <w:rPr>
                <w:rFonts w:ascii="Arial" w:cs="Arial" w:eastAsia="Arial" w:hAnsi="Arial"/>
                <w:sz w:val="13"/>
                <w:szCs w:val="13"/>
                <w:color w:val="auto"/>
              </w:rPr>
              <w:t xml:space="preserve">forma as adjusted amount of each of cash and cash equivalents, working capital, total assets and total stockholders’ equity by $ </w:t>
            </w:r>
          </w:p>
        </w:tc>
        <w:tc>
          <w:tcPr>
            <w:tcW w:w="460" w:type="dxa"/>
            <w:vAlign w:val="bottom"/>
          </w:tcPr>
          <w:p>
            <w:pPr>
              <w:ind w:left="40"/>
              <w:spacing w:after="0"/>
              <w:rPr>
                <w:sz w:val="20"/>
                <w:szCs w:val="20"/>
                <w:color w:val="auto"/>
              </w:rPr>
            </w:pPr>
            <w:r>
              <w:rPr>
                <w:rFonts w:ascii="Arial" w:cs="Arial" w:eastAsia="Arial" w:hAnsi="Arial"/>
                <w:sz w:val="13"/>
                <w:szCs w:val="13"/>
                <w:color w:val="auto"/>
              </w:rPr>
              <w:t xml:space="preserve">       </w:t>
            </w:r>
          </w:p>
        </w:tc>
        <w:tc>
          <w:tcPr>
            <w:tcW w:w="2180" w:type="dxa"/>
            <w:vAlign w:val="bottom"/>
            <w:gridSpan w:val="6"/>
          </w:tcPr>
          <w:p>
            <w:pPr>
              <w:jc w:val="right"/>
              <w:ind w:right="240"/>
              <w:spacing w:after="0"/>
              <w:rPr>
                <w:sz w:val="20"/>
                <w:szCs w:val="20"/>
                <w:color w:val="auto"/>
              </w:rPr>
            </w:pPr>
            <w:r>
              <w:rPr>
                <w:rFonts w:ascii="Arial" w:cs="Arial" w:eastAsia="Arial" w:hAnsi="Arial"/>
                <w:sz w:val="13"/>
                <w:szCs w:val="13"/>
                <w:color w:val="auto"/>
              </w:rPr>
              <w:t>million, assuming the number of</w:t>
            </w:r>
          </w:p>
        </w:tc>
      </w:tr>
      <w:tr>
        <w:trPr>
          <w:trHeight w:val="149"/>
        </w:trPr>
        <w:tc>
          <w:tcPr>
            <w:tcW w:w="220" w:type="dxa"/>
            <w:vAlign w:val="bottom"/>
          </w:tcPr>
          <w:p>
            <w:pPr>
              <w:spacing w:after="0"/>
              <w:rPr>
                <w:sz w:val="12"/>
                <w:szCs w:val="12"/>
                <w:color w:val="auto"/>
              </w:rPr>
            </w:pPr>
          </w:p>
        </w:tc>
        <w:tc>
          <w:tcPr>
            <w:tcW w:w="10420" w:type="dxa"/>
            <w:vAlign w:val="bottom"/>
            <w:gridSpan w:val="13"/>
          </w:tcPr>
          <w:p>
            <w:pPr>
              <w:ind w:left="80"/>
              <w:spacing w:after="0"/>
              <w:rPr>
                <w:sz w:val="20"/>
                <w:szCs w:val="20"/>
                <w:color w:val="auto"/>
              </w:rPr>
            </w:pPr>
            <w:r>
              <w:rPr>
                <w:rFonts w:ascii="Arial" w:cs="Arial" w:eastAsia="Arial" w:hAnsi="Arial"/>
                <w:sz w:val="13"/>
                <w:szCs w:val="13"/>
                <w:color w:val="auto"/>
              </w:rPr>
              <w:t>shares offered by us, as set forth on the cover of this prospectus, remains the same and after deducting estimated underwriting discounts and commissions. Similarly, each</w:t>
            </w:r>
          </w:p>
        </w:tc>
      </w:tr>
      <w:tr>
        <w:trPr>
          <w:trHeight w:val="148"/>
        </w:trPr>
        <w:tc>
          <w:tcPr>
            <w:tcW w:w="220" w:type="dxa"/>
            <w:vAlign w:val="bottom"/>
          </w:tcPr>
          <w:p>
            <w:pPr>
              <w:spacing w:after="0"/>
              <w:rPr>
                <w:sz w:val="12"/>
                <w:szCs w:val="12"/>
                <w:color w:val="auto"/>
              </w:rPr>
            </w:pPr>
          </w:p>
        </w:tc>
        <w:tc>
          <w:tcPr>
            <w:tcW w:w="10420" w:type="dxa"/>
            <w:vAlign w:val="bottom"/>
            <w:gridSpan w:val="13"/>
          </w:tcPr>
          <w:p>
            <w:pPr>
              <w:ind w:left="80"/>
              <w:spacing w:after="0"/>
              <w:rPr>
                <w:sz w:val="20"/>
                <w:szCs w:val="20"/>
                <w:color w:val="auto"/>
              </w:rPr>
            </w:pPr>
            <w:r>
              <w:rPr>
                <w:rFonts w:ascii="Arial" w:cs="Arial" w:eastAsia="Arial" w:hAnsi="Arial"/>
                <w:sz w:val="13"/>
                <w:szCs w:val="13"/>
                <w:color w:val="auto"/>
              </w:rPr>
              <w:t>increase (decrease) of 1.0 million shares in the number of shares offered would increase (decrease) the pro forma as adjusted amount of each of cash and cash equivalents,</w:t>
            </w:r>
          </w:p>
        </w:tc>
      </w:tr>
      <w:tr>
        <w:trPr>
          <w:trHeight w:val="149"/>
        </w:trPr>
        <w:tc>
          <w:tcPr>
            <w:tcW w:w="220" w:type="dxa"/>
            <w:vAlign w:val="bottom"/>
          </w:tcPr>
          <w:p>
            <w:pPr>
              <w:spacing w:after="0"/>
              <w:rPr>
                <w:sz w:val="12"/>
                <w:szCs w:val="12"/>
                <w:color w:val="auto"/>
              </w:rPr>
            </w:pPr>
          </w:p>
        </w:tc>
        <w:tc>
          <w:tcPr>
            <w:tcW w:w="10420" w:type="dxa"/>
            <w:vAlign w:val="bottom"/>
            <w:gridSpan w:val="13"/>
          </w:tcPr>
          <w:p>
            <w:pPr>
              <w:ind w:left="80"/>
              <w:spacing w:after="0"/>
              <w:rPr>
                <w:sz w:val="20"/>
                <w:szCs w:val="20"/>
                <w:color w:val="auto"/>
              </w:rPr>
            </w:pPr>
            <w:r>
              <w:rPr>
                <w:rFonts w:ascii="Arial" w:cs="Arial" w:eastAsia="Arial" w:hAnsi="Arial"/>
                <w:sz w:val="13"/>
                <w:szCs w:val="13"/>
                <w:color w:val="auto"/>
              </w:rPr>
              <w:t>working capital, total assets and total stockholders’ equity by $            million, assuming that the assumed initial public offering price remains the same and after deducting</w:t>
            </w:r>
          </w:p>
        </w:tc>
      </w:tr>
      <w:tr>
        <w:trPr>
          <w:trHeight w:val="176"/>
        </w:trPr>
        <w:tc>
          <w:tcPr>
            <w:tcW w:w="220" w:type="dxa"/>
            <w:vAlign w:val="bottom"/>
          </w:tcPr>
          <w:p>
            <w:pPr>
              <w:spacing w:after="0"/>
              <w:rPr>
                <w:sz w:val="15"/>
                <w:szCs w:val="15"/>
                <w:color w:val="auto"/>
              </w:rPr>
            </w:pPr>
          </w:p>
        </w:tc>
        <w:tc>
          <w:tcPr>
            <w:tcW w:w="3500" w:type="dxa"/>
            <w:vAlign w:val="bottom"/>
            <w:gridSpan w:val="2"/>
          </w:tcPr>
          <w:p>
            <w:pPr>
              <w:ind w:left="80"/>
              <w:spacing w:after="0"/>
              <w:rPr>
                <w:sz w:val="20"/>
                <w:szCs w:val="20"/>
                <w:color w:val="auto"/>
              </w:rPr>
            </w:pPr>
            <w:r>
              <w:rPr>
                <w:rFonts w:ascii="Arial" w:cs="Arial" w:eastAsia="Arial" w:hAnsi="Arial"/>
                <w:sz w:val="13"/>
                <w:szCs w:val="13"/>
                <w:color w:val="auto"/>
              </w:rPr>
              <w:t>estimated underwriting discounts and commissions.</w:t>
            </w:r>
          </w:p>
        </w:tc>
        <w:tc>
          <w:tcPr>
            <w:tcW w:w="3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53" w:lineRule="exact"/>
        <w:rPr>
          <w:sz w:val="20"/>
          <w:szCs w:val="20"/>
          <w:color w:val="auto"/>
        </w:rPr>
      </w:pPr>
    </w:p>
    <w:p>
      <w:pPr>
        <w:ind w:left="300"/>
        <w:spacing w:after="0"/>
        <w:tabs>
          <w:tab w:leader="none" w:pos="580" w:val="left"/>
        </w:tabs>
        <w:rPr>
          <w:sz w:val="20"/>
          <w:szCs w:val="20"/>
          <w:color w:val="auto"/>
        </w:rPr>
      </w:pPr>
      <w:r>
        <w:rPr>
          <w:rFonts w:ascii="Arial" w:cs="Arial" w:eastAsia="Arial" w:hAnsi="Arial"/>
          <w:sz w:val="13"/>
          <w:szCs w:val="13"/>
          <w:color w:val="auto"/>
        </w:rPr>
        <w:t>(3)</w:t>
        <w:tab/>
        <w:t>We define working capital as current assets less current liabilities.</w:t>
      </w:r>
    </w:p>
    <w:p>
      <w:pPr>
        <w:spacing w:after="0" w:line="3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Risk factors</w:t>
      </w:r>
    </w:p>
    <w:p>
      <w:pPr>
        <w:spacing w:after="0" w:line="170"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in the sections titled “Special note regarding forward-looking statements” and “Management’s discussion and analysis of financial condition and results of operations” and in our financial statements and the related notes included elsewhere in this prospectus. The risks and uncertainties described below are not the only ones we face. Additional risks and uncertainties that we are unaware of or that we deem immaterial may also become important factors that adversely affect our business.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limited operating history, financial position and need for capital</w:t>
      </w:r>
    </w:p>
    <w:p>
      <w:pPr>
        <w:spacing w:after="0" w:line="150" w:lineRule="exact"/>
        <w:rPr>
          <w:sz w:val="20"/>
          <w:szCs w:val="20"/>
          <w:color w:val="auto"/>
        </w:rPr>
      </w:pPr>
    </w:p>
    <w:p>
      <w:pPr>
        <w:ind w:left="120" w:right="200"/>
        <w:spacing w:after="0" w:line="249"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which may make it difficult to evaluate the success of our business to date and to assess our future viability. Since our inception, we have incurred significant operating losses and have not generated any revenue. We expect to incur continued losses for the foreseeable future and may never achieve or maintain profitability.</w:t>
      </w:r>
    </w:p>
    <w:p>
      <w:pPr>
        <w:spacing w:after="0" w:line="9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Investment in drug development is a highly speculative undertaking and involves a substantial degree of risk. We are a clinical-stage biopharmaceutical company with a limited operating history. Our lead programs are still in early clinical and preclinical development, and we are subject to the risks of failure inherent in the development of therapeutic candidates based on novel technologies. We have not yet demonstrated an ability to successfully overcome many of the risks and uncertainties frequently encountered by companies in new and rapidly evolving fields, particularly in the biotechnology industry. Furthermore, we do not expect to generate any revenue from commercial sales for the foreseeable future, and we expect to continue to incur significant operating losses for the foreseeable future due to the cost of clinical trials, preclinical studies, research and development, and the regulatory approval process of our therapeutic candidates. For the three months ended March 31, 2024, we incurred a net loss of $        million and for the years ended December 31, 2022 and 2023, we incurred a net loss of $114.9 million and $100.4 million, respectively. As of March 31, 2024, we had an accumulated deficit of</w:t>
      </w:r>
    </w:p>
    <w:p>
      <w:pPr>
        <w:spacing w:after="0" w:line="1" w:lineRule="exact"/>
        <w:rPr>
          <w:sz w:val="20"/>
          <w:szCs w:val="20"/>
          <w:color w:val="auto"/>
        </w:rPr>
      </w:pPr>
    </w:p>
    <w:p>
      <w:pPr>
        <w:ind w:left="120" w:right="640"/>
        <w:spacing w:after="0" w:line="250" w:lineRule="auto"/>
        <w:rPr>
          <w:sz w:val="20"/>
          <w:szCs w:val="20"/>
          <w:color w:val="auto"/>
        </w:rPr>
      </w:pPr>
      <w:r>
        <w:rPr>
          <w:rFonts w:ascii="Arial" w:cs="Arial" w:eastAsia="Arial" w:hAnsi="Arial"/>
          <w:sz w:val="18"/>
          <w:szCs w:val="18"/>
          <w:color w:val="auto"/>
        </w:rPr>
        <w:t>$        million. We expect to continue to incur significant research and development and other expenses related to our ongoing operations.</w:t>
      </w:r>
    </w:p>
    <w:p>
      <w:pPr>
        <w:spacing w:after="0" w:line="91"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Since our inception, we have focused substantially all of our efforts and financial resources on research and development activities for our programs and on establishing arrangements and collaborations with third parties for the development of our therapeutic candidates. To date, we have not generated any revenue from product sales and have financed our operations primarily through sales of our equity and convertible notes, as well as one-time, nonrefundable, upfront licensing payments.</w:t>
      </w:r>
    </w:p>
    <w:p>
      <w:pPr>
        <w:spacing w:after="0" w:line="106"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We expect our research and development expenses to significantly increase in connection with clinical trials for our lead programs, MZE829 and MZE782, further development of our Maze Compass platform, or our Compass platform, planned preclinical studies, IND filings and clinical trials for future therapeutic candidates. We will also incur substantial additional expenses as we seek to expand our intellectual property portfolio, including through potential in-licensing opportunities, and hire additional personnel as we scale up our operations. Once we are a public company, we will incur additional costs associated with operating as a public company. As a result, we expect to continue to incur significant and increasing operating losses for the foreseeable future. Because of the numerous risks and uncertainties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auto"/>
        </w:rPr>
        <w:t>associated with developing pharmaceutical products, we are unable to predict the extent of any future losses or when we will become profitable, if at all.</w:t>
      </w:r>
    </w:p>
    <w:p>
      <w:pPr>
        <w:spacing w:after="0" w:line="86"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apart from upfront licensing payments, and we do not know when, or if, we will generate any sales, milestone, or royalty revenue. We do not expect to generate additional significant revenue from licensing arrangements in the near term. We do not expect to generate significant revenue unless and until we obtain marketing approval for, and begin to sell, our therapeutic candidates.</w:t>
      </w:r>
    </w:p>
    <w:p>
      <w:pPr>
        <w:spacing w:after="0" w:line="106"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To become and remain profitable, we must succeed in designing, developing and eventually commercializing products that generate significant revenue. This will require us to be successful in a range of challenging activities, including therapeutic candidate selection, preclinical testing and clinical trials of our therapeutic candidates, continuing to discover and develop additional therapeutic candidates, establishing arrangements with third parties for the manufacture of preclinical and clinical supplies, obtaining regulatory approval for any therapeutic candidates that successfully complete clinical trials, manufacturing, marketing and selling any products for which we may obtain marketing approval and obtaining coverage and adequate reimbursement from government and third-party payors for any such products. We are only in the preliminary stages of development and clinical trials, and we may never succeed in these activities and, even if we do, may never generate revenues that are significant enough to achieve profitability or meet outside expectations for our profitability.</w:t>
      </w:r>
    </w:p>
    <w:p>
      <w:pPr>
        <w:spacing w:after="0" w:line="87"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Because of the numerous risks and uncertainties associated with pharmaceutical development, we are unable to accurately predict the timing or amount of increased expenses we will incur or when, or if, we will be able to achieve profitability. If we decide to or are required by the U.S. Food and Drug Administration, or FDA, or regulatory authorities in other jurisdictions to perform preclinical studies or clinical trials in addition to those currently expected, or if there are any delays in establishing appropriate manufacturing arrangements for, in initiating clinical trials or preclinical studies for, or in the development of any of our therapeutic candidates, our expenses could increase materially and profitability could be further delayed.</w:t>
      </w:r>
    </w:p>
    <w:p>
      <w:pPr>
        <w:spacing w:after="0" w:line="111"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13" w:lineRule="exact"/>
        <w:rPr>
          <w:sz w:val="20"/>
          <w:szCs w:val="20"/>
          <w:color w:val="auto"/>
        </w:rPr>
      </w:pPr>
    </w:p>
    <w:p>
      <w:pPr>
        <w:ind w:left="120" w:right="20"/>
        <w:spacing w:after="0" w:line="256"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78"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Developing pharmaceutical products, including conducting clinical trials and preclinical studies, is a very time-consuming, expensive and uncertain process that takes years to complete. Our operations have consumed substantial amounts of cash since inception, and we expect our expenses to increase substantially in connection with our ongoing research and development activities, particularly as we advance our developmental programs, advance our current clinical trial and preclinical studies, commence additional clinical trials and preclinical studies and expand the breadth of our Compass platform. In addition, even if we obtain marketing approval for any of our therapeutic candidates, we expect to incur significant commercialization expenses related to product</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7"/>
          <w:szCs w:val="17"/>
          <w:color w:val="auto"/>
        </w:rPr>
        <w:t>manufacturing, marketing, sales and distribution. Furthermore, upon the closing of this offering, we expect to incur additional costs associated with operating as a public company. Accordingly, we will need to obtain substantial additional capital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clinical and preclinical development, research and development programs, our commercialization plans or other operations.</w:t>
      </w:r>
    </w:p>
    <w:p>
      <w:pPr>
        <w:spacing w:after="0" w:line="98"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As of March 31, 2024, our cash and cash equivalents were $        million. Based on our current operating plan, we believe that the net proceeds from this offering, together with our existing cash and cash equivalents, will enable us to fund our operating expenses and capital expenditure requirements through at least        .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development activities and changes in regulation. Our future capital requirements will depend on many factors, including, but not limited to:</w:t>
      </w:r>
    </w:p>
    <w:p>
      <w:pPr>
        <w:spacing w:after="0" w:line="111" w:lineRule="exact"/>
        <w:rPr>
          <w:sz w:val="20"/>
          <w:szCs w:val="20"/>
          <w:color w:val="auto"/>
        </w:rPr>
      </w:pPr>
    </w:p>
    <w:p>
      <w:pPr>
        <w:ind w:left="340" w:right="22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the type, scope, progress and results of research and discovery, preclinical development, laboratory testing and clinical trials for our current or future therapeutic candidates, including MZE829 and MZE782;</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therapeutic candidates or technologies;</w:t>
      </w:r>
    </w:p>
    <w:p>
      <w:pPr>
        <w:spacing w:after="0" w:line="144" w:lineRule="exact"/>
        <w:rPr>
          <w:rFonts w:ascii="Arial" w:cs="Arial" w:eastAsia="Arial" w:hAnsi="Arial"/>
          <w:sz w:val="18"/>
          <w:szCs w:val="18"/>
          <w:color w:val="auto"/>
        </w:rPr>
      </w:pPr>
    </w:p>
    <w:p>
      <w:pPr>
        <w:ind w:left="340" w:right="26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development requirements of other therapeutic candidates that we may pursue, and other indications for our current therapeutic candidates that we may pursue;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related to entering into partnerships or other arrangements with third parties;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therapeutic candidates we may pursue;</w:t>
      </w:r>
    </w:p>
    <w:p>
      <w:pPr>
        <w:spacing w:after="0" w:line="144" w:lineRule="exact"/>
        <w:rPr>
          <w:rFonts w:ascii="Arial" w:cs="Arial" w:eastAsia="Arial" w:hAnsi="Arial"/>
          <w:sz w:val="18"/>
          <w:szCs w:val="18"/>
          <w:color w:val="auto"/>
        </w:rPr>
      </w:pPr>
    </w:p>
    <w:p>
      <w:pPr>
        <w:ind w:left="340" w:right="36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our products or technologies, including to maintain and expand our Compass platform;</w:t>
      </w:r>
    </w:p>
    <w:p>
      <w:pPr>
        <w:spacing w:after="0" w:line="86" w:lineRule="exact"/>
        <w:rPr>
          <w:rFonts w:ascii="Arial" w:cs="Arial" w:eastAsia="Arial" w:hAnsi="Arial"/>
          <w:sz w:val="18"/>
          <w:szCs w:val="18"/>
          <w:color w:val="auto"/>
        </w:rPr>
      </w:pPr>
    </w:p>
    <w:p>
      <w:pPr>
        <w:ind w:left="340" w:right="48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for preclinical, clinical and commercial supplies of our current or future therapeutic candidates;</w:t>
      </w:r>
    </w:p>
    <w:p>
      <w:pPr>
        <w:spacing w:after="0" w:line="86" w:lineRule="exact"/>
        <w:rPr>
          <w:rFonts w:ascii="Arial" w:cs="Arial" w:eastAsia="Arial" w:hAnsi="Arial"/>
          <w:sz w:val="18"/>
          <w:szCs w:val="18"/>
          <w:color w:val="auto"/>
        </w:rPr>
      </w:pPr>
    </w:p>
    <w:p>
      <w:pPr>
        <w:ind w:left="340" w:right="56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and costs involved in growing our organization to the size needed to allow for the research, development and potential commercialization of our current or future therapeutic candidates;</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commercializing any approved therapeutic candidates, including establishing sales, marketing and distribution capabilities;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completing any post-marketing studies or trials required by the FDA or other regulatory authorities;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current or future therapeutic candidates, if any are approved;</w:t>
      </w:r>
    </w:p>
    <w:p>
      <w:pPr>
        <w:spacing w:after="0" w:line="144" w:lineRule="exact"/>
        <w:rPr>
          <w:rFonts w:ascii="Arial" w:cs="Arial" w:eastAsia="Arial" w:hAnsi="Arial"/>
          <w:sz w:val="18"/>
          <w:szCs w:val="18"/>
          <w:color w:val="auto"/>
        </w:rPr>
      </w:pPr>
    </w:p>
    <w:p>
      <w:pPr>
        <w:ind w:left="340" w:right="6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addressing any potential interruptions or delays resulting from factors related to overall global affairs, such as conflicts overseas;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20" w:hanging="224"/>
        <w:spacing w:after="0" w:line="25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defending and enforcing our intellectual property and proprietary rights and defending intellectual property-related claims that we may become subject to, including any litigation costs and the outcome of such litigation;</w:t>
      </w:r>
    </w:p>
    <w:p>
      <w:pPr>
        <w:spacing w:after="0" w:line="101" w:lineRule="exact"/>
        <w:rPr>
          <w:rFonts w:ascii="Arial" w:cs="Arial" w:eastAsia="Arial" w:hAnsi="Arial"/>
          <w:sz w:val="18"/>
          <w:szCs w:val="18"/>
          <w:color w:val="auto"/>
        </w:rPr>
      </w:pPr>
    </w:p>
    <w:p>
      <w:pPr>
        <w:ind w:left="340" w:right="160" w:hanging="224"/>
        <w:spacing w:after="0" w:line="27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 and</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arrangements on favorable terms, if at all and the timing and amount of any milestone, royalty or other payments we are required to make or are eligible to receive under such collaborations, if any.</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Even if this offering is successful, we will require additional capital for our research and development programs. Our ability to raise additional funds will be dependent on financial, economic and market conditions, geopolitical issues and other factors, over which we may have limited or no control. If adequate funds are not available on commercially acceptable terms when needed, we may be forced to delay, reduce or terminate our research and development activities of all or part of our research programs or therapeutic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therapeutic candidates, if approved. Changing circumstances, some of which may be beyond our control, could cause us to consume capital significantly faster than we currently anticipate, and we may need to seek additional funds sooner than planned.</w:t>
      </w:r>
    </w:p>
    <w:p>
      <w:pPr>
        <w:spacing w:after="0" w:line="115" w:lineRule="exact"/>
        <w:rPr>
          <w:sz w:val="20"/>
          <w:szCs w:val="20"/>
          <w:color w:val="auto"/>
        </w:rPr>
      </w:pPr>
    </w:p>
    <w:p>
      <w:pPr>
        <w:ind w:left="120" w:right="62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therapeutic candidates.</w:t>
      </w:r>
    </w:p>
    <w:p>
      <w:pPr>
        <w:spacing w:after="0" w:line="58"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13"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therapeutic candidates, including granting licenses to our technologies,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therapeutic candidates that we would otherwise prefer to develop and market ourselves.</w:t>
      </w:r>
    </w:p>
    <w:p>
      <w:pPr>
        <w:spacing w:after="0" w:line="113" w:lineRule="exact"/>
        <w:rPr>
          <w:sz w:val="20"/>
          <w:szCs w:val="20"/>
          <w:color w:val="auto"/>
        </w:rPr>
      </w:pPr>
    </w:p>
    <w:p>
      <w:pPr>
        <w:ind w:left="120" w:right="280"/>
        <w:spacing w:after="0" w:line="278" w:lineRule="auto"/>
        <w:rPr>
          <w:sz w:val="20"/>
          <w:szCs w:val="20"/>
          <w:color w:val="auto"/>
        </w:rPr>
      </w:pPr>
      <w:r>
        <w:rPr>
          <w:rFonts w:ascii="Arial" w:cs="Arial" w:eastAsia="Arial" w:hAnsi="Arial"/>
          <w:sz w:val="18"/>
          <w:szCs w:val="18"/>
          <w:b w:val="1"/>
          <w:bCs w:val="1"/>
          <w:i w:val="1"/>
          <w:iCs w:val="1"/>
          <w:color w:val="auto"/>
        </w:rPr>
        <w:t>Our loan and security agreement provides our lender with a first priority lien against substantially all of our assets, except for intellectual property, and contains restrictive and financial covenants that may limit our operating flexibility.</w:t>
      </w:r>
    </w:p>
    <w:p>
      <w:pPr>
        <w:spacing w:after="0" w:line="5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loan and security agreement, dated June 27, 2022, between us and Banc of California (f/k/a Pacific Western Bank), as amended as of the date hereof, or the Loan Agreement, is a line of credit secured by a lien covering substantially all of our personal property, excluding intellectual property.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The Loan Agreement contains customary representations and warranties, events of default and affirmative and negative covenants, including covenants that limit or restrict our ability to, among other things, dispose of assets, make changes to our business, management, ownership or business locations, merge or consolidate, incur additional indebtedness, pay dividends or other distributions or repurchase equity, make investments and certain capital expenditures, and enter into certain transactions with affiliates, in each case subject to certain exceptions. Our ability to comply with these and other covenants is dependent on several factors, some of which are beyond our control.</w:t>
      </w:r>
    </w:p>
    <w:p>
      <w:pPr>
        <w:spacing w:after="0" w:line="98"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While we have not drawn on the Loan Agreement to date, the restrictions and covenants in the Loan Agreement, as well as those contained in any future debt financing agreements that we may enter into, may restrict our ability to finance our operations and engage in, expand or otherwise pursue our business activities and strategies. Our ability to comply with these covenants and restrictions may be affected by events beyond our control, and breaches of these covenants and restrictions could result in a default under the Loan Agreement or under any future financing agreements that we may enter into, which would give our lenders the right to terminate their commitments to provide loans and to declare all borrowings outstanding, together with accrued and unpaid interest and fees, to be immediately due and payable.</w:t>
      </w:r>
    </w:p>
    <w:p>
      <w:pPr>
        <w:spacing w:after="0" w:line="117"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Further, the interest rate for any future term loan drawn under the Loan Agreement will be based on the published prime rate, a floating rate, subject to a maximum rate equal to the greater of (i) 0.75% above the published prime rate as then in effect and (ii) 4.50%. The Federal Reserve has raised, and may in the future further raise, interest rates to combat the effects of recent high inflation. An increase in the prime rate resulting in interest rates above the set minimum rate would increase our debt service obligations, which could have a negative impact on our cash flow, financial position or operating results, or result in increased borrowing costs in the future.</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discovery and development of our therapeutic candidates</w:t>
      </w:r>
    </w:p>
    <w:p>
      <w:pPr>
        <w:spacing w:after="0" w:line="150" w:lineRule="exact"/>
        <w:rPr>
          <w:sz w:val="20"/>
          <w:szCs w:val="20"/>
          <w:color w:val="auto"/>
        </w:rPr>
      </w:pPr>
    </w:p>
    <w:p>
      <w:pPr>
        <w:ind w:left="120" w:right="180"/>
        <w:spacing w:after="0" w:line="309" w:lineRule="auto"/>
        <w:rPr>
          <w:sz w:val="20"/>
          <w:szCs w:val="20"/>
          <w:color w:val="auto"/>
        </w:rPr>
      </w:pPr>
      <w:r>
        <w:rPr>
          <w:rFonts w:ascii="Arial" w:cs="Arial" w:eastAsia="Arial" w:hAnsi="Arial"/>
          <w:sz w:val="17"/>
          <w:szCs w:val="17"/>
          <w:b w:val="1"/>
          <w:bCs w:val="1"/>
          <w:i w:val="1"/>
          <w:iCs w:val="1"/>
          <w:color w:val="auto"/>
        </w:rPr>
        <w:t>We are early in our development efforts and highly dependent on the success of our lead programs. If we are unable to commercialize our therapeutic candidates or experience significant delays in doing so, our business will be materially harmed.</w:t>
      </w:r>
    </w:p>
    <w:p>
      <w:pPr>
        <w:spacing w:after="0" w:line="35" w:lineRule="exact"/>
        <w:rPr>
          <w:sz w:val="20"/>
          <w:szCs w:val="20"/>
          <w:color w:val="auto"/>
        </w:rPr>
      </w:pPr>
    </w:p>
    <w:p>
      <w:pPr>
        <w:ind w:left="120" w:right="40"/>
        <w:spacing w:after="0" w:line="261" w:lineRule="auto"/>
        <w:rPr>
          <w:sz w:val="20"/>
          <w:szCs w:val="20"/>
          <w:color w:val="auto"/>
        </w:rPr>
      </w:pPr>
      <w:r>
        <w:rPr>
          <w:rFonts w:ascii="Arial" w:cs="Arial" w:eastAsia="Arial" w:hAnsi="Arial"/>
          <w:sz w:val="17"/>
          <w:szCs w:val="17"/>
          <w:color w:val="auto"/>
        </w:rPr>
        <w:t>Our therapeutic candidates are in early stages of development. We do not have any products that are approved for sale in any jurisdiction. Our most advanced lead program, MZE829, is being tested in a Phase 1 clinical trial that was initiated in December 2023. We expect to submit an IND to the FDA for our second lead program, MZE782, in        . Our other programs are at an early research stage, with no therapeutic candidates identified. Our research programs may not result in viable therapeutic candidates for some time, if ever, and our therapeutic candidates in development may not achieve success in our current or any future clinical trials, or obtain regulatory approval.</w:t>
      </w:r>
    </w:p>
    <w:p>
      <w:pPr>
        <w:spacing w:after="0" w:line="98"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Our ability to generate product revenues, which may not occur for many years, if ever, will depend heavily on the successful development and eventual commercialization of our therapeutic candidates. The success of our therapeutic candidates will depend on several factors, including, but not limited to:</w:t>
      </w:r>
    </w:p>
    <w:p>
      <w:pPr>
        <w:spacing w:after="0" w:line="101" w:lineRule="exact"/>
        <w:rPr>
          <w:sz w:val="20"/>
          <w:szCs w:val="20"/>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and successful completion of, and timely enrollment of patients in, clinical trials with favorable results;</w:t>
      </w:r>
    </w:p>
    <w:p>
      <w:pPr>
        <w:spacing w:after="0" w:line="144" w:lineRule="exact"/>
        <w:rPr>
          <w:rFonts w:ascii="Arial" w:cs="Arial" w:eastAsia="Arial" w:hAnsi="Arial"/>
          <w:sz w:val="18"/>
          <w:szCs w:val="18"/>
          <w:color w:val="auto"/>
        </w:rPr>
      </w:pPr>
    </w:p>
    <w:p>
      <w:pPr>
        <w:ind w:left="340" w:right="120" w:hanging="224"/>
        <w:spacing w:after="0" w:line="25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of new drug applications, or NDAs, or other regulatory applications, and receipt and related terms of regulatory approvals from applicable regulatory authorities, including the completion of any required post-marketing studies or trials and available funding to perform any post-marketing commitments;</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therapeutic candidates;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with favorable results;</w:t>
      </w:r>
    </w:p>
    <w:p>
      <w:pPr>
        <w:spacing w:after="0" w:line="144"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of INDs or other regulatory applications, and authorizations to initiate clinical trials from the FDA and foreign regulatory agencies;</w:t>
      </w:r>
    </w:p>
    <w:p>
      <w:pPr>
        <w:spacing w:after="0" w:line="86"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therapeutic candidates to the satisfaction of the FDA and foreign regulatory authorities;</w:t>
      </w:r>
    </w:p>
    <w:p>
      <w:pPr>
        <w:spacing w:after="0" w:line="86" w:lineRule="exact"/>
        <w:rPr>
          <w:rFonts w:ascii="Arial" w:cs="Arial" w:eastAsia="Arial" w:hAnsi="Arial"/>
          <w:sz w:val="18"/>
          <w:szCs w:val="18"/>
          <w:color w:val="auto"/>
        </w:rPr>
      </w:pPr>
    </w:p>
    <w:p>
      <w:pPr>
        <w:ind w:left="340" w:right="54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trade secret and other intellectual property and proprietary protection and regulatory exclusivity for our therapeutic candidates;</w:t>
      </w:r>
    </w:p>
    <w:p>
      <w:pPr>
        <w:spacing w:after="0" w:line="86" w:lineRule="exact"/>
        <w:rPr>
          <w:rFonts w:ascii="Arial" w:cs="Arial" w:eastAsia="Arial" w:hAnsi="Arial"/>
          <w:sz w:val="18"/>
          <w:szCs w:val="18"/>
          <w:color w:val="auto"/>
        </w:rPr>
      </w:pPr>
    </w:p>
    <w:p>
      <w:pPr>
        <w:ind w:left="340" w:right="26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arrangements with third-party suppliers and manufacturers for preclinical, clinical and commercial supplies of our therapeutic candidates;</w:t>
      </w:r>
    </w:p>
    <w:p>
      <w:pPr>
        <w:spacing w:after="0" w:line="86" w:lineRule="exact"/>
        <w:rPr>
          <w:rFonts w:ascii="Arial" w:cs="Arial" w:eastAsia="Arial" w:hAnsi="Arial"/>
          <w:sz w:val="18"/>
          <w:szCs w:val="18"/>
          <w:color w:val="auto"/>
        </w:rPr>
      </w:pPr>
    </w:p>
    <w:p>
      <w:pPr>
        <w:ind w:left="340" w:right="36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implementing marketing and reimbursement strategies, as well as adequate demand forecasts for supply and sales planning;</w:t>
      </w:r>
    </w:p>
    <w:p>
      <w:pPr>
        <w:spacing w:after="0" w:line="86" w:lineRule="exact"/>
        <w:rPr>
          <w:rFonts w:ascii="Arial" w:cs="Arial" w:eastAsia="Arial" w:hAnsi="Arial"/>
          <w:sz w:val="18"/>
          <w:szCs w:val="18"/>
          <w:color w:val="auto"/>
        </w:rPr>
      </w:pPr>
    </w:p>
    <w:p>
      <w:pPr>
        <w:ind w:left="340" w:right="260" w:hanging="224"/>
        <w:spacing w:after="0" w:line="301"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w:t>
      </w:r>
    </w:p>
    <w:p>
      <w:pPr>
        <w:spacing w:after="0" w:line="63" w:lineRule="exact"/>
        <w:rPr>
          <w:rFonts w:ascii="Arial" w:cs="Arial" w:eastAsia="Arial" w:hAnsi="Arial"/>
          <w:sz w:val="17"/>
          <w:szCs w:val="17"/>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those that have not yet entered the market;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third-party payor coverage and adequate reimbursement;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appropriate support from patient advocacy organizations;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delays in our clinical trials, or in the manufacture or distribution of our therapeutic candidates, if approved, resulting from any major natural disasters, health pandemics or significant political events;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144"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Many of these factors are beyond our control, and it is possible that none of our therapeutic candidates will ever obtain regulatory approval, even if we expend substantial time and resources seeking such approval. Even if we do obtain regulatory approval, it is possible that one or more of these factors could cause significant delays or an inability to successfully commercialize our therapeutic candidates, which would materially harm our business.</w:t>
      </w:r>
    </w:p>
    <w:p>
      <w:pPr>
        <w:spacing w:after="0" w:line="10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Additionally, clinical or regulatory setbacks to other companies developing similar products or within adjacent fields, may impact the clinical development of and regulatory pathway for our current or future therapeutic candidates, or may negatively impact the perceptions of value or risk of our technologies.</w:t>
      </w:r>
    </w:p>
    <w:p>
      <w:pPr>
        <w:spacing w:after="0" w:line="90" w:lineRule="exact"/>
        <w:rPr>
          <w:sz w:val="20"/>
          <w:szCs w:val="20"/>
          <w:color w:val="auto"/>
        </w:rPr>
      </w:pPr>
    </w:p>
    <w:p>
      <w:pPr>
        <w:ind w:left="120" w:right="80"/>
        <w:spacing w:after="0" w:line="249" w:lineRule="auto"/>
        <w:rPr>
          <w:sz w:val="20"/>
          <w:szCs w:val="20"/>
          <w:color w:val="auto"/>
        </w:rPr>
      </w:pPr>
      <w:r>
        <w:rPr>
          <w:rFonts w:ascii="Arial" w:cs="Arial" w:eastAsia="Arial" w:hAnsi="Arial"/>
          <w:sz w:val="18"/>
          <w:szCs w:val="18"/>
          <w:b w:val="1"/>
          <w:bCs w:val="1"/>
          <w:i w:val="1"/>
          <w:iCs w:val="1"/>
          <w:color w:val="auto"/>
        </w:rPr>
        <w:t>Preclinical and clinical drug development is a lengthy and expensive process, with uncertain timelines and outcomes. If preclinical studies or clinical trials of our therapeutic candidates are prolonged or delayed, we may be unable to obtain required regulatory approvals, and therefore be unable to commercialize our therapeutic candidates or any of our future therapeutic candidates on a timely basis or at all.</w:t>
      </w:r>
    </w:p>
    <w:p>
      <w:pPr>
        <w:spacing w:after="0" w:line="98"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8"/>
          <w:szCs w:val="18"/>
          <w:color w:val="auto"/>
        </w:rPr>
        <w:t>We have limited experience designing and implementing clinical trials. Our most advanced lead program, MZE829, is being tested in a Phase 1 clinical trial that was initiated in December 2023. We expect to submit an IND to the FDA for our second most advanced lead program, MZE782, in      . Failure to design any one of our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color w:val="auto"/>
        </w:rPr>
        <w:t>clinical trials adequately, or incorrect assumptions about the design of the trial, could adversely affect the ability to initiate the trial, enroll patients, complete the trial, or use the clinical trial’s results to support an application for regulatory approval, as well as lead to increased or unexpected costs.</w:t>
      </w:r>
    </w:p>
    <w:p>
      <w:pPr>
        <w:spacing w:after="0" w:line="101"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Our programs are in the early stages of development, and the risk of failure is high. Our programs may fail to identify potential therapeutic candidates for clinical development for a number of reasons. We are unable to predict when or if our programs will lead to therapeutic candidates or when or if our therapeutic candidates will prove effective and safe in humans or will obtain marketing approval. Before obtaining marketing approval from regulatory authorities for the sale of any of our therapeutic candidates, we must complete preclinical development and then conduct extensive clinical trials to demonstrate the safety and efficacy of our therapeutic candidates in humans. Our potential therapeutic candidates may be shown to have harmful side effects in animal model studies, may not show promising signals of therapeutic effect in such experiments or studies, or may have other characteristics that may make the therapeutic candidates impractical to manufacture, unmarketable, or unlikely to receive marketing approval.</w:t>
      </w:r>
    </w:p>
    <w:p>
      <w:pPr>
        <w:spacing w:after="0" w:line="11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We are currently focused on advancing the development of our lead programs, MZE829 and MZE782; however, even with significant investment of time and funding to advance these therapeutic candidates, we cannot guarantee that our clinical and preclinical development efforts will be successful. The start or end of a clinical trial may be delayed or halted due to delays in or failure to obtain regulatory approval to commence the trial, delays in or failure to reach agreement on acceptable terms with prospective clinical research organizations, or CROs, or clinical trial sites, delays in or failure to obtain Institutional Review Board, or IRB, approval at each site, changing regulatory requirements, manufacturing challenges, clinical sites or CROs deviating from the trial protocol or failing to comply with regulatory requirements or meet contractual obligations, slower than anticipated patient enrollment, changing standards of care, availability or prevalence of use of a comparative therapeutic or required prior therapy, clinical outcomes, failure of patients to complete the trial or return for post-treatment follow-up, or financial constraints. Delays or difficulties in patient enrollment or difficulties in retaining trial participants can result in increased costs, longer development times, requirements to manufacture additional drug supply, or termination of a clinical trial.</w:t>
      </w:r>
    </w:p>
    <w:p>
      <w:pPr>
        <w:spacing w:after="0" w:line="105"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Clinical trials of a new therapeutic candidate require the enrollment of a sufficient number of patients, which may include patients who are suffering from the disease the therapeutic candidate is intended to treat and who meet other eligibility criteria, which may require genetic testing of prospective patients.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or competing academic and other clinical trials for the relevant disease.</w:t>
      </w:r>
    </w:p>
    <w:p>
      <w:pPr>
        <w:spacing w:after="0" w:line="11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 therapeutic candidate can unexpectedly fail at any stage of preclinical and clinical development. The historical failure rate for therapeutic candidates is high due to scientific feasibility, safety, efficacy, changing standards of medical care, and other variables. The novelty of our Compass platform may mean our failure rates are higher than historical norms. We will have to conduct additional trials in our proposed indications to support any future regulatory submissions. A number of companies in the biopharmaceutical industry have suffered significant setbacks in advanced clinical trials due to lack of efficacy or adverse safety profiles despite promising results in earlier, smaller clinical trials. Moreover, clinical data are often susceptible to varying interpretations and analyses. We do not know whether our clinical trials will demonstrate consistent or adequate efficacy and safety with respect to the proposed indication for use that is sufficient to receive regulatory approval or market our therapeutic candidates. To the extent that the results of the clinical trials are not satisfactory to the FDA or foreign regulatory agencies for supporting a marketing application, we may be required to expend significant resources, which may not be available to us, to conduct additional clinical trials in support of potential approval of our therapeutic candidates.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We, the FDA, an IRB, an independent ethics committee, or EC, or other applicable regulatory authorities may suspend clinical trials of a therapeutic candidate at any time for various reasons, including a belief that subjects participating in such trials are being exposed to unacceptable health risks or adverse side effects. Similarly, an IRB or EC may suspend a clinical trial at a particular trial site. We may not have the financial resources to continue development of, or to enter into collaborations for, a therapeutic candidate if we experience any problems or other unforeseen events delaying or preventing clinical development or regulatory approval of, or our ability to commercialize, therapeutic candidates, including:</w:t>
      </w:r>
    </w:p>
    <w:p>
      <w:pPr>
        <w:spacing w:after="0" w:line="111" w:lineRule="exact"/>
        <w:rPr>
          <w:sz w:val="20"/>
          <w:szCs w:val="20"/>
          <w:color w:val="auto"/>
        </w:rPr>
      </w:pPr>
    </w:p>
    <w:p>
      <w:pPr>
        <w:ind w:left="340" w:right="4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therapeutic candidates similar to ours, leading to a decision or requirement to conduct additional preclinical testing or clinical trials or abandon a program;</w:t>
      </w:r>
    </w:p>
    <w:p>
      <w:pPr>
        <w:spacing w:after="0" w:line="86" w:lineRule="exact"/>
        <w:rPr>
          <w:rFonts w:ascii="Arial" w:cs="Arial" w:eastAsia="Arial" w:hAnsi="Arial"/>
          <w:sz w:val="18"/>
          <w:szCs w:val="18"/>
          <w:color w:val="auto"/>
        </w:rPr>
      </w:pPr>
    </w:p>
    <w:p>
      <w:pPr>
        <w:ind w:left="340" w:right="28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therapeutics similar to our therapeutic candidates;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serious drug-related side effects experienced in the past by individuals using therapeutics similar to our therapeutic candidates;</w:t>
      </w:r>
    </w:p>
    <w:p>
      <w:pPr>
        <w:spacing w:after="0" w:line="144" w:lineRule="exact"/>
        <w:rPr>
          <w:rFonts w:ascii="Arial" w:cs="Arial" w:eastAsia="Arial" w:hAnsi="Arial"/>
          <w:sz w:val="18"/>
          <w:szCs w:val="18"/>
          <w:color w:val="auto"/>
        </w:rPr>
      </w:pPr>
    </w:p>
    <w:p>
      <w:pPr>
        <w:ind w:left="340" w:hanging="224"/>
        <w:spacing w:after="0" w:line="25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submitting IND applications or clinical trial applications, or comparable foreign applications, or delays or failure in obtaining the necessary approvals from regulators or IRBs to commence a clinical trial, or a suspension or termination of a clinical trial once commenced;</w:t>
      </w:r>
    </w:p>
    <w:p>
      <w:pPr>
        <w:spacing w:after="0" w:line="101" w:lineRule="exact"/>
        <w:rPr>
          <w:rFonts w:ascii="Arial" w:cs="Arial" w:eastAsia="Arial" w:hAnsi="Arial"/>
          <w:sz w:val="18"/>
          <w:szCs w:val="18"/>
          <w:color w:val="auto"/>
        </w:rPr>
      </w:pPr>
    </w:p>
    <w:p>
      <w:pPr>
        <w:ind w:left="340" w:right="40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such as the European Medicines Agency, or EMA, regarding the scope or design of our clinical trials;</w:t>
      </w:r>
    </w:p>
    <w:p>
      <w:pPr>
        <w:spacing w:after="0" w:line="86" w:lineRule="exact"/>
        <w:rPr>
          <w:rFonts w:ascii="Arial" w:cs="Arial" w:eastAsia="Arial" w:hAnsi="Arial"/>
          <w:sz w:val="18"/>
          <w:szCs w:val="18"/>
          <w:color w:val="auto"/>
        </w:rPr>
      </w:pPr>
    </w:p>
    <w:p>
      <w:pPr>
        <w:ind w:left="340" w:right="60" w:hanging="224"/>
        <w:spacing w:after="0" w:line="301"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delays or difficulty in enrolling research subjects in clinical trials, for a variety of reasons including, but not limited to, change in priorities for clinical trial sites, the clinical trials of other therapeutic candidates or approval of a competitor’s product for the same indication;</w:t>
      </w:r>
    </w:p>
    <w:p>
      <w:pPr>
        <w:spacing w:after="0" w:line="63" w:lineRule="exact"/>
        <w:rPr>
          <w:rFonts w:ascii="Arial" w:cs="Arial" w:eastAsia="Arial" w:hAnsi="Arial"/>
          <w:sz w:val="17"/>
          <w:szCs w:val="17"/>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44"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inadequate supply or quality of therapeutic candidate or therapeutic candidate components, or materials or other supplies necessary for the conduct of our clinical trials, including those owned, manufactured, or provided by companies other than ours;</w:t>
      </w:r>
    </w:p>
    <w:p>
      <w:pPr>
        <w:spacing w:after="0" w:line="86" w:lineRule="exact"/>
        <w:rPr>
          <w:rFonts w:ascii="Arial" w:cs="Arial" w:eastAsia="Arial" w:hAnsi="Arial"/>
          <w:sz w:val="18"/>
          <w:szCs w:val="18"/>
          <w:color w:val="auto"/>
        </w:rPr>
      </w:pPr>
    </w:p>
    <w:p>
      <w:pPr>
        <w:ind w:left="340" w:right="90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than anticipated clinical trial costs, including the cost of any approved drugs used in combination with our therapeutic candidates;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poor effectiveness of our therapeutic candidates during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44" w:lineRule="exact"/>
        <w:rPr>
          <w:rFonts w:ascii="Arial" w:cs="Arial" w:eastAsia="Arial" w:hAnsi="Arial"/>
          <w:sz w:val="18"/>
          <w:szCs w:val="18"/>
          <w:color w:val="auto"/>
        </w:rPr>
      </w:pPr>
    </w:p>
    <w:p>
      <w:pPr>
        <w:ind w:left="340" w:right="76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86" w:lineRule="exact"/>
        <w:rPr>
          <w:rFonts w:ascii="Arial" w:cs="Arial" w:eastAsia="Arial" w:hAnsi="Arial"/>
          <w:sz w:val="18"/>
          <w:szCs w:val="18"/>
          <w:color w:val="auto"/>
        </w:rPr>
      </w:pPr>
    </w:p>
    <w:p>
      <w:pPr>
        <w:ind w:left="340" w:right="460" w:hanging="224"/>
        <w:spacing w:after="0" w:line="27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policies, and guidelines, including the imposition of additional regulatory oversight around clinical testing generally or with respect to our technology in particular; or</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144"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If we are impacted by one or more of these factors and are unable to remediate the issue in a timely manner or at all, then we could experience significant delays or an inability to successfully obtain regulatory approvals for our therapeutic candidates. Without regulatory approval, we will be unable to commercialize our therapeutic candidates, which would materially harm our business and potentially make it impossible to continue our operations.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right="220"/>
        <w:spacing w:after="0" w:line="278" w:lineRule="auto"/>
        <w:rPr>
          <w:sz w:val="20"/>
          <w:szCs w:val="20"/>
          <w:color w:val="auto"/>
        </w:rPr>
      </w:pPr>
      <w:r>
        <w:rPr>
          <w:rFonts w:ascii="Arial" w:cs="Arial" w:eastAsia="Arial" w:hAnsi="Arial"/>
          <w:sz w:val="18"/>
          <w:szCs w:val="18"/>
          <w:b w:val="1"/>
          <w:bCs w:val="1"/>
          <w:i w:val="1"/>
          <w:iCs w:val="1"/>
          <w:color w:val="auto"/>
        </w:rPr>
        <w:t>Results of preclinical studies or early-stage clinical trials of any therapeutic candidates may not be predictive of the results of future preclinical studies or clinical trials.</w:t>
      </w:r>
    </w:p>
    <w:p>
      <w:pPr>
        <w:spacing w:after="0" w:line="7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Clinical testing is expensive, difficult to design and implement, can take many years to complete and is uncertain as to the outcome. A failure of one or more clinical trials can occur at any stage of testing. The outcome of preclinical testing and early clinical trials may not be predictive of the success of later preclinical studies or clinical trials or of clinical trials of the same therapeutic candidates in other indications, and interim or preliminary results of a clinical trial do not necessarily predict final results. For example, even if successful, the results of our preclinical studies of our lead programs may not be predictive of the results of outcomes in subsequent clinical trials on human subjects. Later-stage clinical trials could differ in significant ways from early-stage clinical trials, including changes to inclusion and exclusion criteria, efficacy endpoints, dosing regimen and statistical design.</w:t>
      </w:r>
    </w:p>
    <w:p>
      <w:pPr>
        <w:spacing w:after="0" w:line="119" w:lineRule="exact"/>
        <w:rPr>
          <w:sz w:val="20"/>
          <w:szCs w:val="20"/>
          <w:color w:val="auto"/>
        </w:rPr>
      </w:pPr>
    </w:p>
    <w:p>
      <w:pPr>
        <w:ind w:left="120" w:right="60"/>
        <w:spacing w:after="0" w:line="278" w:lineRule="auto"/>
        <w:rPr>
          <w:sz w:val="20"/>
          <w:szCs w:val="20"/>
          <w:color w:val="auto"/>
        </w:rPr>
      </w:pPr>
      <w:r>
        <w:rPr>
          <w:rFonts w:ascii="Arial" w:cs="Arial" w:eastAsia="Arial" w:hAnsi="Arial"/>
          <w:sz w:val="18"/>
          <w:szCs w:val="18"/>
          <w:b w:val="1"/>
          <w:bCs w:val="1"/>
          <w:i w:val="1"/>
          <w:iCs w:val="1"/>
          <w:color w:val="auto"/>
        </w:rPr>
        <w:t>If we encounter delays or difficulties enrolling patients in our clinical trials and/or retaining patients in clinical trials, our clinical development activities could be delayed or otherwise adversely affected.</w:t>
      </w:r>
    </w:p>
    <w:p>
      <w:pPr>
        <w:spacing w:after="0" w:line="5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may experience difficulties in patient enrollment in our clinical trials for a variety of external reasons beyond our control, including supply chain disruptions, staffing shortages and other business and economic disruptions resulting from geopolitical actions, including war and terrorism, natural disasters, including earthquakes, typhoons, floods and fires, as well as other disruptions resulting from the impact of public health factors, including pandemics or other health crises, business disruptions of our strategic partners, third-party manufacturers, suppliers and other third parties upon which we rely. Our therapeutic candidates are developed using a precision medicine approach intended to identify specific genetic targets amenable to therapeutic intervention in common diseases. As a result, the potential population of patients eligible for enrollment in our clinical trials will be smaller than the population eligible for enrollment in trials targeting the entire population with the disease, and it may be difficult to identify and enroll adequate numbers of patients in our trials. For example, our therapeutic candidate MZE829 is targeted to treat kidney disease associated with genetic variations in the APOL1 gene, which are most prevalent in people of West African ancestry, including many who identify as Black, African American, Afro-Caribbean and Latina/Latino, which narrows the patient population eligible for enrollment in these trials.</w:t>
      </w:r>
    </w:p>
    <w:p>
      <w:pPr>
        <w:spacing w:after="0" w:line="118"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 addition, the eligibility criteria of our clinical trials will further limit the pool of available trial participants. For our therapeutic candidate MZE829, we depend on and expect to perform genetic screening in order to identify candidates with the applicable genetic variations for our clinical trials. As we expect future therapeutic candidates to also target specific genetic subgroups of common conditions, as identified through our Compass platform, it is likely that future therapeutic candidates will also require identification of patients with the applicable genotype, which will require genetic screening and further costs and timing delays in identifying patients eligible for our clinical trials. Genetic screening could involve more time consuming, costly and invasive procedures than patients may be willing to accept. If patients are not willing to undergo genetic screening, or any other eligibility criteria we have for our clinical trials, it would lead to greater costs and/or timing delays for us in order to identify eligible and the necessary patients for our clinical trials. The timely completion of clinical trials in accordance with their protocols depends, among other things, on our ability to enroll a sufficient number of eligible patients who remain in the trial until completion of treatment and adequate follow-up. In general, the enrollment and retention of patients depends on many factors, including, but not limited to:</w:t>
      </w:r>
    </w:p>
    <w:p>
      <w:pPr>
        <w:spacing w:after="0" w:line="118" w:lineRule="exact"/>
        <w:rPr>
          <w:sz w:val="20"/>
          <w:szCs w:val="20"/>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enroll, or delay in enrollment of, patients due to infectious disease outbreaks and public health crises;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perceived risks and benefits of the therapeutic candidate being studied;</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geopolitical events in countries where we have or seek to have clinical trial sites;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approval and commercial availability of a competitor’s product for the same indication;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of treatment and adequate follow-up.</w:t>
      </w:r>
    </w:p>
    <w:p>
      <w:pPr>
        <w:spacing w:after="0" w:line="144"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In addition, our clinical trials will compete with other clinical trials for therapeutic candidates that are in the same therapeutic areas as our therapeutic candidates, and this competition will reduce the number and types of patients available to or retained by us because patients who might have opted to enroll in our trials may instead opt to enroll in a trial being conducted by one or more of our competitors. Other biopharmaceutical companies are currently conducting clinical trials, and may in the future conduct clinical trials, that compete for the same patient population as us. Since the number of qualified clinical investigation sites is limited, and often associated with a small number of academic centers, we expect to conduct some of our clinical trials at the same clinical trial sites that some of our competitors use, which will reduce the number of patients who are available for our clinical trials at such clinical trial sites. Unanticipated geopolitical events in countries where we may seek to have clinical trial sites could also negatively impact our ability to enroll or retain patients in our trials.</w:t>
      </w:r>
    </w:p>
    <w:p>
      <w:pPr>
        <w:spacing w:after="0" w:line="118" w:lineRule="exact"/>
        <w:rPr>
          <w:sz w:val="20"/>
          <w:szCs w:val="20"/>
          <w:color w:val="auto"/>
        </w:rPr>
      </w:pPr>
    </w:p>
    <w:p>
      <w:pPr>
        <w:ind w:left="120" w:right="180"/>
        <w:spacing w:after="0" w:line="256" w:lineRule="auto"/>
        <w:rPr>
          <w:sz w:val="20"/>
          <w:szCs w:val="20"/>
          <w:color w:val="auto"/>
        </w:rPr>
      </w:pPr>
      <w:r>
        <w:rPr>
          <w:rFonts w:ascii="Arial" w:cs="Arial" w:eastAsia="Arial" w:hAnsi="Arial"/>
          <w:sz w:val="18"/>
          <w:szCs w:val="18"/>
          <w:b w:val="1"/>
          <w:bCs w:val="1"/>
          <w:i w:val="1"/>
          <w:iCs w:val="1"/>
          <w:color w:val="auto"/>
        </w:rPr>
        <w:t>Our therapeutic candidates may cause undesirable side effects or have other properties that could halt their clinical development, prevent their regulatory approval, require expansion of the trial size, limit their commercial potential, or result in significant negative consequences.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serious adverse events or undesirable side effects arise, we could be required to suspend, delay, or halt our clinical trials. Additionally, serious adverse events or undesirable side effects could cause regulatory authorities to deny approval or require us to limit development of that therapeutic candidate to certain uses or subpopulations in which the undesirable side effects or other characteristics are less prevalent, less severe or more acceptable from a risk-benefit perspective. Undesirable side effects could also result in an expansion in the size of our clinical trials, increasing the expected costs and timeline of our clinical trials. Side effects that are observed during trials, whether treatment related or not, could also affect patient recruitment for future trials or the ability of enrolled patients to complete the trial or result in potential product liability claims. Many compounds that initially show promise in clinical or preclinical testing are later found to cause undesirable or unexpected side effects that prevent further development of the compound.</w:t>
      </w:r>
    </w:p>
    <w:p>
      <w:pPr>
        <w:spacing w:after="0" w:line="113"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Further, if serious adverse events or undesirable side effects are identified during development or after approval and are determined to be attributed to any of our therapeutic candidates, we may be required to develop Risk Evaluation and Mitigation Strategies, or REMS, to ensure that the benefits of treatment with such therapeutic candidate outweigh the risks for each potential patient. A REMS may include, among other things, a communication plan to health care practitioners, patient education, extensive patient monitoring or distribution systems and other processes that would make our therapeutic candidate more restricted or costly to distribute to patients.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Our two lead programs are intended to treat chronic kidney disease, or CKD, which is a progressive condition associated with severe and often life-threatening co-morbidities. Clinical trials that involve patients with significant co-morbidities are associated with increased risks as such participants may be particularly susceptible to safety and toxicity risks. In addition, these side effects may not be appropriately recognized or managed by the treating medical staff, as safety and toxicity monitoring may be complicated and difficult to manage, which could result in patient death or other significant issues. Additionally, it can be difficult to determine if the serious adverse or unexpected side effects were caused by our therapeutic candidate or another factor, especially in subjects who may suffer from other medical conditions and take other medications.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of these occurrences may materially harm our business, financial condition and prospects.</w:t>
      </w:r>
    </w:p>
    <w:p>
      <w:pPr>
        <w:spacing w:after="0" w:line="146" w:lineRule="exact"/>
        <w:rPr>
          <w:sz w:val="20"/>
          <w:szCs w:val="20"/>
          <w:color w:val="auto"/>
        </w:rPr>
      </w:pPr>
    </w:p>
    <w:p>
      <w:pPr>
        <w:ind w:left="120" w:right="400"/>
        <w:spacing w:after="0" w:line="278" w:lineRule="auto"/>
        <w:rPr>
          <w:sz w:val="20"/>
          <w:szCs w:val="20"/>
          <w:color w:val="auto"/>
        </w:rPr>
      </w:pPr>
      <w:r>
        <w:rPr>
          <w:rFonts w:ascii="Arial" w:cs="Arial" w:eastAsia="Arial" w:hAnsi="Arial"/>
          <w:sz w:val="18"/>
          <w:szCs w:val="18"/>
          <w:b w:val="1"/>
          <w:bCs w:val="1"/>
          <w:i w:val="1"/>
          <w:iCs w:val="1"/>
          <w:color w:val="auto"/>
        </w:rPr>
        <w:t>We may not be successful in applying our Compass platform to identify targets with therapeutic potential or to discover and develop safe, effective or commercially viable therapeutic candidates.</w:t>
      </w:r>
    </w:p>
    <w:p>
      <w:pPr>
        <w:spacing w:after="0" w:line="58"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We use our Compass platform to identify and prioritize potential drug targets, to assess the likelihood that we can develop a therapeutic candidate that interacts with the applicable target to elicit the desired therapeutic effect, and to transition these insights efficiently into well-supported therapeutic candidates. We believe our use of our Compass platform, which identifies and prioritizes targets using statistical modeling, variant functionalization tools, and traditional and computational drug discovery technologies, augmented with machine learning and artificial intelligence, or AI, increases our likelihood of producing therapies that provide meaningful clinical benefit, but past success in identifying potential therapeutic candidates does not assure similar future success with our other programs. We may not succeed in applying our Compass platform to identify targets or promising therapeutic candidates in the future. We therefore cannot provide any assurance that we will be able to successfully identify additional therapeutic candidates or advance any of our programs or future therapeutic candidates into clinical development, nor can we provide any assurance whether the application of our Compass platform will result in the ultimate regulatory approval of any of our therapeutic candidates.</w:t>
      </w:r>
    </w:p>
    <w:p>
      <w:pPr>
        <w:spacing w:after="0" w:line="112"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Efforts to identify, acquire or in-license, and then develop therapeutic candidates require substantial technical, financial and human resources, whether or not any therapeutic candidates are ultimately identified. We apply our Compass platform to discover potential genetic targets for which we may be able to develop precision therapeutic candidates. Our efforts may initially show promise in identifying potential targets linked to diseases or conditions, yet fail to yield therapeutic candidates for clinical development or regulatory approval for many reasons, including the following:</w:t>
      </w:r>
    </w:p>
    <w:p>
      <w:pPr>
        <w:spacing w:after="0" w:line="109" w:lineRule="exact"/>
        <w:rPr>
          <w:sz w:val="20"/>
          <w:szCs w:val="20"/>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platform methodology used may not be successful in identifying potential therapeutic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therapeutic candidates we develop obsolete;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therapeutic candidates we develop may nevertheless be covered by third parties’ patents or other exclusive rights;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therapeutic candidate may be shown, in subsequent preclinical or clinical investigations, to have harmful side effects or characteristics that indicate it is unlikely to be effective, or otherwise would not meet applicable regulatory criteria;</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therapeutic candidate may not be capable of being produced in commercial quantities at an acceptable cost, or at all; and</w:t>
      </w:r>
    </w:p>
    <w:p>
      <w:pPr>
        <w:spacing w:after="0" w:line="144"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therapeutic candidate may not be accepted as safe and/or effective by physicians, patients, the medical community or third-party payors.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jc w:val="both"/>
        <w:ind w:left="120" w:right="120"/>
        <w:spacing w:after="0" w:line="256" w:lineRule="auto"/>
        <w:rPr>
          <w:sz w:val="20"/>
          <w:szCs w:val="20"/>
          <w:color w:val="auto"/>
        </w:rPr>
      </w:pPr>
      <w:r>
        <w:rPr>
          <w:rFonts w:ascii="Arial" w:cs="Arial" w:eastAsia="Arial" w:hAnsi="Arial"/>
          <w:sz w:val="18"/>
          <w:szCs w:val="18"/>
          <w:b w:val="1"/>
          <w:bCs w:val="1"/>
          <w:i w:val="1"/>
          <w:iCs w:val="1"/>
          <w:color w:val="auto"/>
        </w:rPr>
        <w:t>Certain of the diseases we, or which our partners, seek to treat have low prevalence and/or have available therapies, and it may be difficult for us or our partners to identify patients with these diseases or face competition in the recruitment of these limited groups of patients, which may lead to difficulties in enrolling clinical trials.</w:t>
      </w:r>
    </w:p>
    <w:p>
      <w:pPr>
        <w:spacing w:after="0" w:line="92"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Genetically defined diseases generally, and especially some of those which our out-licensed programs target, including Pompe disease, have low prevalence and incidence. This could pose obstacles to the timely recruitment, enrollment and retention of a sufficient number of eligible patients into our partners’ trials or limit a therapeutic candidate’s commercial potential, and thus the milestone payments and royalties we would receive for those licenses. Other companies have ongoing clinical trials for therapeutic candidates that treat the same indications as our wholly owned and our out-licensed therapeutic candidates, and patients who otherwise would be eligible for our or our partners’ planned clinical trials instead may enroll in clinical trials of our competitors’ therapeutic candidates. In addition, where there are currently available therapies or if our competitors’ therapeutic candidates gain regulatory approval and become commercially available, patients may be reluctant to enroll in a clinical trial. As more companies begin to focus attention and resources on therapeutic candidates to treat the same indications as the ones we have out-licensed, our licensees may experience delays or be unable to successfully recruit and enroll a sufficient number of eligible patients in their clinical trials.</w:t>
      </w:r>
    </w:p>
    <w:p>
      <w:pPr>
        <w:spacing w:after="0" w:line="112" w:lineRule="exact"/>
        <w:rPr>
          <w:sz w:val="20"/>
          <w:szCs w:val="20"/>
          <w:color w:val="auto"/>
        </w:rPr>
      </w:pPr>
    </w:p>
    <w:p>
      <w:pPr>
        <w:jc w:val="both"/>
        <w:ind w:left="120" w:right="780"/>
        <w:spacing w:after="0" w:line="253" w:lineRule="auto"/>
        <w:rPr>
          <w:sz w:val="20"/>
          <w:szCs w:val="20"/>
          <w:color w:val="auto"/>
        </w:rPr>
      </w:pPr>
      <w:r>
        <w:rPr>
          <w:rFonts w:ascii="Arial" w:cs="Arial" w:eastAsia="Arial" w:hAnsi="Arial"/>
          <w:sz w:val="18"/>
          <w:szCs w:val="18"/>
          <w:color w:val="auto"/>
        </w:rPr>
        <w:t>Our licensees’ inability to enroll a sufficient number of patients with these diseases into their planned clinical trials would result in significant delays and could cause them to not initiate or abandon one or more clinical trials altogether, potentially depriving us of milestone payments and royalties potentially associated with these licenses.</w:t>
      </w:r>
    </w:p>
    <w:p>
      <w:pPr>
        <w:spacing w:after="0" w:line="90" w:lineRule="exact"/>
        <w:rPr>
          <w:sz w:val="20"/>
          <w:szCs w:val="20"/>
          <w:color w:val="auto"/>
        </w:rPr>
      </w:pPr>
    </w:p>
    <w:p>
      <w:pPr>
        <w:ind w:left="120" w:right="720"/>
        <w:spacing w:after="0" w:line="278" w:lineRule="auto"/>
        <w:rPr>
          <w:sz w:val="20"/>
          <w:szCs w:val="20"/>
          <w:color w:val="auto"/>
        </w:rPr>
      </w:pPr>
      <w:r>
        <w:rPr>
          <w:rFonts w:ascii="Arial" w:cs="Arial" w:eastAsia="Arial" w:hAnsi="Arial"/>
          <w:sz w:val="18"/>
          <w:szCs w:val="18"/>
          <w:b w:val="1"/>
          <w:bCs w:val="1"/>
          <w:i w:val="1"/>
          <w:iCs w:val="1"/>
          <w:color w:val="auto"/>
        </w:rPr>
        <w:t>We may experience delays in commencing and completing, or ultimately be unable to complete, the development and/or commercialization of our therapeutic candidates.</w:t>
      </w:r>
    </w:p>
    <w:p>
      <w:pPr>
        <w:spacing w:after="0" w:line="7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Before we can initiate clinical trials of a therapeutic candidate in any indication, we must submit the results of preclinical studies to the FDA or to comparable foreign authorities, along with other information, including information about the therapeutic candidate’s chemistry, manufacturing and controls, and our proposed clinical trial protocol, as part of an IND or comparable foreign regulatory filings.</w:t>
      </w:r>
    </w:p>
    <w:p>
      <w:pPr>
        <w:spacing w:after="0" w:line="101"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The FDA may require us to conduct additional preclinical studies for any therapeutic candidate before it allows us to initiate clinical trials under any IND, which may lead to additional delays and increase the costs of our preclinical development programs.</w:t>
      </w:r>
    </w:p>
    <w:p>
      <w:pPr>
        <w:spacing w:after="0" w:line="73"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Any delays in the commencement or completion of preclinical studies or clinical trials could significantly affect our development costs. We may experience numerous unforeseen events during, or as a result of, preclinical studies or clinical trials that could delay or prevent our ability to obtain marketing approval or commercialize our therapeutic candidates, including, but not limited to:</w:t>
      </w:r>
    </w:p>
    <w:p>
      <w:pPr>
        <w:spacing w:after="0" w:line="101" w:lineRule="exact"/>
        <w:rPr>
          <w:sz w:val="20"/>
          <w:szCs w:val="20"/>
          <w:color w:val="auto"/>
        </w:rPr>
      </w:pPr>
    </w:p>
    <w:p>
      <w:pPr>
        <w:ind w:left="340" w:right="100" w:hanging="224"/>
        <w:spacing w:after="0" w:line="271"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IRBs or ECs may not authorize us or our investigators to commence a clinical trial or conduct a clinical trial at a prospective trial site;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may disagree as to the design or implementation of our clinical trials;</w:t>
      </w:r>
    </w:p>
    <w:p>
      <w:pPr>
        <w:spacing w:after="0" w:line="144"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preclinical studies or clinical trial contracts or clinical trial protocols with prospective CROs and prospective trial sites;</w:t>
      </w:r>
    </w:p>
    <w:p>
      <w:pPr>
        <w:spacing w:after="0" w:line="86" w:lineRule="exact"/>
        <w:rPr>
          <w:rFonts w:ascii="Arial" w:cs="Arial" w:eastAsia="Arial" w:hAnsi="Arial"/>
          <w:sz w:val="18"/>
          <w:szCs w:val="18"/>
          <w:color w:val="auto"/>
        </w:rPr>
      </w:pPr>
    </w:p>
    <w:p>
      <w:pPr>
        <w:ind w:left="340" w:right="240" w:hanging="224"/>
        <w:spacing w:after="0" w:line="271"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our preclinical studies and clinical trials may be greater than we anticipate, and we may lack adequate funding to continue preclinical studies and clinical trials;</w:t>
      </w:r>
    </w:p>
    <w:p>
      <w:pPr>
        <w:spacing w:after="0" w:line="86"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third-party partners may fail to obtain regulatory approval of companion diagnostic tests on which we may rely, if required, on a timely basis, or at all;</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right="400" w:hanging="224"/>
        <w:spacing w:after="0" w:line="27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third-party contractors may fail to meet their contractual obligations to us in a timely manner, or at all, or may fail to comply with regulatory requirements;</w:t>
      </w:r>
    </w:p>
    <w:p>
      <w:pPr>
        <w:spacing w:after="0" w:line="86"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for various reasons, including a finding by us or by a Data Monitoring Committee that the participants are being exposed to unacceptable health risks;</w:t>
      </w:r>
    </w:p>
    <w:p>
      <w:pPr>
        <w:spacing w:after="0" w:line="86" w:lineRule="exact"/>
        <w:rPr>
          <w:rFonts w:ascii="Arial" w:cs="Arial" w:eastAsia="Arial" w:hAnsi="Arial"/>
          <w:sz w:val="18"/>
          <w:szCs w:val="18"/>
          <w:color w:val="auto"/>
        </w:rPr>
      </w:pPr>
    </w:p>
    <w:p>
      <w:pPr>
        <w:ind w:left="340" w:right="580" w:hanging="224"/>
        <w:spacing w:after="0" w:line="25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therapeutic candidates may produce negative or inconclusive results, or have undesirable side effects or other unexpected characteristics, and we may decide, or our investigators, regulators or IRBs/ECs may require us, to conduct additional preclinical studies or clinical trials, or delay, halt or abandon our development programs;</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clinical trials may be negatively impacted or delayed by changes to clinical trial protocol;</w:t>
      </w:r>
    </w:p>
    <w:p>
      <w:pPr>
        <w:spacing w:after="0" w:line="144" w:lineRule="exact"/>
        <w:rPr>
          <w:rFonts w:ascii="Arial" w:cs="Arial" w:eastAsia="Arial" w:hAnsi="Arial"/>
          <w:sz w:val="18"/>
          <w:szCs w:val="18"/>
          <w:color w:val="auto"/>
        </w:rPr>
      </w:pPr>
    </w:p>
    <w:p>
      <w:pPr>
        <w:ind w:left="340" w:right="860" w:hanging="224"/>
        <w:spacing w:after="0" w:line="27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or quality of our therapeutic candidates or other materials necessary to conduct clinical trials may be insufficient or inadequate and result in delays or suspension of our clinical trials; and</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global health crises or geopolitical conflict may increase the likelihood that we encounter such difficulties or delays in initiating, enrolling, conducting or completing our planned clinical trials.</w:t>
      </w:r>
    </w:p>
    <w:p>
      <w:pPr>
        <w:spacing w:after="0" w:line="86"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Delays, including delays caused by the above factors and other factors described in this “Risk factors” section, can be costly and could negatively affect our ability to complete preclinical studies or clinical trials or obtain timely marketing approvals. We do not know whether any of our planned preclinical studies or clinical trials will begin on or be completed on a timely basis,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therapeutic candidates.</w:t>
      </w:r>
    </w:p>
    <w:p>
      <w:pPr>
        <w:spacing w:after="0" w:line="111"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Significant preclinical or clinical trial delays also could shorten any periods during which we may have the exclusive right to commercialize our therapeutic candidates or allow our competitors to bring products to market before we do, which may impair our ability to successfully commercialize our therapeutic candidates and harm our business and results of operations.</w:t>
      </w:r>
    </w:p>
    <w:p>
      <w:pPr>
        <w:spacing w:after="0" w:line="90" w:lineRule="exact"/>
        <w:rPr>
          <w:sz w:val="20"/>
          <w:szCs w:val="20"/>
          <w:color w:val="auto"/>
        </w:rPr>
      </w:pPr>
    </w:p>
    <w:p>
      <w:pPr>
        <w:ind w:left="120" w:right="800"/>
        <w:spacing w:after="0" w:line="309" w:lineRule="auto"/>
        <w:rPr>
          <w:sz w:val="20"/>
          <w:szCs w:val="20"/>
          <w:color w:val="auto"/>
        </w:rPr>
      </w:pPr>
      <w:r>
        <w:rPr>
          <w:rFonts w:ascii="Arial" w:cs="Arial" w:eastAsia="Arial" w:hAnsi="Arial"/>
          <w:sz w:val="17"/>
          <w:szCs w:val="17"/>
          <w:b w:val="1"/>
          <w:bCs w:val="1"/>
          <w:i w:val="1"/>
          <w:iCs w:val="1"/>
          <w:color w:val="auto"/>
        </w:rPr>
        <w:t>We may expend our limited resources to pursue a particular therapeutic candidate or indication and fail to capitalize on therapeutic candidates or indications that may be more profitable or for which there is a greater likelihood of success.</w:t>
      </w:r>
    </w:p>
    <w:p>
      <w:pPr>
        <w:spacing w:after="0" w:line="48"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Because we have limited financial and managerial resources, we focus on research programs and therapeutic candidates that we identify for specific indications. As a result, we may forego or delay pursuit of opportunities with other therapeutic candidates or for other indications that later prove to have greater commercial potential. Our resource allocation decisions and spending on current and future research and development programs may not yield any commercially viable products or profitable market opportunities, which may adversely affect our business, financial condition, results of operations and prospects. If we do not accurately evaluate the commercial potential or target market for a particular therapeutic candidate, we may relinquish valuable rights to that therapeutic candidate through collaboration, licensing or other royalty collaborations or arrangements in cases in which it would have been more advantageous for us to retain sole development and commercialization rights to such therapeutic candidate.</w:t>
      </w:r>
    </w:p>
    <w:p>
      <w:pPr>
        <w:spacing w:after="0" w:line="115" w:lineRule="exact"/>
        <w:rPr>
          <w:sz w:val="20"/>
          <w:szCs w:val="20"/>
          <w:color w:val="auto"/>
        </w:rPr>
      </w:pPr>
    </w:p>
    <w:p>
      <w:pPr>
        <w:ind w:left="120" w:right="280"/>
        <w:spacing w:after="0" w:line="278" w:lineRule="auto"/>
        <w:rPr>
          <w:sz w:val="20"/>
          <w:szCs w:val="20"/>
          <w:color w:val="auto"/>
        </w:rPr>
      </w:pPr>
      <w:r>
        <w:rPr>
          <w:rFonts w:ascii="Arial" w:cs="Arial" w:eastAsia="Arial" w:hAnsi="Arial"/>
          <w:sz w:val="18"/>
          <w:szCs w:val="18"/>
          <w:b w:val="1"/>
          <w:bCs w:val="1"/>
          <w:i w:val="1"/>
          <w:iCs w:val="1"/>
          <w:color w:val="auto"/>
        </w:rPr>
        <w:t>If ethical and other concerns surrounding the use of genetic information become widespread, there may be limitations on our ability to access genetic information for our Compass platform.</w:t>
      </w:r>
    </w:p>
    <w:p>
      <w:pPr>
        <w:spacing w:after="0" w:line="58"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One of the pillars of our Compass platform is our ability to access and aggregate numerous and varied genomic and phenotypic data collections, particularly those that pair genetic and clinical data. Genetic testing to provide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this data has given rise to ethical questions and controversies regarding confidentiality and the appropriate uses of the resulting information. For these reasons, governmental authorities may call for limits on or regulate the use of genetic data, including by limiting the compilation of genetic information or prohibiting testing for genetic predisposition to various conditions, particularly for those that have no known cure. Some of the major data sources of genetic and clinical data for our Compass platform derive from publicly funded and managed databases. One of our key objectives is to continue to augment our access to diverse sources of genetic information from multiple population groups. If our access to these additional sources of human genetic data becomes restricted, due to governmental limitations or otherwise, the capability of our Compass platform may be reduced, and we may be unable to continue to recognize the benefits of our Compass platform on our expected timeframe, or at all, which would have a negative effect on our business or financial condition.</w:t>
      </w:r>
    </w:p>
    <w:p>
      <w:pPr>
        <w:spacing w:after="0" w:line="118"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preclinical studies and clinical trials that we or our partners announce or publish from time to time may change as more patient data become available and are subject to audit and verification procedures that could result in material changes in the final data.</w:t>
      </w:r>
    </w:p>
    <w:p>
      <w:pPr>
        <w:spacing w:after="0" w:line="92"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From time to time, we or our partners may make public interim, topline or preliminary data from our or their preclinical studies and clinical trials that are based on a preliminary analysis of then-available data, of which, the results, related findings and conclusions are subject to change following a more comprehensive review of the data or accumulation of additional data. Interim, topline or preliminary data from clinical trials that we or our partners may complete are subject to the risk that one or more of the clinical outcomes may materially change as patient enrollment continues and more patient data become available. Interim, preliminary or topline data also remain subject to audit and verification procedures that may result in the final data being materially different from the interim, preliminary or topline data that were previously made public. As a result, interim, topline and preliminary data should be viewed with caution until the final data are available. Adverse differences between interim, topline or preliminary data and final data could significantly harm our reputation and business, financial condition, results of operations and prospects.</w:t>
      </w:r>
    </w:p>
    <w:p>
      <w:pPr>
        <w:spacing w:after="0" w:line="102"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Further, regulatory agencies, may not accept or agree with our assumptions, estimates, calculations, analyses or conclusions, or may interpret or weigh the importance of data differently, which could impact the value of the particular program, the approvability or commercialization of the particular drug candidate, and our company in general. If the interim, topline, or preliminary data that we report differ from actual results, or if others, including regulatory authorities, disagree with the conclusions reached, our ability to obtain approval of, and commercialize, any of our current or future therapeutic candidates may be harmed, which could harm our business, financial condition, results of operations and prospects.</w:t>
      </w:r>
    </w:p>
    <w:p>
      <w:pPr>
        <w:spacing w:after="0" w:line="113" w:lineRule="exact"/>
        <w:rPr>
          <w:sz w:val="20"/>
          <w:szCs w:val="20"/>
          <w:color w:val="auto"/>
        </w:rPr>
      </w:pPr>
    </w:p>
    <w:p>
      <w:pPr>
        <w:ind w:left="120" w:right="660"/>
        <w:spacing w:after="0" w:line="278"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or expect, the development of our therapeutic candidates may be delayed and, as a result, our stock price may decline.</w:t>
      </w:r>
    </w:p>
    <w:p>
      <w:pPr>
        <w:spacing w:after="0" w:line="7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From time to time, we estimate the timing of the anticipated accomplishment of various scientific, clinical, regulatory and other therapeutic development goals, which we sometimes refer to as milestones. These milestones may include the commencement or completion of preclinical studies and clinical trials and the submission of regulatory filings. From time to time, we may publicly announce the expected timing of some of these milestones. All of these milestones are and will be based on numerous assumptions, estimates, calculations, conclusions, or analyses. The actual timing of these milestones can vary dramatically compared to our assumptions and estimates, in some cases for reasons beyond our control. If we do not meet these milestones as publicly announced, or at all, the commercialization of our therapeutics may be delayed or never achieved, which could harm our business, financial condition, results of operations and prospects and may cause our stock price to decline.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reliance on third parties</w:t>
      </w:r>
    </w:p>
    <w:p>
      <w:pPr>
        <w:spacing w:after="0" w:line="150" w:lineRule="exact"/>
        <w:rPr>
          <w:sz w:val="20"/>
          <w:szCs w:val="20"/>
          <w:color w:val="auto"/>
        </w:rPr>
      </w:pPr>
    </w:p>
    <w:p>
      <w:pPr>
        <w:ind w:left="120" w:right="240"/>
        <w:spacing w:after="0" w:line="256" w:lineRule="auto"/>
        <w:rPr>
          <w:sz w:val="20"/>
          <w:szCs w:val="20"/>
          <w:color w:val="auto"/>
        </w:rPr>
      </w:pPr>
      <w:r>
        <w:rPr>
          <w:rFonts w:ascii="Arial" w:cs="Arial" w:eastAsia="Arial" w:hAnsi="Arial"/>
          <w:sz w:val="18"/>
          <w:szCs w:val="18"/>
          <w:b w:val="1"/>
          <w:bCs w:val="1"/>
          <w:i w:val="1"/>
          <w:iCs w:val="1"/>
          <w:color w:val="auto"/>
        </w:rPr>
        <w:t>Our Compass platform relies on access to high quality data repositories with paired genetic and clinical data and loss of such access, or the inability to use such data, could have a material adverse effect on our business, financial condition, results of operations and prospects.</w:t>
      </w:r>
    </w:p>
    <w:p>
      <w:pPr>
        <w:spacing w:after="0" w:line="9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rely on non-exclusive access to third-party data sources of genetic and paired clinical data for our Compass platform, including, among others, the University of Helsinki, Queen Mary University, the UK Biobank, Biobank Japan and the Million Veteran Program, as well as specialized databases such as the Chronic Renal Insufficiency Cohort which is managed by the National Institute for Diabetic, Digestive and Kidney Diseases and other genetic data sets we have acquired or may acquire access to in the future. Our ability to access data from these and similar sources is vital to all phases of our Compass platform, including target identification and variant functionalization.</w:t>
      </w:r>
    </w:p>
    <w:p>
      <w:pPr>
        <w:spacing w:after="0" w:line="98"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For the most part, we do not control the quantity or type of data that is stored in genetic data repositories, and we may only have access to summary level or aggregate data. Some institutions only provide access to their data for limited purposes, or will require us to make results publicly available. We cannot guarantee that our access to any particular source of genetic or paired clinical data will be available in the future, or that the data that is available will meet the needs of our business strategy or our Compass platform.</w:t>
      </w:r>
    </w:p>
    <w:p>
      <w:pPr>
        <w:spacing w:after="0" w:line="106"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We pay substantial membership fees to access certain genetic data repositories. Our memberships provide us with certain preferred access to non-public data, as well as some oversight of the biobanks through membership in the steering committees for these organizations. Most of the other members of these consortiums are larger and better resourced than we are. Any termination of our arrangements with these organizations would require us to rely more heavily on less well-developed resources or require us to invest in finding alternative, and potentially more costly, genetic data resources, if such resources are available at all, and could delay or impair our research and development efforts.</w:t>
      </w:r>
    </w:p>
    <w:p>
      <w:pPr>
        <w:spacing w:after="0" w:line="11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Furthermore, while any loss of access to these or similar genetic data repositories may not directly impact the development of our lead programs, we cannot predict the effects such loss could have on our preclinical and clinical studies and development efforts and our ability to discover and develop additional therapeutic candidates, or optimize our future clinical trials.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While we have not identified any licenses that are required to conduct our genomics work to date, we may in the future identify a third-party technology we need to license to expand or continue to operate our Compass platform. For example, certain aspects of our Compass platform make use of CRISPR Cas9 technology at the early research stages, and while the patent coverage of such technology remains uncertain, certain institutions that have rights in CRISPR Cas9 patents have sought and may in the future seek to obtain license fees from biotechnology companies like ours. If we were unable to license or otherwise obtain access to such technology on reasonable terms or at all, and we were required to cease operation of our Compass platform, it would have a material adverse effect on our business, results of operations, financial condition and prospects.</w:t>
      </w:r>
    </w:p>
    <w:p>
      <w:pPr>
        <w:spacing w:after="0" w:line="119" w:lineRule="exact"/>
        <w:rPr>
          <w:sz w:val="20"/>
          <w:szCs w:val="20"/>
          <w:color w:val="auto"/>
        </w:rPr>
      </w:pPr>
    </w:p>
    <w:p>
      <w:pPr>
        <w:jc w:val="both"/>
        <w:ind w:left="120"/>
        <w:spacing w:after="0" w:line="256" w:lineRule="auto"/>
        <w:rPr>
          <w:sz w:val="20"/>
          <w:szCs w:val="20"/>
          <w:color w:val="auto"/>
        </w:rPr>
      </w:pPr>
      <w:r>
        <w:rPr>
          <w:rFonts w:ascii="Arial" w:cs="Arial" w:eastAsia="Arial" w:hAnsi="Arial"/>
          <w:sz w:val="18"/>
          <w:szCs w:val="18"/>
          <w:b w:val="1"/>
          <w:bCs w:val="1"/>
          <w:i w:val="1"/>
          <w:iCs w:val="1"/>
          <w:color w:val="auto"/>
        </w:rPr>
        <w:t>We have entered, and may in the future enter, into strategic collaborations, transactions and licensing partnerships for research, development or commercialization of our programs, including our first therapeutic candidate MZE001, and we may not be able to realize the full value of these partnerships or our partnered programs.</w:t>
      </w:r>
    </w:p>
    <w:p>
      <w:pPr>
        <w:spacing w:after="0" w:line="92"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Our Compass platform has identified, and may identify in the future, genetic targets and therapeutic candidates outside of our core area of focus in common diseases. Our business strategy includes seeking strategic collaborations to advance these targets. For example, in 2024 we granted exclusive licenses to advance two programs related to targets in amyotrophic lateral sclerosis, or ALS—ATXN2 and UNC13A—to other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biotechnology companies, as well as an exclusive license with a pharmaceutical partner, Shionogi &amp; Co., Ltd., or Shionogi, to advance our first clinical stage therapeutic candidate, MZE001.</w:t>
      </w:r>
    </w:p>
    <w:p>
      <w:pPr>
        <w:spacing w:after="0" w:line="8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We may face significant competition in seeking appropriate strategic partners, and negotiating partnership or collaboration terms that are favorable to us, and the negotiation process may be time-consuming and complex. Moreover, we may not be successful in our efforts to establish a strategic partnership or other alternative arrangements for our programs and therapeutic candidates because they may be deemed to be at too early of a stage of development for collaborative effort and third parties may not view our therapeutic candidates as having the requisite potential to obtain marketing approval. Certain kinds of strategic transactions, including exclusive licenses, may be subject to regulation, including the need for review by regulatory authorities such as the U.S. Federal Trade Commission, or FTC, which can add substantially to the time and expense of completing a transaction. For example, in 2023, the FTC conducted an investigation of our proposed exclusive license of the MZE001 program to Genzyme Corporation, a subsidiary of Sanofi, and ultimately filed an action to enjoin the transaction. If we are unable to license or collaborate on our programs, we may have to curtail the development of the therapeutic candidate for which we are seeking a partner, reduce or delay its development program or one or more of our other development programs, increase our expenditures and undertake development activities at our own expense, or accept terms that are for a lower value than we believe the asset is worth.</w:t>
      </w:r>
    </w:p>
    <w:p>
      <w:pPr>
        <w:spacing w:after="0" w:line="115"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In our arrangements with third parties, we have limited control over the amount and timing of resources that our partners dedicate to the development or commercialization of our therapeutic candidates. Our ability to generate revenues from these arrangements will depend on our partners’ abilities and efforts to successfully perform the functions assigned to them in these arrangements to meet regulatory and development milestones, and if a product is approved, to commercialize it.</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Partnerships involving development and commercialization of our therapeutic candidates, including our existing exclusive license to</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Shionogi, pose numerous risks to us, including the following:</w:t>
      </w:r>
    </w:p>
    <w:p>
      <w:pPr>
        <w:spacing w:after="0" w:line="126" w:lineRule="exact"/>
        <w:rPr>
          <w:sz w:val="20"/>
          <w:szCs w:val="20"/>
          <w:color w:val="auto"/>
        </w:rPr>
      </w:pPr>
    </w:p>
    <w:p>
      <w:pPr>
        <w:ind w:left="340" w:right="34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partners have significant discretion in determining the efforts and resources that they will apply to these collaborations and may not perform their obligations as expected;</w:t>
      </w:r>
    </w:p>
    <w:p>
      <w:pPr>
        <w:spacing w:after="0" w:line="86" w:lineRule="exact"/>
        <w:rPr>
          <w:rFonts w:ascii="Arial" w:cs="Arial" w:eastAsia="Arial" w:hAnsi="Arial"/>
          <w:sz w:val="18"/>
          <w:szCs w:val="18"/>
          <w:color w:val="auto"/>
        </w:rPr>
      </w:pPr>
    </w:p>
    <w:p>
      <w:pPr>
        <w:ind w:left="340" w:right="300" w:hanging="224"/>
        <w:spacing w:after="0" w:line="24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partners may de-emphasize or elect not to pursue development or commercialization programs based on studies or trials results, changes in the partners’ strategic focus, including as a result of a sale or disposition of a business unit or development function or a business combination involving the partner, or available funding or external factors such as an acquisition that diverts resources or creates competing priorities;</w:t>
      </w:r>
    </w:p>
    <w:p>
      <w:pPr>
        <w:spacing w:after="0" w:line="106" w:lineRule="exact"/>
        <w:rPr>
          <w:rFonts w:ascii="Arial" w:cs="Arial" w:eastAsia="Arial" w:hAnsi="Arial"/>
          <w:sz w:val="18"/>
          <w:szCs w:val="18"/>
          <w:color w:val="auto"/>
        </w:rPr>
      </w:pPr>
    </w:p>
    <w:p>
      <w:pPr>
        <w:ind w:left="340" w:right="20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partners may delay or abandon preclinical studies or clinical trials for our therapeutic candidates, provide insufficient funding for such programs, repeat or conduct new studies or trials or require a new formulation of a therapeutic candidate;</w:t>
      </w:r>
    </w:p>
    <w:p>
      <w:pPr>
        <w:spacing w:after="0" w:line="86" w:lineRule="exact"/>
        <w:rPr>
          <w:rFonts w:ascii="Arial" w:cs="Arial" w:eastAsia="Arial" w:hAnsi="Arial"/>
          <w:sz w:val="18"/>
          <w:szCs w:val="18"/>
          <w:color w:val="auto"/>
        </w:rPr>
      </w:pPr>
    </w:p>
    <w:p>
      <w:pPr>
        <w:ind w:left="340" w:right="180" w:hanging="224"/>
        <w:spacing w:after="0" w:line="25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partners could independently develop, or develop with third parties, therapeutic candidates that compete directly or indirectly with our therapeutic candidates if the partners believe that competitive products are more likely to be successfully developed or can be commercialized under terms that are more economically attractive than ours;</w:t>
      </w:r>
    </w:p>
    <w:p>
      <w:pPr>
        <w:spacing w:after="0" w:line="101" w:lineRule="exact"/>
        <w:rPr>
          <w:rFonts w:ascii="Arial" w:cs="Arial" w:eastAsia="Arial" w:hAnsi="Arial"/>
          <w:sz w:val="18"/>
          <w:szCs w:val="18"/>
          <w:color w:val="auto"/>
        </w:rPr>
      </w:pPr>
    </w:p>
    <w:p>
      <w:pPr>
        <w:ind w:left="340" w:right="80" w:hanging="224"/>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partner with marketing and distribution rights to multiple therapeutic candidates may not commit sufficient resources to the marketing and distribution of our therapeutic candidates relative to others;</w:t>
      </w:r>
    </w:p>
    <w:p>
      <w:pPr>
        <w:spacing w:after="0" w:line="86" w:lineRule="exact"/>
        <w:rPr>
          <w:rFonts w:ascii="Arial" w:cs="Arial" w:eastAsia="Arial" w:hAnsi="Arial"/>
          <w:sz w:val="18"/>
          <w:szCs w:val="18"/>
          <w:color w:val="auto"/>
        </w:rPr>
      </w:pPr>
    </w:p>
    <w:p>
      <w:pPr>
        <w:jc w:val="both"/>
        <w:ind w:left="340" w:right="360" w:hanging="224"/>
        <w:spacing w:after="0" w:line="25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partners may not recognize, properly obtain, maintain, defend or enforce our intellectual property rights or may use our intellectual property in such a way as to invite litigation or other intellectual property-related proceedings that could jeopardize or invalidate our intellectual property or expose us to potential litigation or other intellectual property-related proceedings;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right="340" w:hanging="224"/>
        <w:spacing w:after="0" w:line="25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disputes may arise between the partners and us that result in the delay or termination of the research, development or commercialization of our therapeutic candidates or that result in costly litigation or arbitration that diverts management attention and resources;</w:t>
      </w:r>
    </w:p>
    <w:p>
      <w:pPr>
        <w:spacing w:after="0" w:line="101" w:lineRule="exact"/>
        <w:rPr>
          <w:rFonts w:ascii="Arial" w:cs="Arial" w:eastAsia="Arial" w:hAnsi="Arial"/>
          <w:sz w:val="18"/>
          <w:szCs w:val="18"/>
          <w:color w:val="auto"/>
        </w:rPr>
      </w:pPr>
    </w:p>
    <w:p>
      <w:pPr>
        <w:ind w:left="340" w:right="720" w:hanging="224"/>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partnerships may be terminated by the partner, and, if terminated, may result in our need for additional capital to pursue further development or commercialization of the applicable therapeutic candidates; and</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strategic arrangements we have entered into may not lead to development or commercialization of our therapeutic candidates in the most efficient manner or at all.</w:t>
      </w:r>
    </w:p>
    <w:p>
      <w:pPr>
        <w:spacing w:after="0" w:line="86"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Failure to recognize the benefit of strategic collaborations or partnerships we have entered or may enter in the future could adversely affect our business, financial condition, results of operations and prospects.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risks associated with new companies we may create, such as joint ventures and spin-outs.</w:t>
      </w:r>
    </w:p>
    <w:p>
      <w:pPr>
        <w:spacing w:after="0" w:line="129"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auto"/>
        </w:rPr>
        <w:t>Part of our business model includes creating business partnerships and new corporate entities to develop and potentially commercialize therapeutic targets identified through our Compass platform that are outside of our core area of expertise. For example, in 2021, we formed a spin-out company with Alloy Therapeutics, Inc., or Alloy, to develop antibody therapies for ANGPTL7 and another undisclosed target in ophthalmic disease. Going forward, we may create or acquire interests in more joint venture enterprises, spin-outs, and other entities to execute our business strategy. These business collaborations involve risks that our partners may:</w:t>
      </w:r>
    </w:p>
    <w:p>
      <w:pPr>
        <w:spacing w:after="0" w:line="109" w:lineRule="exact"/>
        <w:rPr>
          <w:sz w:val="20"/>
          <w:szCs w:val="20"/>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inconsistent with or adverse to ours;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 actions contrary to our requests or contrary to our policies or objectives, including actions that may violate applicable law;</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unable or unwilling to fulfill their obligations under the relevant joint venture and spin-out agreements;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financial or business difficulties;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consume the time and attention of our senior executives, who may serve on the board of such companies;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 actions that may harm our reputation; or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disputes with us as to the scope of their or our rights, responsibilities and obligations.</w:t>
      </w:r>
    </w:p>
    <w:p>
      <w:pPr>
        <w:spacing w:after="0" w:line="144"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We will not be able to fully control all aspects of the operations of these partnerships or entities, and we may not have full visibility or control over the operations of these enterprises, including their business decisions, compliance practices or their filing, maintenance, protection and enforcement of intellectual property rights, among others. For example, although we have certain opt-in rights to jointly develop and commercialize certain therapeutic candidates developed through our spin-out company with Alloy, we do not have the power to control the operations of Alloy, which owns the applicable programs and therapeutic candidates and the associated intellectual property rights. In addition, if these entities seek further financing, we may be required to contribute additional cash to maintain our equity stake in these entities or our equity stake may be diluted and our investment impaired.</w:t>
      </w:r>
    </w:p>
    <w:p>
      <w:pPr>
        <w:spacing w:after="0" w:line="117"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Our present partnerships or spin outs may not be successful. We may have disputes or encounter other problems with respect to our present or future partners, and our agreements may not be effective or enforceable in resolving these disputes. We may not be able to resolve such disputes and solve such problems in a timely manner or on favorable economic terms, or at all. Any failure by us to address these potential disputes or conflicts of interest effectively could have a material adverse effect on our business, prospects, financial condition, results of operations or cash flows.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right="180"/>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current and future clinical trials, and those third parties may not perform satisfactorily or at all, including failing to meet deadlines for completing such trials, failing to satisfy legal or regulatory requirements or terminating the relationship.</w:t>
      </w:r>
    </w:p>
    <w:p>
      <w:pPr>
        <w:spacing w:after="0" w:line="92"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We rely, and expect to continue to rely, on third-party CROs to conduct any current and future clinical trials for our therapeutic candidates. We currently do not plan to conduct any clinical trials independently. Agreements with these CROs might terminate for a variety of reasons, including for their failure to perform. Entry into alternative arrangements, if necessary, could significantly delay our product development activities.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and we will be responsible for ensuring our clinical trials are conducted in compliance with applicable laws and regulation, including good clinical practices.</w:t>
      </w:r>
    </w:p>
    <w:p>
      <w:pPr>
        <w:spacing w:after="0" w:line="104"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If these CROs do not successfully carry out their contractual duties, meet expected deadlines or conduct the clinical trials in accordance with regulatory requirements or our stated protocols, we will not be able to obtain, or may be delayed in obtaining, marketing approvals for our therapeutic candidates and will not be able to, or may be delayed in our efforts to, successfully commercialize our therapeutic candidates, which may adversely affect our business, financial condition, results of operations and prospects.</w:t>
      </w:r>
    </w:p>
    <w:p>
      <w:pPr>
        <w:spacing w:after="0" w:line="108" w:lineRule="exact"/>
        <w:rPr>
          <w:sz w:val="20"/>
          <w:szCs w:val="20"/>
          <w:color w:val="auto"/>
        </w:rPr>
      </w:pPr>
    </w:p>
    <w:p>
      <w:pPr>
        <w:ind w:left="120" w:right="480"/>
        <w:spacing w:after="0" w:line="278" w:lineRule="auto"/>
        <w:rPr>
          <w:sz w:val="20"/>
          <w:szCs w:val="20"/>
          <w:color w:val="auto"/>
        </w:rPr>
      </w:pPr>
      <w:r>
        <w:rPr>
          <w:rFonts w:ascii="Arial" w:cs="Arial" w:eastAsia="Arial" w:hAnsi="Arial"/>
          <w:sz w:val="18"/>
          <w:szCs w:val="18"/>
          <w:b w:val="1"/>
          <w:bCs w:val="1"/>
          <w:i w:val="1"/>
          <w:iCs w:val="1"/>
          <w:color w:val="auto"/>
        </w:rPr>
        <w:t>We rely on third parties to manufacture our clinical product supplies and therapeutic candidates and we may not be able to obtain adequate supplies at a reasonable cost or in a timely way.</w:t>
      </w:r>
    </w:p>
    <w:p>
      <w:pPr>
        <w:spacing w:after="0" w:line="7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process of manufacturing pharmaceutical products is complex and highly regulated. We do not have any manufacturing facilities or plans to establish manufacturing capabilities in the near future. We rely, and expect to continue to rely, on third parties, including foreign manufacturers, for the manufacture of our therapeutic candidates for preclinical and clinical testing, development purposes, to support regulatory application submissions, as well as for commercial manufacture if any of our therapeutic candidates obtain marketing approval. This reliance on third parties increases the risk that we will not have sufficient quantities of our therapeutic candidates or such quantities at an acceptable cost or quality, which could delay, prevent or impair our development or commercialization efforts. In addition, global health crises or geopolitical conflict may result in disruptions to the operations or an extended shutdown of certain businesses, which could include certain of our contract manufacturers. Further, as our therapeutic candidates are developed through preclinical studies to late-stage clinical trials towards approval and commercialization, we are likely to alter various aspects of the development program, such as manufacturing methods, to optimize processes and results, which may result in additional cost or delay.</w:t>
      </w:r>
    </w:p>
    <w:p>
      <w:pPr>
        <w:spacing w:after="0" w:line="99"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We have only limited supply arrangements in place with respect to our therapeutic candidates, and these arrangements do not extend to Phase 3 clinical or commercial supply. We acquire many key materials on a purchase order basis. As a result, we may not have long-term committed arrangements with respect to aspects of our therapeutic candidates and other materials. We will need to establish one or more agreements with third parties to develop and scale up the drug manufacturing process, conduct testing, and generate data to support a regulatory submission, and may be unable to do so on favorable terms. If we obtain marketing approval for any of our therapeutic candidates, we will need to establish an agreement for commercial manufacture with a third party.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 but not limited to:</w:t>
      </w:r>
    </w:p>
    <w:p>
      <w:pPr>
        <w:spacing w:after="0" w:line="86" w:lineRule="exact"/>
        <w:rPr>
          <w:sz w:val="20"/>
          <w:szCs w:val="20"/>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the third party for product development, analytical testing, and data generation to support regulatory applications;</w:t>
      </w:r>
    </w:p>
    <w:p>
      <w:pPr>
        <w:spacing w:after="0" w:line="144" w:lineRule="exact"/>
        <w:rPr>
          <w:rFonts w:ascii="Arial" w:cs="Arial" w:eastAsia="Arial" w:hAnsi="Arial"/>
          <w:sz w:val="18"/>
          <w:szCs w:val="18"/>
          <w:color w:val="auto"/>
        </w:rPr>
      </w:pPr>
    </w:p>
    <w:p>
      <w:pPr>
        <w:ind w:left="340" w:right="540" w:hanging="224"/>
        <w:spacing w:after="0" w:line="25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44" w:lineRule="exact"/>
        <w:rPr>
          <w:rFonts w:ascii="Arial" w:cs="Arial" w:eastAsia="Arial" w:hAnsi="Arial"/>
          <w:sz w:val="18"/>
          <w:szCs w:val="18"/>
          <w:color w:val="auto"/>
        </w:rPr>
      </w:pPr>
    </w:p>
    <w:p>
      <w:pPr>
        <w:ind w:left="340" w:right="500" w:hanging="224"/>
        <w:spacing w:after="0" w:line="27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infringement, misappropriation, violation or unauthorized disclosure of our intellectual property and proprietary rights, including our trade secrets, know-how and other confidential information;</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with other companies for access to manufacturing capacity;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deliver our products under specified storage conditions and in a timely manner.</w:t>
      </w:r>
    </w:p>
    <w:p>
      <w:pPr>
        <w:spacing w:after="0" w:line="14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Third-party manufacturers may not be able to comply with current good manufacturing practice, or cGMP, regulations or similar regulatory requirements outside of the United States. If the FDA determines that our contract manufacturing organizations, or CMOs, are not in compliance with FDA laws and regulations, including those governing cGMPs, the FDA may not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therapeutic candidates,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15"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therapeutic candidates. Such events could result in our clinical or commercial supply of drug, packaging and other services being interrupted or limited, which could harm our business.</w:t>
      </w:r>
    </w:p>
    <w:p>
      <w:pPr>
        <w:spacing w:after="0" w:line="87"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06"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therapeutic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global health crises. If our current third-party manufacturers cannot perform as agreed, we may be required to replace such manufacturers and we may be unable to replace them on a timely basis or at all.</w:t>
      </w:r>
    </w:p>
    <w:p>
      <w:pPr>
        <w:spacing w:after="0" w:line="113" w:lineRule="exact"/>
        <w:rPr>
          <w:sz w:val="20"/>
          <w:szCs w:val="20"/>
          <w:color w:val="auto"/>
        </w:rPr>
      </w:pPr>
    </w:p>
    <w:p>
      <w:pPr>
        <w:ind w:left="120" w:right="280"/>
        <w:spacing w:after="0" w:line="301" w:lineRule="auto"/>
        <w:rPr>
          <w:sz w:val="20"/>
          <w:szCs w:val="20"/>
          <w:color w:val="auto"/>
        </w:rPr>
      </w:pPr>
      <w:r>
        <w:rPr>
          <w:rFonts w:ascii="Arial" w:cs="Arial" w:eastAsia="Arial" w:hAnsi="Arial"/>
          <w:sz w:val="17"/>
          <w:szCs w:val="17"/>
          <w:color w:val="auto"/>
        </w:rPr>
        <w:t>Our current and anticipated future dependence upon others for the manufacture of our therapeutic candidates may adversely affect our future profit margins and our ability to commercialize any products that obtain marketing approval on a timely and competitive basis.</w:t>
      </w:r>
    </w:p>
    <w:p>
      <w:pPr>
        <w:spacing w:after="0" w:line="52" w:lineRule="exact"/>
        <w:rPr>
          <w:sz w:val="20"/>
          <w:szCs w:val="20"/>
          <w:color w:val="auto"/>
        </w:rPr>
      </w:pPr>
    </w:p>
    <w:p>
      <w:pPr>
        <w:ind w:left="120" w:right="200"/>
        <w:spacing w:after="0" w:line="278" w:lineRule="auto"/>
        <w:rPr>
          <w:sz w:val="20"/>
          <w:szCs w:val="20"/>
          <w:color w:val="auto"/>
        </w:rPr>
      </w:pPr>
      <w:r>
        <w:rPr>
          <w:rFonts w:ascii="Arial" w:cs="Arial" w:eastAsia="Arial" w:hAnsi="Arial"/>
          <w:sz w:val="18"/>
          <w:szCs w:val="18"/>
          <w:b w:val="1"/>
          <w:bCs w:val="1"/>
          <w:i w:val="1"/>
          <w:iCs w:val="1"/>
          <w:color w:val="auto"/>
        </w:rPr>
        <w:t>Our reliance on third parties requires us to share certain of our trade secrets, which increases the possibility that a competitor or other third party will discover them or that our trade secrets will be misappropriated or disclosed.</w:t>
      </w:r>
    </w:p>
    <w:p>
      <w:pPr>
        <w:spacing w:after="0" w:line="7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reliance on third parties may require us to share certain of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partners, advisors, employees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government regulation</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regulatory approval process is lengthy and time-consuming.</w:t>
      </w:r>
    </w:p>
    <w:p>
      <w:pPr>
        <w:spacing w:after="0" w:line="142"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our therapeutic candidates are subject to extensive regulation by the FDA and other regulatory authorities in the United States. Our current lead programs, MZE829 and MZE782, are both small molecules and will be regulated as drugs. We are not permitted to market any drug in the United States until we receive approval of the respective NDA. We have not previously submitted an NDA to the FDA or made similar submissions to comparable foreign regulatory agencies. An NDA must include extensive preclinical and clinical data and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supporting information to establish the therapeutic candidate’s safety and effectiveness for each desired indication, which takes many years to collect through clinical and preclinical testing of the therapeutic candidate and is subject to a high failure rate. Further, the NDA must also include significant information regarding the chemistry, manufacturing, and controls for the product, including storage and handling of the product. The manufacturing facility is also required to maintain a compliance status acceptable to the FDA. In addition, even if such clinical trials are successfully completed, we cannot guarantee that the FDA or comparable foreign regulatory agencies will interpret the results as we do, and more trials could be required before we submit an NDA, or other foreign marketing application. Further, if there are any controversial findings in the data, the FDA may call an advisory committee meeting to discuss the product with outside experts, which may further delay approval of our therapeutic candidates.</w:t>
      </w:r>
    </w:p>
    <w:p>
      <w:pPr>
        <w:spacing w:after="0" w:line="115" w:lineRule="exact"/>
        <w:rPr>
          <w:sz w:val="20"/>
          <w:szCs w:val="20"/>
          <w:color w:val="auto"/>
        </w:rPr>
      </w:pPr>
    </w:p>
    <w:p>
      <w:pPr>
        <w:jc w:val="both"/>
        <w:ind w:left="120" w:right="180"/>
        <w:spacing w:after="0" w:line="256" w:lineRule="auto"/>
        <w:rPr>
          <w:sz w:val="20"/>
          <w:szCs w:val="20"/>
          <w:color w:val="auto"/>
        </w:rPr>
      </w:pPr>
      <w:r>
        <w:rPr>
          <w:rFonts w:ascii="Arial" w:cs="Arial" w:eastAsia="Arial" w:hAnsi="Arial"/>
          <w:sz w:val="18"/>
          <w:szCs w:val="18"/>
          <w:b w:val="1"/>
          <w:bCs w:val="1"/>
          <w:i w:val="1"/>
          <w:iCs w:val="1"/>
          <w:color w:val="auto"/>
        </w:rPr>
        <w:t>We, as a company, have limited experience in submitting INDs in the United States and we do not have experience in obtaining regulatory approval to initiate clinical trials in any other jurisdiction. Nor do we have experience in manufacturing or in quality assurance in order to market our therapeutic candidates in the United States or in any other jurisdiction.</w:t>
      </w:r>
    </w:p>
    <w:p>
      <w:pPr>
        <w:spacing w:after="0" w:line="9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have limited experience in submitting INDs in the United States and we do not have experience in obtaining regulatory approval to initiate clinical trials in any other jurisdiction. Nor do we have experience in manufacturing or in quality assurance in order to market a drug and we expect to rely on third-party CROs, CMOs or other third-party consultants or vendors to assist us in this process. Our inexperience may result in failure or delay in obtaining permission to initiate clinical trials or in obtaining marketing approval for our therapeutic candidates. If we are unable to obtain regulatory and marketing approval for our therapeutic candidates, or experience significant delays in our efforts to do so, our business could be substantially harmed.</w:t>
      </w:r>
    </w:p>
    <w:p>
      <w:pPr>
        <w:spacing w:after="0" w:line="100" w:lineRule="exact"/>
        <w:rPr>
          <w:sz w:val="20"/>
          <w:szCs w:val="20"/>
          <w:color w:val="auto"/>
        </w:rPr>
      </w:pPr>
    </w:p>
    <w:p>
      <w:pPr>
        <w:ind w:left="120" w:right="140"/>
        <w:spacing w:after="0" w:line="256" w:lineRule="auto"/>
        <w:rPr>
          <w:sz w:val="20"/>
          <w:szCs w:val="20"/>
          <w:color w:val="auto"/>
        </w:rPr>
      </w:pPr>
      <w:r>
        <w:rPr>
          <w:rFonts w:ascii="Arial" w:cs="Arial" w:eastAsia="Arial" w:hAnsi="Arial"/>
          <w:sz w:val="18"/>
          <w:szCs w:val="18"/>
          <w:b w:val="1"/>
          <w:bCs w:val="1"/>
          <w:i w:val="1"/>
          <w:iCs w:val="1"/>
          <w:color w:val="auto"/>
        </w:rPr>
        <w:t>Our failure to obtain marketing approval in foreign jurisdictions would prevent our therapeutic candidates from being marketed abroad, and any approval we are granted for our therapeutic candidates in the United States would not assure approval of therapeutic candidates in foreign jurisdictions.</w:t>
      </w:r>
    </w:p>
    <w:p>
      <w:pPr>
        <w:spacing w:after="0" w:line="92" w:lineRule="exact"/>
        <w:rPr>
          <w:sz w:val="20"/>
          <w:szCs w:val="20"/>
          <w:color w:val="auto"/>
        </w:rPr>
      </w:pPr>
    </w:p>
    <w:p>
      <w:pPr>
        <w:ind w:left="120" w:right="20"/>
        <w:spacing w:after="0" w:line="255" w:lineRule="auto"/>
        <w:rPr>
          <w:sz w:val="20"/>
          <w:szCs w:val="20"/>
          <w:color w:val="auto"/>
        </w:rPr>
      </w:pPr>
      <w:r>
        <w:rPr>
          <w:rFonts w:ascii="Arial" w:cs="Arial" w:eastAsia="Arial" w:hAnsi="Arial"/>
          <w:sz w:val="17"/>
          <w:szCs w:val="17"/>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such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104" w:lineRule="exact"/>
        <w:rPr>
          <w:sz w:val="20"/>
          <w:szCs w:val="20"/>
          <w:color w:val="auto"/>
        </w:rPr>
      </w:pPr>
    </w:p>
    <w:p>
      <w:pPr>
        <w:ind w:left="120" w:right="620"/>
        <w:spacing w:after="0" w:line="278" w:lineRule="auto"/>
        <w:rPr>
          <w:sz w:val="20"/>
          <w:szCs w:val="20"/>
          <w:color w:val="auto"/>
        </w:rPr>
      </w:pPr>
      <w:r>
        <w:rPr>
          <w:rFonts w:ascii="Arial" w:cs="Arial" w:eastAsia="Arial" w:hAnsi="Arial"/>
          <w:sz w:val="18"/>
          <w:szCs w:val="18"/>
          <w:b w:val="1"/>
          <w:bCs w:val="1"/>
          <w:i w:val="1"/>
          <w:iCs w:val="1"/>
          <w:color w:val="auto"/>
        </w:rPr>
        <w:t>If we decide to pursue a fast track designation by the FDA, it may not lead to a faster development or regulatory review or approval process.</w:t>
      </w:r>
    </w:p>
    <w:p>
      <w:pPr>
        <w:spacing w:after="0" w:line="5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Some of our therapeutic candidates may be intended to treat serious or life-threatening conditions and may demonstrate the potential to address an unmet medical need for such conditions, and as such they would be eligible for expedited processes within the FDA such as fast track designation. The FDA has broad discretion whether or not to grant such designation, so even if we believe a particular therapeutic candidate is eligible for this designation, we cannot guarantee that the FDA would decide to grant it. Even if we do receive fast track designation, we may not experience a faster development process, review or approval. The FDA may withdraw</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Fast Track Designation if it believes that the designation is no longer supported by data from our clinical development program.</w:t>
      </w:r>
    </w:p>
    <w:p>
      <w:pPr>
        <w:spacing w:after="0" w:line="146" w:lineRule="exact"/>
        <w:rPr>
          <w:sz w:val="20"/>
          <w:szCs w:val="20"/>
          <w:color w:val="auto"/>
        </w:rPr>
      </w:pPr>
    </w:p>
    <w:p>
      <w:pPr>
        <w:ind w:left="120" w:right="20"/>
        <w:spacing w:after="0" w:line="278" w:lineRule="auto"/>
        <w:rPr>
          <w:sz w:val="20"/>
          <w:szCs w:val="20"/>
          <w:color w:val="auto"/>
        </w:rPr>
      </w:pPr>
      <w:r>
        <w:rPr>
          <w:rFonts w:ascii="Arial" w:cs="Arial" w:eastAsia="Arial" w:hAnsi="Arial"/>
          <w:sz w:val="18"/>
          <w:szCs w:val="18"/>
          <w:b w:val="1"/>
          <w:bCs w:val="1"/>
          <w:i w:val="1"/>
          <w:iCs w:val="1"/>
          <w:color w:val="auto"/>
        </w:rPr>
        <w:t>If we decide to pursue accelerated approval for any of our therapeutic candidates, it may not lead to a faster regulatory review or approval process and does not increase the likelihood that our therapeutic candidates will receive marketing approval.</w:t>
      </w:r>
    </w:p>
    <w:p>
      <w:pPr>
        <w:spacing w:after="0" w:line="7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As part of our business strategy, we may pursue accelerated approval for one or more of our therapeutic candidates. Under the FDA’s accelerated approval program, the FDA may approve a drug for a serious or life-threatening illness that provides meaningful product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therapeutic candidates on the basis of a surrogate endpoint that we believe is reasonably likely to predict clinical benefit.</w:t>
      </w:r>
    </w:p>
    <w:p>
      <w:pPr>
        <w:spacing w:after="0" w:line="104"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If any of our therapeutic candidates receive accelerated approval from the FDA, we will be required to undergo one or more confirmatory clinical trials. If such a therapeutic candidate fails to meet its safety and efficacy endpoints in such confirmatory clinical trials, the FDA may withdraw the accelerated approval.</w:t>
      </w:r>
    </w:p>
    <w:p>
      <w:pPr>
        <w:spacing w:after="0" w:line="101"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clinical benefit. In addition, the enactment of The Food and Drug Omnibus Reform Act, or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w:t>
      </w:r>
    </w:p>
    <w:p>
      <w:pPr>
        <w:spacing w:after="0" w:line="113"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There is no assurance that any therapeutic candidate will successfully advance through its confirmatory clinical trial(s). Therefore, even if a therapeutic candidate receives accelerated approval from the FDA, such approval may be withdrawn at a later date.</w:t>
      </w:r>
    </w:p>
    <w:p>
      <w:pPr>
        <w:spacing w:after="0" w:line="75"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b w:val="1"/>
          <w:bCs w:val="1"/>
          <w:i w:val="1"/>
          <w:iCs w:val="1"/>
          <w:color w:val="auto"/>
        </w:rPr>
        <w:t>Even if we, or any of our partners, obtain marketing approval for our therapeutic candidates, the terms of approvals, ongoing regulation of our product, including enforcement of post-marketing requirements by regulatory agencies or other post-approval restrictions, may require the expenditure of substantial resources, which could materially impair our ability to generate revenue. If we, or any of our partners or manufacturers, fail to comply with all regulatory requirements or experience unanticipated problems with our products, when and if any of them are approved, we could be subject to substantial penalties, including withdrawal of our product from the market.</w:t>
      </w:r>
    </w:p>
    <w:p>
      <w:pPr>
        <w:spacing w:after="0" w:line="10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Any therapeutic candidate for which we, or any partners obtain marketing approval, as well as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maintenance of records and documents, and requirements regarding drug distribution and the distribution of samples to physicians and recordkeeping.</w:t>
      </w:r>
    </w:p>
    <w:p>
      <w:pPr>
        <w:spacing w:after="0" w:line="86"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For instance, even if marketing approval of a product is granted, the FDA may impose requirements for costly post-marketing studies or clinical trials and surveillance to monitor the safety or efficacy of a product, including the adoption and implementation of a REMS.</w:t>
      </w:r>
    </w:p>
    <w:p>
      <w:pPr>
        <w:spacing w:after="0" w:line="86" w:lineRule="exact"/>
        <w:rPr>
          <w:sz w:val="20"/>
          <w:szCs w:val="20"/>
          <w:color w:val="auto"/>
        </w:rPr>
      </w:pPr>
    </w:p>
    <w:p>
      <w:pPr>
        <w:ind w:left="120" w:right="120"/>
        <w:spacing w:after="0" w:line="266" w:lineRule="auto"/>
        <w:rPr>
          <w:sz w:val="20"/>
          <w:szCs w:val="20"/>
          <w:color w:val="auto"/>
        </w:rPr>
      </w:pPr>
      <w:r>
        <w:rPr>
          <w:rFonts w:ascii="Arial" w:cs="Arial" w:eastAsia="Arial" w:hAnsi="Arial"/>
          <w:sz w:val="17"/>
          <w:szCs w:val="17"/>
          <w:color w:val="auto"/>
        </w:rPr>
        <w:t>We, or any of our partners, must also comply with requirements concerning advertising and promotion for any of our therapeutic candidates for which we or they obtain marketing approval. Promotional communications with respect to prescription drugs are subject to a variety of legal and regulatory restrictions and must be consistent with the information in the therapeutic candidate’s approved labeling. Thus, we, and any partners, will not be able to promote any products we develop for indications or uses for which they are not approved.</w:t>
      </w:r>
    </w:p>
    <w:p>
      <w:pPr>
        <w:spacing w:after="0" w:line="78"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In addition, manufacturers of approved products and those manufacturers’ facilities are required to ensure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partners and their third-party manufacturers, and our CMOs would be subject to periodic unannounced inspections by the FDA to monitor and ensure compliance with cGMPs.</w:t>
      </w:r>
    </w:p>
    <w:p>
      <w:pPr>
        <w:spacing w:after="0" w:line="10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Accordingly, assuming we, or any partners, obtain marketing approval for one or more of our therapeutic candidates, we, any partners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11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FDA as well as other federal and state agencies, including the U.S. Department of Justice, enforce and closely regulate compliance with all requirements governing drug products, including those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116"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modifications to the labeling or restrictions on the marketing of a product;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distribution or use;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or recall of the product from the market;</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relationships with any potential partners;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color w:val="auto"/>
        </w:rPr>
        <w:t>Non-compliance by us or any future partner with regulatory requirements, including safety monitoring or pharmacovigilance, and with requirements related to the development of our products can also result in significant financial penalties.</w:t>
      </w:r>
    </w:p>
    <w:p>
      <w:pPr>
        <w:spacing w:after="0" w:line="88" w:lineRule="exact"/>
        <w:rPr>
          <w:sz w:val="20"/>
          <w:szCs w:val="20"/>
          <w:color w:val="auto"/>
        </w:rPr>
      </w:pPr>
    </w:p>
    <w:p>
      <w:pPr>
        <w:ind w:left="120" w:right="120"/>
        <w:spacing w:after="0" w:line="278" w:lineRule="auto"/>
        <w:rPr>
          <w:sz w:val="20"/>
          <w:szCs w:val="20"/>
          <w:color w:val="auto"/>
        </w:rPr>
      </w:pPr>
      <w:r>
        <w:rPr>
          <w:rFonts w:ascii="Arial" w:cs="Arial" w:eastAsia="Arial" w:hAnsi="Arial"/>
          <w:sz w:val="18"/>
          <w:szCs w:val="18"/>
          <w:b w:val="1"/>
          <w:bCs w:val="1"/>
          <w:i w:val="1"/>
          <w:iCs w:val="1"/>
          <w:color w:val="auto"/>
        </w:rPr>
        <w:t>If generic versions of our small molecule therapeutic candidates are approved, our revenue and results of operations would be adversely affected.</w:t>
      </w:r>
    </w:p>
    <w:p>
      <w:pPr>
        <w:spacing w:after="0" w:line="58"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Drug Price Competition and Patent Term Restoration Act of 1984, commonly known as the Hatch-Waxman Amendments, permits the FDA to approve abbreviated NDAs, or ANDAs, for generic versions of small molecule branded drugs. We refer to this process as the ANDA process. The ANDA process permits a competitor to obtain marketing approval for a drug with the same active ingredient as a branded drug but does not generally require the conduct and submission of clinical efficacy studies for the generic product. In place of such clinical studies, an ANDA applicant usually needs only to submit data demonstrating that its product is bioequivalent to the branded product. The Hatch-Waxman Amendments require an ANDA applicant seeking FDA approval of its proposed generic product prior to the expiration of any patents we may list in the FDA’s Approved Drug Products with Therapeutic Equivalence Evaluations (commonly known as the Orange Book) to certify that the applicant believes that our patents are invalid or will not be infringed by the manufacture, use or sale of the drug for which the application has been submitted (a Paragraph IV certification) and notify us of such certification (a Paragraph IV notice).</w:t>
      </w:r>
    </w:p>
    <w:p>
      <w:pPr>
        <w:spacing w:after="0" w:line="112"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Pursuant to the Hatch-Waxman Amendments, with regard to a drug that has received five years of marketing exclusivity as a result of being a new chemical entity, or NCE, FDA cannot receive any ANDA seeking approval of a generic version of that drug during the five-year period of exclusivity unless the application contains a Paragraph IV certification, in which case the application may be submitted one year prior to expiration of the NCE exclusivity. Accordingly, potential competitors will be permitted to submit ANDA applications for proposed generic versions of any small molecule products for which we obtain approval four or five years from the date of such approval was granted.</w:t>
      </w:r>
    </w:p>
    <w:p>
      <w:pPr>
        <w:spacing w:after="0" w:line="111" w:lineRule="exact"/>
        <w:rPr>
          <w:sz w:val="20"/>
          <w:szCs w:val="20"/>
          <w:color w:val="auto"/>
        </w:rPr>
      </w:pPr>
    </w:p>
    <w:p>
      <w:pPr>
        <w:ind w:left="120"/>
        <w:spacing w:after="0" w:line="259" w:lineRule="auto"/>
        <w:rPr>
          <w:sz w:val="20"/>
          <w:szCs w:val="20"/>
          <w:color w:val="auto"/>
        </w:rPr>
      </w:pPr>
      <w:r>
        <w:rPr>
          <w:rFonts w:ascii="Arial" w:cs="Arial" w:eastAsia="Arial" w:hAnsi="Arial"/>
          <w:sz w:val="17"/>
          <w:szCs w:val="17"/>
          <w:color w:val="auto"/>
        </w:rPr>
        <w:t>Upon receipt of a Paragraph IV notice, the Hatch-Waxman Amendments allow us, with proper basis, to bring an action for patent infringement against the ANDA filer, asking that the proposed generic product not be approved until after our patents expire. If we commence a lawsuit within 45 days from receipt of the paragraph IV notice, the Hatch-Waxman Amendments provide a 30-month stay, during which time the FDA cannot finally approve the ANDA application. If the litigation is resolved in favor of the ANDA applicant during the 30-month stay period, the stay will be lifted and the FDA may approve the ANDA if it is otherwise ready for approval. The discovery, trial and appeals process in such a lawsuit is costly, time consuming, and may result in generic competition if the ANDA applicant prevails.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right="120"/>
        <w:spacing w:after="0" w:line="249" w:lineRule="auto"/>
        <w:rPr>
          <w:sz w:val="20"/>
          <w:szCs w:val="20"/>
          <w:color w:val="auto"/>
        </w:rPr>
      </w:pPr>
      <w:r>
        <w:rPr>
          <w:rFonts w:ascii="Arial" w:cs="Arial" w:eastAsia="Arial" w:hAnsi="Arial"/>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9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Healthcare providers, including physicians, and third-party payors will play a primary role in the recommendation and prescription of any therapeutic candidates for which we obtain marketing approval. Our current and future arrangements with such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111" w:lineRule="exact"/>
        <w:rPr>
          <w:sz w:val="20"/>
          <w:szCs w:val="20"/>
          <w:color w:val="auto"/>
        </w:rPr>
      </w:pPr>
    </w:p>
    <w:p>
      <w:pPr>
        <w:ind w:left="340" w:hanging="224"/>
        <w:spacing w:after="0" w:line="24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06" w:lineRule="exact"/>
        <w:rPr>
          <w:rFonts w:ascii="Arial" w:cs="Arial" w:eastAsia="Arial" w:hAnsi="Arial"/>
          <w:sz w:val="18"/>
          <w:szCs w:val="18"/>
          <w:color w:val="auto"/>
        </w:rPr>
      </w:pPr>
    </w:p>
    <w:p>
      <w:pPr>
        <w:ind w:left="340" w:right="280" w:hanging="224"/>
        <w:spacing w:after="0" w:line="24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civil,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108" w:lineRule="exact"/>
        <w:rPr>
          <w:rFonts w:ascii="Arial" w:cs="Arial" w:eastAsia="Arial" w:hAnsi="Arial"/>
          <w:sz w:val="18"/>
          <w:szCs w:val="18"/>
          <w:color w:val="auto"/>
        </w:rPr>
      </w:pPr>
    </w:p>
    <w:p>
      <w:pPr>
        <w:ind w:left="340" w:right="60" w:hanging="224"/>
        <w:spacing w:after="0" w:line="24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108" w:lineRule="exact"/>
        <w:rPr>
          <w:rFonts w:ascii="Arial" w:cs="Arial" w:eastAsia="Arial" w:hAnsi="Arial"/>
          <w:sz w:val="18"/>
          <w:szCs w:val="18"/>
          <w:color w:val="auto"/>
        </w:rPr>
      </w:pPr>
    </w:p>
    <w:p>
      <w:pPr>
        <w:ind w:left="340" w:right="60" w:hanging="224"/>
        <w:spacing w:after="0" w:line="24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such individually identifiable health information;</w:t>
      </w:r>
    </w:p>
    <w:p>
      <w:pPr>
        <w:spacing w:after="0" w:line="106" w:lineRule="exact"/>
        <w:rPr>
          <w:rFonts w:ascii="Arial" w:cs="Arial" w:eastAsia="Arial" w:hAnsi="Arial"/>
          <w:sz w:val="18"/>
          <w:szCs w:val="18"/>
          <w:color w:val="auto"/>
        </w:rPr>
      </w:pPr>
    </w:p>
    <w:p>
      <w:pPr>
        <w:ind w:left="340" w:right="40" w:hanging="224"/>
        <w:spacing w:after="0" w:line="24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transparency requirements under the ACA, requires certain manufacturers of drugs, devices, biologics and medical supplies to report to the Centers for Medicare &amp; Medicaid Services, or CMS, information related to payments and other transfers of value provided to, and ownership and investment interests held by, physicians, as defined by such law, and their immediate family members; and</w:t>
      </w:r>
    </w:p>
    <w:p>
      <w:pPr>
        <w:spacing w:after="0" w:line="106" w:lineRule="exact"/>
        <w:rPr>
          <w:rFonts w:ascii="Arial" w:cs="Arial" w:eastAsia="Arial" w:hAnsi="Arial"/>
          <w:sz w:val="18"/>
          <w:szCs w:val="18"/>
          <w:color w:val="auto"/>
        </w:rPr>
      </w:pPr>
    </w:p>
    <w:p>
      <w:pPr>
        <w:ind w:left="340" w:right="80" w:hanging="224"/>
        <w:spacing w:after="0" w:line="24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line="253" w:lineRule="auto"/>
        <w:rPr>
          <w:sz w:val="20"/>
          <w:szCs w:val="20"/>
          <w:color w:val="auto"/>
        </w:rPr>
      </w:pPr>
      <w:r>
        <w:rPr>
          <w:rFonts w:ascii="Arial" w:cs="Arial" w:eastAsia="Arial" w:hAnsi="Arial"/>
          <w:sz w:val="18"/>
          <w:szCs w:val="18"/>
          <w:color w:val="auto"/>
        </w:rPr>
        <w:t>including price increases. State and local laws require the registration of pharmaceutical sales representatives. State and non-U.S. laws that also govern the privacy and security of personal information (including health information in some circumstances), many of which differ from each other in significant ways and often are not preempted by HIPAA, thus complicating compliance efforts.</w:t>
      </w:r>
    </w:p>
    <w:p>
      <w:pPr>
        <w:spacing w:after="0" w:line="10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120" w:lineRule="exact"/>
        <w:rPr>
          <w:sz w:val="20"/>
          <w:szCs w:val="20"/>
          <w:color w:val="auto"/>
        </w:rPr>
      </w:pPr>
    </w:p>
    <w:p>
      <w:pPr>
        <w:ind w:left="120" w:right="340"/>
        <w:spacing w:after="0" w:line="256"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therapeutic candidates and may affect pricing and third-party payment for our therapeutic candidates and decrease the prices we may obtain.</w:t>
      </w:r>
    </w:p>
    <w:p>
      <w:pPr>
        <w:spacing w:after="0" w:line="78"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therapeutic candidates, restrict or regulate post-approval activities and affect pricing and third-party payment for our therapeutic candidates, which could negatively affect our ability to profitably sell any therapeutic candidates for which we obtain marketing approval.</w:t>
      </w:r>
    </w:p>
    <w:p>
      <w:pPr>
        <w:spacing w:after="0" w:line="106"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therapeutic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09"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In addition,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93"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Several healthcare reform initiatives culminated in the enactment of the Inflation Reduction Act in August 2022, which allows, among other things, the Department of Health and Human Services, or HHS, to negotiate the selling price of a statutorily specified number of drugs and biologics each year that CMS reimburses under Medicare Part B and Part D. Only high-expenditure single-source drugs that have been approved for at least 7 years (11 years for single-source biologics) can qualify for negotiation, with the negotiated price taking effect two years after the selection year. Negotiations for Medicare Part D products begin in 2024 with the negotiated price taking effect in 2026, and negotiations for Medicare Part B products begin in 2026 with the negotiated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price taking effect in 2028. In August 2023, HHS announced the ten Medicare Part D drugs and biologics that it selected for negotiations, and by October 1, 2023, each manufacturer of the selected drugs signed a manufacturer agreement to participate in the negotiations. HHS will announce the negotiated maximum fair prices by September 1, 2024, and this price cap, which cannot exceed a statutory ceiling price, will come into effect on January 1, 2026. A drug or biological product that has an orphan drug designation for only one rare disease or condition will be excluded from the Inflation Reduction Act’s price negotiation requirements, but loses that exclusion if it has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Inflation Reduction Act also imposes rebates on Medicare Part B and Part D drugs whose prices have increased at a rate greater than the rate of inflation. In addition, the law eliminates the “donut hole” under Medicare Part D beginning in 2025 by significantly lowering the beneficiary maximum out-of-pocket cost and establishing a new manufacturer discount program, which requires manufacturers that want their drugs to be covered by Medicare Part D to provide statutorily defined discounts to Part D enrollees. The Inflation Reduction Act also extends enhanced subsidies for individuals purchasing health insurance coverage in ACA marketplaces through plan year 2025. The Inflation Reduction Act permits the Secretary of HHS to implement many of these provisions through guidance, as opposed to regulation, for the initial years. Manufacturers that fail to comply with the Inflation Reduction Act may be subject to various penalties, some significant, including civil monetary penalties. These provisions are taking effect progressively starting in 2023, although they may be subject to legal challenges. For example, the provisions related to the negotiation of selling prices of high-expenditure single-source drugs and biologics have been challenged in multiple lawsuits. Thus, it is unclear how the Inflation Reduction Act will be implemented but it will likely have a significant impact on the pharmaceutical industry and the pricing of our products and therapeutic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spacing w:after="0" w:line="127"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06"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We expect that additional state and federal healthcare reform measures may be adopted in the future. Such reform measures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9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therapeutic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jc w:val="both"/>
        <w:ind w:left="120" w:right="280"/>
        <w:spacing w:after="0" w:line="278"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5"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therapeutic candidates to be reviewed and/or approved by necessary government agencies, which may adversely affect our business, financial condition, results of operations and prospects. For example, over the last several years, the U.S. government has shut down several times and certain regulatory agencies, such as the FDA, have had to furlough critical FDA employees and stop critical activities.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2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Certain laws and regulations require us to test our therapeutic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11" w:lineRule="exact"/>
        <w:rPr>
          <w:sz w:val="20"/>
          <w:szCs w:val="20"/>
          <w:color w:val="auto"/>
        </w:rPr>
      </w:pPr>
    </w:p>
    <w:p>
      <w:pPr>
        <w:jc w:val="both"/>
        <w:ind w:left="120" w:right="400"/>
        <w:spacing w:after="0" w:line="256" w:lineRule="auto"/>
        <w:rPr>
          <w:sz w:val="20"/>
          <w:szCs w:val="20"/>
          <w:color w:val="auto"/>
        </w:rPr>
      </w:pPr>
      <w:r>
        <w:rPr>
          <w:rFonts w:ascii="Arial" w:cs="Arial" w:eastAsia="Arial" w:hAnsi="Arial"/>
          <w:sz w:val="18"/>
          <w:szCs w:val="18"/>
          <w:b w:val="1"/>
          <w:bCs w:val="1"/>
          <w:i w:val="1"/>
          <w:iCs w:val="1"/>
          <w:color w:val="auto"/>
        </w:rPr>
        <w:t>Even if we are able to commercialize a drug candidate, coverage and adequate reimbursement may not be available or such drug candidate may become subject to unfavorable pricing regulations or third-party coverage and reimbursement policies, which would harm our business.</w:t>
      </w:r>
    </w:p>
    <w:p>
      <w:pPr>
        <w:spacing w:after="0" w:line="9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regulations that govern regulatory approvals, pricing, and reimbursement for drug products vary widely from country to country. Some countries require approval of the sale price of a drug product before it can be marketed or may require us or our partners to conduct clinical trials that compare the cost-effectiveness of our therapeutic candidates to other therapies to obtain reimbursement or pricing approval. In many countries, the pricing review period begins after regulatory approval is granted. In some foreign markets, prescription drug product pricing remains subject to continuing governmental control even after initial approval is granted. As a result, we might obtain regulatory approval for a drug in a particular country, but then be subject to price regulations that delay our commercial launch of the drug, possibly for lengthy time periods, and negatively impact the revenue we are able to generate from the sale of the drug in that country.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 Adverse pricing limitations may hinder our ability to recoup our investment in one or more therapeutic candidates, even if any of our current or future therapeutic candidates obtain regulatory approval.</w:t>
      </w:r>
    </w:p>
    <w:p>
      <w:pPr>
        <w:spacing w:after="0" w:line="108"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Our ability to commercialize any drugs successfully also will depend in part on the extent to which coverage and adequate reimbursement for these drugs and related treatments will be available from third-party payors, such</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as government authorities, private health insurers, and other organizations. Even if we succeed in bringing one or more drugs to market, these drugs may not be considered cost-effective, and the amount reimbursed for any drugs may be insufficient to allow us to sell our drugs on a competitive basis. Moreover, in the United States, no uniform policy requirement for coverage and reimbursement for drugs exists among third-party payors, which may result in significant variations in coverage and reimbursement from payor to payor. Even if favorable coverage and reimbursement status is attained for one or more drug products for which we receive regulatory approval, less favorable coverage policies and reimbursement rates may be implemented in the future. If the price we are able to charge for any drugs we develop, or the coverage and reimbursement provided for such drugs, is inadequate in light of our development and other costs, our return on investment could be affected adversely.</w:t>
      </w:r>
    </w:p>
    <w:p>
      <w:pPr>
        <w:spacing w:after="0" w:line="115"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therapeutic candidates outside of the United States and require us to develop and implement costly compliance programs.</w:t>
      </w:r>
    </w:p>
    <w:p>
      <w:pPr>
        <w:spacing w:after="0" w:line="92"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87"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therapeutic candidates outside of the United States, which could limit our growth potential and increase our development costs.</w:t>
      </w:r>
    </w:p>
    <w:p>
      <w:pPr>
        <w:spacing w:after="0" w:line="10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90"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b w:val="1"/>
          <w:bCs w:val="1"/>
          <w:i w:val="1"/>
          <w:iCs w:val="1"/>
          <w:color w:val="auto"/>
        </w:rPr>
        <w:t>If we, or any third-party contractors we engage, fail to comply with environmental, health and safety laws and regulations, we could become subject to fines or penalties or incur costs that could harm our business.</w:t>
      </w:r>
    </w:p>
    <w:p>
      <w:pPr>
        <w:spacing w:after="0" w:line="72" w:lineRule="exact"/>
        <w:rPr>
          <w:sz w:val="20"/>
          <w:szCs w:val="20"/>
          <w:color w:val="auto"/>
        </w:rPr>
      </w:pPr>
    </w:p>
    <w:p>
      <w:pPr>
        <w:ind w:left="120" w:right="280"/>
        <w:spacing w:after="0" w:line="266" w:lineRule="auto"/>
        <w:rPr>
          <w:sz w:val="20"/>
          <w:szCs w:val="20"/>
          <w:color w:val="auto"/>
        </w:rPr>
      </w:pPr>
      <w:r>
        <w:rPr>
          <w:rFonts w:ascii="Arial" w:cs="Arial" w:eastAsia="Arial" w:hAnsi="Arial"/>
          <w:sz w:val="17"/>
          <w:szCs w:val="17"/>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radioactive and biological materials. Our operations also produce hazardous waste products. We generally contract with third parties for the disposal of</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these materials and wastes. We cannot eliminate the risk of contamination, discharge or injury from these materials. In the event of contamination, discharge or injury resulting from our use of hazardous materials, we could be held liable for any resulting damages, and any liability could exceed our resources, including any available insurance. We could be subject to civil damages and criminal penalties in the event of an improper or unauthorized release of, or exposure of individuals to, hazardous materials. Further, it is possible that the materials we use could contaminate another party’s property. In addition, claimants may sue us for injury or contamination that results from our use or the use by third parties of these materials, and our liability may exceed our total assets and our ability to pay the liability.</w:t>
      </w:r>
    </w:p>
    <w:p>
      <w:pPr>
        <w:spacing w:after="0" w:line="111" w:lineRule="exact"/>
        <w:rPr>
          <w:sz w:val="20"/>
          <w:szCs w:val="20"/>
          <w:color w:val="auto"/>
        </w:rPr>
      </w:pPr>
    </w:p>
    <w:p>
      <w:pPr>
        <w:ind w:left="120" w:right="340"/>
        <w:spacing w:after="0" w:line="244" w:lineRule="auto"/>
        <w:rPr>
          <w:sz w:val="20"/>
          <w:szCs w:val="20"/>
          <w:color w:val="auto"/>
        </w:rPr>
      </w:pPr>
      <w:r>
        <w:rPr>
          <w:rFonts w:ascii="Arial" w:cs="Arial" w:eastAsia="Arial" w:hAnsi="Arial"/>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0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93"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including claims that may arise from pollution from chemical, radioactive or biological materials, or toxic tort claims that may be asserted against us in connection with our storage or disposal of biological, hazardous or radioactive materials. Our partners may also be working with various types of hazardous materials in connection with our collaborations.</w:t>
      </w:r>
    </w:p>
    <w:p>
      <w:pPr>
        <w:spacing w:after="0" w:line="1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86" w:lineRule="exact"/>
        <w:rPr>
          <w:sz w:val="20"/>
          <w:szCs w:val="20"/>
          <w:color w:val="auto"/>
        </w:rPr>
      </w:pPr>
    </w:p>
    <w:p>
      <w:pPr>
        <w:ind w:left="120" w:right="340"/>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58"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and expect to continue to have direct or indirect interactions with officials and employees of government agencies or government-affiliated hospitals, universities and other organizations. We also expect our non-U.S. activities, including those in China, to increase over time. We expect to continue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03" w:lineRule="exact"/>
        <w:rPr>
          <w:sz w:val="20"/>
          <w:szCs w:val="20"/>
          <w:color w:val="auto"/>
        </w:rPr>
      </w:pPr>
    </w:p>
    <w:p>
      <w:pPr>
        <w:ind w:left="120" w:right="40"/>
        <w:spacing w:after="0" w:line="249" w:lineRule="auto"/>
        <w:rPr>
          <w:sz w:val="20"/>
          <w:szCs w:val="20"/>
          <w:color w:val="auto"/>
        </w:rPr>
      </w:pPr>
      <w:r>
        <w:rPr>
          <w:rFonts w:ascii="Arial" w:cs="Arial" w:eastAsia="Arial" w:hAnsi="Arial"/>
          <w:sz w:val="18"/>
          <w:szCs w:val="18"/>
          <w:b w:val="1"/>
          <w:bCs w:val="1"/>
          <w:i w:val="1"/>
          <w:iCs w:val="1"/>
          <w:color w:val="auto"/>
        </w:rPr>
        <w:t>We are, and may in the future be,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98"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In the ordinary course of business, we collect, receive, store, generate, use, transfer, disclose, make accessible, protect, secure, dispose of, transmit, share and otherwise process (which we refer to as process or processing) certain personal information and other sensitive information, including our proprietary and confidential business data, trade secrets, employee data, intellectual property, data we or our CROs collect about trial participants in connection with clinical trials, and other sensitive data. The global data protection landscape is rapidly evolving and we are and may increasingly become subject to numerous data privacy and security obligations, such as various state, federal and foreign laws, regulations, guidance, directives, industry standards, external and internal privacy and security policies, contractual requirements and other obligations that govern the processing of sensitive or confidential information by us and on our behalf, and we may be subject to new or additional data protection laws and regulations and face increased scrutiny from regulators as our business grows. The legislative and regulatory landscape for data privacy and security continues to evolve in jurisdictions worldwide, and there has been an increasing focus on these issues with the potential to affect our business, financial condition, results of operations and prospects.</w:t>
      </w:r>
    </w:p>
    <w:p>
      <w:pPr>
        <w:spacing w:after="0" w:line="1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Various federal, state, local and foreign legislative and regulatory bodies, or self-regulatory organizations, may expand current laws, rules or regulations, enact new laws, rules or regulations or issue revised rules or guidance regarding data privacy and security that could result in regulatory investigations, fines or injunctions, as well as civil claims including class actions, and reputational damage. Implementation standards, interpretation,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or external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spacing w:after="0" w:line="115"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In the United States, federal, state, and local governments have enacted numerous data privacy and security laws, including data breach notification laws, data privacy laws, and other similar laws. For example, all 50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HIPAA, as amended by HITECH, imposes among other things, certain requirements relating to the privacy, security, transmission, and breach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Certain states have also adopted comparable privacy and security laws and regulations, which govern the processing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(as amended by the California Privacy Rights Act of 2020), or CCPA, imposes obligations on businesses that meet certain thresholds that process the personal information of California residents (including employees based in California). These obligations include, but are not limited to, providing specific disclosures in privacy notices and affording California residents certain rights related to their personal information, which includes a private right of action for certain data breaches. Although the CCPA exempts some data processed in the context of clinical trials, the CCPA could increase compliance costs and potential liability. The 2020 amendments to the CCPA also created the California Privacy Protection Agency, a new enforcement agency whose sole responsibility is to enforce the CCPA and is empowered to create new CCPA regulations. Other states, such as Virginia, Indiana, Oregon, Texas, Tennessee, Montana, Iowa, Delaware, Connecticut, Utah, Washington and Colorado, have also passed comprehensive privacy laws, and similar laws are being considered in several other states, as well as at the federal and local levels. In addition to government activity and private rights of actions provided by some of the state privacy laws, privacy advocacy groups and technology and other industries are considering various new, additional or different self-regulatory standards that may place additional burdens on us.</w:t>
      </w:r>
    </w:p>
    <w:p>
      <w:pPr>
        <w:spacing w:after="0" w:line="12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 xml:space="preserve">Around the world, many countries have privacy and data protection laws that create potentially complex compliance issues for us, our future customers, and strategic partners. For example, outside the United States, the EU’s General Data Protection Regulation, or EU GDPR, and the United Kingdom’s GDPR, or UK GDPR, impose strict requirements for processing the personal data of individuals. For example, under the EU GDPR, government regulators may impose temporary or definitive bans on data processing, as well as fines of up to </w:t>
      </w:r>
      <w:r>
        <w:rPr>
          <w:rFonts w:ascii="Times New Roman" w:cs="Times New Roman" w:eastAsia="Times New Roman" w:hAnsi="Times New Roman"/>
          <w:sz w:val="18"/>
          <w:szCs w:val="18"/>
          <w:color w:val="auto"/>
        </w:rPr>
        <w:t>€</w:t>
      </w:r>
      <w:r>
        <w:rPr>
          <w:rFonts w:ascii="Arial" w:cs="Arial" w:eastAsia="Arial" w:hAnsi="Arial"/>
          <w:sz w:val="18"/>
          <w:szCs w:val="18"/>
          <w:color w:val="auto"/>
        </w:rPr>
        <w:t>20 million or 4% of annual global revenue, whichever is greater. Such fines would be in addition to (i) the rights of individuals to sue for damages in respect of any data privacy breach which causes them to suffer harm, (ii) the right of individual member states to impose additional sanctions over and above the administrative fines specified in the GDPR and (iii) the ability of supervisory authorities to impose orders requiring companies to modify their practices. If we are found not to be compliant with the GDPR or similar requirements, we may be subject to significant fines and the risk of civil litigation. Among other requirements, the GDPR and UK GDPR (and certain other foreign jurisdictions) regulate the cross-border transfer of personal data, which could make it more difficult to transfer information across jurisdictions (such as transferring or receiving personal data that originates in the EU or the United Kingdom to countries such as the United States which are not considered by the EU or United Kingdom to provide adequate protection of personal data). In October 2022, the EU-U.S. Data Privacy Framework, or EU-U.S. DPF, was implemented, and the European Commission adopted an adequacy decision on July 10, 2023 that set conditions for personal data transfers from the EU to certified companies in the United States without additional safeguards in place. However, this decision will likely face legal challenges and ultimately may be invalidated by the Court of Justice of the EU. On October 12, 2023, a UK-U.S. Data Bridge came into force to operate as an extension of the EU-U.S. DPF to facilitate transfers of personal data between the United Kingdom and certified entities in the United States. Such Data Bridge could not only be challenged, but also may be affected by any challenges to the EU-U.S. DPF. Furthermore, in June 2021, the European Commission adopted new standard contractual clauses under the GDPR for transfers of personal data outside the European Economic Area to countries that the European Commission has not deemed to provide an adequate level of protection for such personal data. While we strive to adhere to all requirements to transfer information across jurisdictions using safeguards endorsed by government guidance (such as using the Standard Contractual Clauses approved by the European Commission), we must still adapt to changing guidance and will follow any anticipated litigation closely. As the regulatory guidance and enforcement landscape in relation to data transfers continue to develop, we could suffer additional costs, complaints and/or regulatory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investigations or fines; we may have to stop using certain tools and vendors and make other operational changes; we may have to implement revised standard contractual clauses for existing arrangements within required time frames; and/or it could adversely affect our business, financial condition, results of operations and prospects.</w:t>
      </w:r>
    </w:p>
    <w:p>
      <w:pPr>
        <w:spacing w:after="0" w:line="10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Any such changes in the law related to the use of personal information or data could compromise our ability to develop an adequate marketing strategy and pursue our growth strategy effectively or even prevent us from providing certain products in jurisdictions in which we currently operate or may operate in the future. Complying with these numerous, complex, conflicting, and often changing regulations is expensive and difficult, and failure to comply with any data privacy or security laws, whether by us, one of our CROs, CMOs, partners or another third party, which may adversely affect our business, financial condition, results of operations and prospects., financial condition, results of operations and prospects,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spacing w:after="0" w:line="116"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In addition to data privacy and security laws, we are also bound by other contractual obligations related to data privacy and security that could prove to be more burdensome as laws and regulations evolve. We may also be contractually required to indemnify and hold harmless third parties from the costs or consequences of non-compliance with any laws, rules and regulations or other legal obligations relating to privacy or any inadvertent or unauthorized use or disclosure of data that we store or handle as part of operating our business. Any of these events could adversely affect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spacing w:after="0" w:line="9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cannot assure you that our CROs, CMOs or other third-party service providers with access to our or our suppliers’, manufacturers’, clinical trial participants’ and employees’ sensitive information in relation to which we are responsible will not breach contractual obligations imposed by us, or that they will not experience data security incidents, which could have a corresponding effect on our business, including putting us in breach of our obligations under privacy laws and regulations and/or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of such information. Any of the foregoing could adversely affect our business, financial condition, results of operations and prospects.</w:t>
      </w:r>
    </w:p>
    <w:p>
      <w:pPr>
        <w:spacing w:after="0" w:line="11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Although we endeavor to comply with our public statements and documentation regarding our handling of personal information, we may at times fail to do so or be perceived to have failed to do so. Our publication of our privacy policies and other statements we publish that provide promises and assurances about privacy and security can subject us to potential state and federal action if they are found to be deceptive, unfair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or transfer of personal information or other data, may result in enforcement actions and prosecutions, private litigation, significant fines, penalties and censure, claims for damages by customers and other affected individuals, regulatory inquiries and investigations or adverse publicity and could cause our customers to lose trust in us, any of which could adversely affect our business, financial condition, results of operations and prospects.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commercialization of our therapeutic candidates</w:t>
      </w:r>
    </w:p>
    <w:p>
      <w:pPr>
        <w:spacing w:after="0" w:line="150" w:lineRule="exact"/>
        <w:rPr>
          <w:sz w:val="20"/>
          <w:szCs w:val="20"/>
          <w:color w:val="auto"/>
        </w:rPr>
      </w:pPr>
    </w:p>
    <w:p>
      <w:pPr>
        <w:jc w:val="both"/>
        <w:ind w:left="120" w:right="140"/>
        <w:spacing w:after="0" w:line="24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there is a possibility that our competitors may achieve regulatory approval before us or develop therapies or technologies that are more advanced or effective than ours, which may harm our business and financial condition, and our ability to successfully market or commercialize our therapeutic candidates.</w:t>
      </w:r>
    </w:p>
    <w:p>
      <w:pPr>
        <w:spacing w:after="0" w:line="98"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The pharmaceutical and biotechnology industries are characterized by rapidly advancing technologies, intense competition and a strong emphasis on intellectual property. While we believe that our platform and our knowledge, experience and scientific resources provide us with competitive advantages, we face potential competition from major pharmaceutical and biotechnology companies, academic institutions, government agencies and private and public research institutions, among others.</w:t>
      </w:r>
    </w:p>
    <w:p>
      <w:pPr>
        <w:spacing w:after="0" w:line="93"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Any therapeutic candidates that we or our partners successfully develop and commercialize may compete with existing therapies and new therapies that may become available in the future that are approved to treat the same indications for which we or they may obtain approval for our therapeutic candidates. It is also possible that we or our partners may face competition from other pharmaceutical approaches as well as other types of therapies. The key competitive factors affecting the success of all our programs, if approved, include, but are not limited to their efficacy, safety, convenience, adoption by prescribers, price, level of generic competition, and availability of reimbursement.</w:t>
      </w:r>
    </w:p>
    <w:p>
      <w:pPr>
        <w:spacing w:after="0" w:line="98"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We may face competition from companies developing therapies for CKD and related nephropathies, including but not limited to established therapies including renin-angiotensin-aldosterone system, or RAAS, inhibitors, SGLT2 inhibitors and glucagon-like peptide 1, or GLP-1 agonists, as well as novel mechanisms such as therapies being developed by various companies targeting different pathways implicated in CKD progression.</w:t>
      </w:r>
    </w:p>
    <w:p>
      <w:pPr>
        <w:spacing w:after="0" w:line="106"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While there are currently no approved therapies for APOL1 kidney disease, or AKD, we are aware of companies advancing therapeutic candidates in clinical trials that target APOL1, such as inaxaplin, which is in a Phase 3 clinical trial.</w:t>
      </w:r>
    </w:p>
    <w:p>
      <w:pPr>
        <w:spacing w:after="0" w:line="73"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Our second most advanced lead program, MZE782, is a small molecule targeting SLC6A19, a novel target in CKD. While there are no currently approved therapies directly modulating SLC6A19, we may face competition from other companies pursuing programs targeting SLC6A19 or alternative approaches for renal indications.</w:t>
      </w:r>
    </w:p>
    <w:p>
      <w:pPr>
        <w:spacing w:after="0" w:line="101"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spacing w:after="0" w:line="117" w:lineRule="exact"/>
        <w:rPr>
          <w:sz w:val="20"/>
          <w:szCs w:val="20"/>
          <w:color w:val="auto"/>
        </w:rPr>
      </w:pPr>
    </w:p>
    <w:p>
      <w:pPr>
        <w:jc w:val="both"/>
        <w:ind w:left="120" w:right="340"/>
        <w:spacing w:after="0" w:line="244" w:lineRule="auto"/>
        <w:rPr>
          <w:sz w:val="20"/>
          <w:szCs w:val="20"/>
          <w:color w:val="auto"/>
        </w:rPr>
      </w:pPr>
      <w:r>
        <w:rPr>
          <w:rFonts w:ascii="Arial" w:cs="Arial" w:eastAsia="Arial" w:hAnsi="Arial"/>
          <w:sz w:val="18"/>
          <w:szCs w:val="18"/>
          <w:color w:val="auto"/>
        </w:rPr>
        <w:t>Further, precision medicine is a rapidly developing field, with increasing usage within the pharmaceutical and biotechnology industry of machine learning and AI technologies to analyze genetic data. While we believe our Compass platform has advantages over potential competitors based on our experience in variant functionalization, our access to genetic databases, and the length of time that we have been engaged in developing precision medicine, other companies may have greater resources or the ability to acquire more advanced technology to identify targets and may acquire access to the same genetic data that we utilize. We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may not be able to keep up with the pace of innovation that is occurring in our field, and we may face increasing competition in developing precision medicines.</w:t>
      </w:r>
    </w:p>
    <w:p>
      <w:pPr>
        <w:spacing w:after="0" w:line="86"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w:t>
      </w:r>
    </w:p>
    <w:p>
      <w:pPr>
        <w:spacing w:after="0" w:line="108" w:lineRule="exact"/>
        <w:rPr>
          <w:sz w:val="20"/>
          <w:szCs w:val="20"/>
          <w:color w:val="auto"/>
        </w:rPr>
      </w:pPr>
    </w:p>
    <w:p>
      <w:pPr>
        <w:ind w:left="120" w:right="760"/>
        <w:spacing w:after="0" w:line="278" w:lineRule="auto"/>
        <w:rPr>
          <w:sz w:val="20"/>
          <w:szCs w:val="20"/>
          <w:color w:val="auto"/>
        </w:rPr>
      </w:pPr>
      <w:r>
        <w:rPr>
          <w:rFonts w:ascii="Arial" w:cs="Arial" w:eastAsia="Arial" w:hAnsi="Arial"/>
          <w:sz w:val="18"/>
          <w:szCs w:val="18"/>
          <w:b w:val="1"/>
          <w:bCs w:val="1"/>
          <w:i w:val="1"/>
          <w:iCs w:val="1"/>
          <w:color w:val="auto"/>
        </w:rPr>
        <w:t>Even if our Compass platform is effective as a research tool, we may be unable to develop or commercialize new drugs, therapies or other products based on discoveries from our Compass platform.</w:t>
      </w:r>
    </w:p>
    <w:p>
      <w:pPr>
        <w:spacing w:after="0" w:line="58"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Even if our Compass platform performs its intended functions, we may be unable to use the discoveries resulting from the platform to produce new therapies. Despite recent scientific advances in the life sciences and our improved understanding of biology, the roles of genes and proteins and their involvement in diseases and in other life processes is not well understood. Therefore, notwithstanding any potential promising results in earlier studies or clinical trials, we may face significant setbacks in current or future studies or clinical trials. If we are unable to use our platform discoveries platform to develop and market new drugs or therapies, our business may fail or we may never become profitable.</w:t>
      </w:r>
    </w:p>
    <w:p>
      <w:pPr>
        <w:spacing w:after="0" w:line="113" w:lineRule="exact"/>
        <w:rPr>
          <w:sz w:val="20"/>
          <w:szCs w:val="20"/>
          <w:color w:val="auto"/>
        </w:rPr>
      </w:pPr>
    </w:p>
    <w:p>
      <w:pPr>
        <w:ind w:left="120" w:right="60"/>
        <w:spacing w:after="0" w:line="278" w:lineRule="auto"/>
        <w:rPr>
          <w:sz w:val="20"/>
          <w:szCs w:val="20"/>
          <w:color w:val="auto"/>
        </w:rPr>
      </w:pPr>
      <w:r>
        <w:rPr>
          <w:rFonts w:ascii="Arial" w:cs="Arial" w:eastAsia="Arial" w:hAnsi="Arial"/>
          <w:sz w:val="18"/>
          <w:szCs w:val="18"/>
          <w:b w:val="1"/>
          <w:bCs w:val="1"/>
          <w:i w:val="1"/>
          <w:iCs w:val="1"/>
          <w:color w:val="auto"/>
        </w:rPr>
        <w:t>We, or the third parties we rely on, may be unable to develop the diagnostic tests or clinical assays to successfully advance our therapeutic candidates through clinical trials or commercialization.</w:t>
      </w:r>
    </w:p>
    <w:p>
      <w:pPr>
        <w:spacing w:after="0" w:line="7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Some or all of our therapeutic candidates may require companion diagnostic tests for clinical trials or commercialization. If we are unable to successfully develop the applicable companion diagnostic tests, experience significant delays in doing so, or rely on third parties in the development of such companion diagnostic tests, or if we are required by the FDA to obtain approval of a companion diagnostic test in connection with approval of any of our therapeutic candidates, and we do not obtain or face delays in obtaining FDA approval of a companion diagnostic test, the full commercial potential of our therapeutic candidates and our ability to generate revenue will be materially impaired.</w:t>
      </w:r>
    </w:p>
    <w:p>
      <w:pPr>
        <w:spacing w:after="0" w:line="98"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Our approach to drug discovery and developing therapeutic candidates relies on human genetics and functional genomics to identify targets for therapeutic intervention as well as predictive biomarkers to evaluate the effects of our therapeutic candidates. For those therapeutic candidates that advance to clinical trials, predictive biomarkers, such as a specific genetic screen, may become necessary for subject selection and thus may require the incorporation of a diagnostic test, or companion diagnostic, into our clinical trial design. If required, we may engage one or more third-party partners to co-develop the necessary companion diagnostic.</w:t>
      </w:r>
    </w:p>
    <w:p>
      <w:pPr>
        <w:spacing w:after="0" w:line="10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If safe and effective use of any of our therapeutic candidates depends on a companion diagnostic test, then the FDA generally will require approval or clearance of that companion diagnostic, before or at the same time that the FDA approves our therapeutic candidates,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In the past, FDA has issued guidance on the development of companion diagnostics generally as well as for specific disease categories. We will continue to evaluate the impact of FDA guidance on our companion diagnostic development and strategy. This guidance and any future guidance or policies from the FDA and other regulatory authorities may impact our development of a companion diagnostic for our therapeutic candidates and result in delays in regulatory approval. We may be required to conduct additional studies or clinical trials to support a broader claim. Also, to the extent other approved diagnostics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financial condition, results of operations and prospects.</w:t>
      </w:r>
    </w:p>
    <w:p>
      <w:pPr>
        <w:spacing w:after="0" w:line="101"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We expect to rely on third parties for the design, development and manufacture of companion diagnostic tests for our therapeutic candidates that require such tests. If the FDA, EMA or a comparable regulatory authority requires approval of a companion diagnostic for any of our therapeutic candidates, whether before or after the therapeutic candidate obtains marketing approval, we, and/or future partners, may encounter difficulties in developing and obtaining approval for such therapeutic candidate. If we or our third-party partners experience any delay in developing or obtaining regulatory approval of a companion diagnostic, we may be unable to enroll enough patients in future clinical trials, the development of our therapeutic candidates may be adversely affected or we may not obtain marketing approval, and we may not realize the full commercial potential of our therapeutic candidates.</w:t>
      </w:r>
    </w:p>
    <w:p>
      <w:pPr>
        <w:spacing w:after="0" w:line="119" w:lineRule="exact"/>
        <w:rPr>
          <w:sz w:val="20"/>
          <w:szCs w:val="20"/>
          <w:color w:val="auto"/>
        </w:rPr>
      </w:pPr>
    </w:p>
    <w:p>
      <w:pPr>
        <w:ind w:left="120" w:right="40"/>
        <w:spacing w:after="0" w:line="24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84"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biopharmaceutical products. To achieve commercial success for any therapeutic candidate for which we obtain marketing approval, we will need to establish sales, marketing and distribution capabilities, either by ourselves or through collaboration or other arrangements with third parties.</w:t>
      </w:r>
    </w:p>
    <w:p>
      <w:pPr>
        <w:spacing w:after="0" w:line="84" w:lineRule="exact"/>
        <w:rPr>
          <w:sz w:val="20"/>
          <w:szCs w:val="20"/>
          <w:color w:val="auto"/>
        </w:rPr>
      </w:pPr>
    </w:p>
    <w:p>
      <w:pPr>
        <w:ind w:left="120" w:right="260"/>
        <w:spacing w:after="0" w:line="244" w:lineRule="auto"/>
        <w:rPr>
          <w:sz w:val="20"/>
          <w:szCs w:val="20"/>
          <w:color w:val="auto"/>
        </w:rPr>
      </w:pPr>
      <w:r>
        <w:rPr>
          <w:rFonts w:ascii="Arial" w:cs="Arial" w:eastAsia="Arial" w:hAnsi="Arial"/>
          <w:sz w:val="18"/>
          <w:szCs w:val="18"/>
          <w:color w:val="auto"/>
        </w:rPr>
        <w:t>There are risks involved with establishing our own sales and marketing capabilities. For example, recruiting and training a sales force is expensive and time-consuming and could delay any product launch. If the commercial launch of a therapeutic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Factors that may inhibit our efforts to commercialize our products on our own include, but not limited to:</w:t>
      </w:r>
    </w:p>
    <w:p>
      <w:pPr>
        <w:spacing w:after="0" w:line="144" w:lineRule="exact"/>
        <w:rPr>
          <w:sz w:val="20"/>
          <w:szCs w:val="20"/>
          <w:color w:val="auto"/>
        </w:rPr>
      </w:pPr>
    </w:p>
    <w:p>
      <w:pPr>
        <w:ind w:left="340" w:right="520" w:hanging="224"/>
        <w:spacing w:after="0" w:line="27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reimbursement, customer service, medical affairs, and other support personnel;</w:t>
      </w:r>
    </w:p>
    <w:p>
      <w:pPr>
        <w:spacing w:after="0" w:line="86" w:lineRule="exact"/>
        <w:rPr>
          <w:rFonts w:ascii="Arial" w:cs="Arial" w:eastAsia="Arial" w:hAnsi="Arial"/>
          <w:sz w:val="18"/>
          <w:szCs w:val="18"/>
          <w:color w:val="auto"/>
        </w:rPr>
      </w:pPr>
    </w:p>
    <w:p>
      <w:pPr>
        <w:ind w:left="340" w:right="580" w:hanging="224"/>
        <w:spacing w:after="0" w:line="27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3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If we are unable to establish our own sales and marketing capabilities, our revenue from product sales and our profitability, if any, are likely to be lower than if we ourselves were to market and sell any products that we develop. In addition, we may not be successful in entering into arrangements with third parties to market and sell our therapeutic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therapeutic candidates.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Even if any of our therapeutic candidates receives marketing approval, it may fail to achieve the degree of market acceptance by physicians, patients, third-party payors and others in the medical community necessary for commercial success.</w:t>
      </w:r>
    </w:p>
    <w:p>
      <w:pPr>
        <w:spacing w:after="0" w:line="72"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If any of our therapeutic candidates receives marketing approval, it may nonetheless fail to gain sufficient market acceptance by physicians, patients, third-party payors and others in the medical community necessary for commercial success. If our therapeutic candidates do not achieve an adequate level of acceptance, we may not generate significant product revenues and we may not become profitable. The degree of market acceptance of our therapeutic candidates, if approved for commercial sale, will depend on a number of factors, including:</w:t>
      </w:r>
    </w:p>
    <w:p>
      <w:pPr>
        <w:spacing w:after="0" w:line="109" w:lineRule="exact"/>
        <w:rPr>
          <w:sz w:val="20"/>
          <w:szCs w:val="20"/>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acceptance of our therapeutic candidates as front-line treatment for various indications;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therapeutic candidates by the FDA;</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for our therapeutic candidates and alternative treatments;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distribution and/or use restrictions, such as through a REMS;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third-party payor coverage, adequate reimbursement and favorable pricing policies;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any required marketing approval;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support from patient advocacy groups;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144"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Even if our therapeutic candidates were to display a favorable efficacy and safety profile in preclinical studies and clinical trials, market acceptance of such therapeutic candidates will not be fully known until after they are launched.</w:t>
      </w:r>
    </w:p>
    <w:p>
      <w:pPr>
        <w:spacing w:after="0" w:line="75" w:lineRule="exact"/>
        <w:rPr>
          <w:sz w:val="20"/>
          <w:szCs w:val="20"/>
          <w:color w:val="auto"/>
        </w:rPr>
      </w:pPr>
    </w:p>
    <w:p>
      <w:pPr>
        <w:ind w:left="120" w:right="820"/>
        <w:spacing w:after="0" w:line="278"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therapeutic candidates that we may develop alone or with partners.</w:t>
      </w:r>
    </w:p>
    <w:p>
      <w:pPr>
        <w:spacing w:after="0" w:line="72"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Clinical development does not always fully characterize the safety and efficacy profile of a new medicine, and it is always possible that a drug or biologic, even after regulatory approval, may exhibit unforeseen side effects. We face an inherent risk of product liability exposure related to the testing of our therapeutic candidates in human clinical trials and will face an even greater risk if we commercialize any products that we may develop. If we cannot successfully defend ourselves against any claims that our therapeutic candidates caused injuries, we will incur substantial liabilities. Regardless of merit or eventual outcome, liability claims may result in:</w:t>
      </w:r>
    </w:p>
    <w:p>
      <w:pPr>
        <w:spacing w:after="0" w:line="109" w:lineRule="exact"/>
        <w:rPr>
          <w:sz w:val="20"/>
          <w:szCs w:val="20"/>
          <w:color w:val="auto"/>
        </w:rPr>
      </w:pPr>
    </w:p>
    <w:p>
      <w:pPr>
        <w:ind w:left="5520" w:right="5000" w:hanging="5404"/>
        <w:spacing w:after="0" w:line="362" w:lineRule="auto"/>
        <w:tabs>
          <w:tab w:leader="none" w:pos="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decreased demand for any therapeutic candidates that we may develop; 48</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44"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As a clinical-stage company, we currently hold product liability insurance coverage for our clinical trials.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could adversely affect our business, financial condition, results of operations and prospects.</w:t>
      </w:r>
    </w:p>
    <w:p>
      <w:pPr>
        <w:spacing w:after="0" w:line="108" w:lineRule="exact"/>
        <w:rPr>
          <w:sz w:val="20"/>
          <w:szCs w:val="20"/>
          <w:color w:val="auto"/>
        </w:rPr>
      </w:pPr>
    </w:p>
    <w:p>
      <w:pPr>
        <w:ind w:left="120" w:right="180"/>
        <w:spacing w:after="0" w:line="278" w:lineRule="auto"/>
        <w:rPr>
          <w:sz w:val="20"/>
          <w:szCs w:val="20"/>
          <w:color w:val="auto"/>
        </w:rPr>
      </w:pPr>
      <w:r>
        <w:rPr>
          <w:rFonts w:ascii="Arial" w:cs="Arial" w:eastAsia="Arial" w:hAnsi="Arial"/>
          <w:sz w:val="18"/>
          <w:szCs w:val="18"/>
          <w:b w:val="1"/>
          <w:bCs w:val="1"/>
          <w:i w:val="1"/>
          <w:iCs w:val="1"/>
          <w:color w:val="auto"/>
        </w:rPr>
        <w:t>Our estimated market opportunities for our therapeutic candidates are subject to numerous uncertainties and may prove to be inaccurate. If we have overestimated the size of our market opportunities, our future growth may be limited.</w:t>
      </w:r>
    </w:p>
    <w:p>
      <w:pPr>
        <w:spacing w:after="0" w:line="5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estimated addressable markets and market opportunities for our therapeutic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particularly given the relatively early stage of our therapeutic candidates.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prospectus. If this third-party or internally generated data prove to be inaccurate or if we make errors in our assumptions based on that data, or if the facts underlying our assumptions change over time, our actual market may be more limited than we estimate it to be. In addition, these inaccuracies or errors may cause us to misallocate capital and other critical business resources, which could harm our business. The estimates of our market opportunities included in this prospectus should not be taken as indicative of our ability to grow our business.</w:t>
      </w:r>
    </w:p>
    <w:p>
      <w:pPr>
        <w:spacing w:after="0" w:line="115"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Moreover, prices for novel approved treatments must often be set high in order to recover the sponsor’s development and manufacturing costs, fund additional research and achieve profitability, and we may be unable to obtain the price necessary to achieve these things. We may also need to fund patient support programs upon the marketing of a therapeutic candidate, which would negatively affect the revenue of a therapeutic candidate. We may be unable to maintain or obtain sufficient therapy sales volumes at a price high enough to justify our development efforts and our sales, marketing and manufacturing expenses.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business operations</w:t>
      </w:r>
    </w:p>
    <w:p>
      <w:pPr>
        <w:spacing w:after="0" w:line="150" w:lineRule="exact"/>
        <w:rPr>
          <w:sz w:val="20"/>
          <w:szCs w:val="20"/>
          <w:color w:val="auto"/>
        </w:rPr>
      </w:pPr>
    </w:p>
    <w:p>
      <w:pPr>
        <w:ind w:left="120" w:right="300"/>
        <w:spacing w:after="0" w:line="278"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to engage advisors and consultants and to attract, retain and motivate qualified personnel.</w:t>
      </w:r>
    </w:p>
    <w:p>
      <w:pPr>
        <w:spacing w:after="0" w:line="72" w:lineRule="exact"/>
        <w:rPr>
          <w:sz w:val="20"/>
          <w:szCs w:val="20"/>
          <w:color w:val="auto"/>
        </w:rPr>
      </w:pPr>
    </w:p>
    <w:p>
      <w:pPr>
        <w:jc w:val="both"/>
        <w:ind w:left="120" w:right="80"/>
        <w:spacing w:after="0" w:line="261"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our scientific founders who are leading researchers in genetics and bioinformatics,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85"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and we may be required to expend significant financial resources in our employee recruitment and retention efforts. Many pharmaceutical companies with whom we compete for qualified personnel have greater financial and other resources, different risk profiles and longer operating histories in the industry than we do. They also may provide candidates with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13"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In addition, we have scientific and clinical advisors and consultants who assist us in formulating our development and clinical strategies. These advisors and consultants are not our employees and may have commitments to, or consulting or advisory contracts with, other entities that may limit their availability to us. In addition, our advisors and consultants may have arrangements with other companies to assist those companies in developing products or technologies that may compete with ours.</w:t>
      </w:r>
    </w:p>
    <w:p>
      <w:pPr>
        <w:spacing w:after="0" w:line="108" w:lineRule="exact"/>
        <w:rPr>
          <w:sz w:val="20"/>
          <w:szCs w:val="20"/>
          <w:color w:val="auto"/>
        </w:rPr>
      </w:pPr>
    </w:p>
    <w:p>
      <w:pPr>
        <w:ind w:left="120" w:right="380"/>
        <w:spacing w:after="0" w:line="278" w:lineRule="auto"/>
        <w:rPr>
          <w:sz w:val="20"/>
          <w:szCs w:val="20"/>
          <w:color w:val="auto"/>
        </w:rPr>
      </w:pPr>
      <w:r>
        <w:rPr>
          <w:rFonts w:ascii="Arial" w:cs="Arial" w:eastAsia="Arial" w:hAnsi="Arial"/>
          <w:sz w:val="18"/>
          <w:szCs w:val="18"/>
          <w:b w:val="1"/>
          <w:bCs w:val="1"/>
          <w:i w:val="1"/>
          <w:iCs w:val="1"/>
          <w:color w:val="auto"/>
        </w:rPr>
        <w:t>We will need to grow our organization, and we may experience difficulties in managing this growth, which could disrupt our operations.</w:t>
      </w:r>
    </w:p>
    <w:p>
      <w:pPr>
        <w:spacing w:after="0" w:line="5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As our development and commercialization plans and strategies develop, and as we transition into operating as a public company, we expect to expand our employee base for managerial, operational, financial and other resources. In addition, we have limited experience in clinical development and, as our therapeutic candidates enter and advance through preclinical studies and clinical trials, we will need to expand our development, regulatory and manufacturing capabilities or contract with other organizations to provide these capabilities for us. We have to manage additional relationships with partners, suppliers and other organizations as part of our ongoing and anticipated clinical trials, and we expect to continue to have to manage additional relationships with partners, suppliers and other organizations in the future.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In addition, we may need to expand our facilities, including laboratory operations, and may be unable to do so on commercially reasonable terms, or at all. Our inability to successfully manage our growth and expand our operations could have a material and adverse effect on our business, financial condition, results of operations and prospects.</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455" w:right="5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right="420"/>
        <w:spacing w:after="0" w:line="256" w:lineRule="auto"/>
        <w:rPr>
          <w:sz w:val="20"/>
          <w:szCs w:val="20"/>
          <w:color w:val="auto"/>
        </w:rPr>
      </w:pPr>
      <w:r>
        <w:rPr>
          <w:rFonts w:ascii="Arial" w:cs="Arial" w:eastAsia="Arial" w:hAnsi="Arial"/>
          <w:sz w:val="18"/>
          <w:szCs w:val="18"/>
          <w:b w:val="1"/>
          <w:bCs w:val="1"/>
          <w:i w:val="1"/>
          <w:iCs w:val="1"/>
          <w:color w:val="auto"/>
        </w:rPr>
        <w:t>Our current or future employees, clinical trial investigators, CROs, CMOs, consultants, vendors and partners may engage in misconduct or other improper activities, including non-compliance with regulatory requirements, violations of regulatory standards, and insider trading.</w:t>
      </w:r>
    </w:p>
    <w:p>
      <w:pPr>
        <w:spacing w:after="0" w:line="9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We are exposed to the risk of misconduct by our current or future employees, clinical trial investigators, CROs, CMOs, consultants, vendors and partners. Misconduct by these parties could include fraud or intentional, reckless and/or negligent conduct or disclosure of unauthorized activities to us that violates: (i) FDA regulations or those of comparable foreign regulatory agencies, (ii) manufacturing or clinical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 or improper or unauthorized use of AI or machine learnings tools that result in the disclosure of confidential information or reliance on inaccurate information.</w:t>
      </w:r>
    </w:p>
    <w:p>
      <w:pPr>
        <w:spacing w:after="0" w:line="116"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We have adopted a code of conduct applicable to all of our employees prior to completion of this offering,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laws or regulations. If any actions are instituted against us, and we are not successful in defending ourselves or asserting our rights, such actions could adversely affect our ability to operate our business and our results of operations, including the imposition of significant civil, criminal and administrative penalties, damages, fines, disgorgement, imprisonment, exclusion from government funded healthcare programs, contractual damages, reputational harm, diminished profits and future earnings, additional integrity reporting and oversight obligations, and the curtailment or restructuring of our operations.</w:t>
      </w:r>
    </w:p>
    <w:p>
      <w:pPr>
        <w:spacing w:after="0" w:line="104" w:lineRule="exact"/>
        <w:rPr>
          <w:sz w:val="20"/>
          <w:szCs w:val="20"/>
          <w:color w:val="auto"/>
        </w:rPr>
      </w:pPr>
    </w:p>
    <w:p>
      <w:pPr>
        <w:ind w:left="120" w:right="360"/>
        <w:spacing w:after="0" w:line="278" w:lineRule="auto"/>
        <w:rPr>
          <w:sz w:val="20"/>
          <w:szCs w:val="20"/>
          <w:color w:val="auto"/>
        </w:rPr>
      </w:pPr>
      <w:r>
        <w:rPr>
          <w:rFonts w:ascii="Arial" w:cs="Arial" w:eastAsia="Arial" w:hAnsi="Arial"/>
          <w:sz w:val="18"/>
          <w:szCs w:val="18"/>
          <w:b w:val="1"/>
          <w:bCs w:val="1"/>
          <w:i w:val="1"/>
          <w:iCs w:val="1"/>
          <w:color w:val="auto"/>
        </w:rPr>
        <w:t>Our business is dependent on the integrity of information technology systems and failure of such systems could disrupt our business.</w:t>
      </w:r>
    </w:p>
    <w:p>
      <w:pPr>
        <w:spacing w:after="0" w:line="7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Like most companies, we depend on the efficient and uninterrupted operation of our information technology and communications systems and those of our third-party vendors, contractors or consultants. Such systems may fail or suffer security breaches, cyberattacks, loss or leakage of data and other disruptions, which could cause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0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We, and third parties on whom we depend, are increasingly dependent on information technology systems, infrastructure and data to operate our and their businesses. In the ordinary course of business, we process confidential information (including but not limited to intellectual property, proprietary business data and patient data). It is critical that we do so in a secure manner to maintain the confidentiality and integrity of such confidential information. We also have outsourced elements of our information technology systems and operations to third parties, and as a result we rely on and manage a number of third-party vendors and other contractors and consultants who have access to and process our confidential information.</w:t>
      </w:r>
    </w:p>
    <w:p>
      <w:pPr>
        <w:spacing w:after="0" w:line="98"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Although we are still in the process of implementing our internal security controls, policies and other measures,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developing and deploying remedial measures and patches designed to address identified vulnerabilities. Despite the implementation of these security measures, our information technology systems and those of our third-party vendors and other contractors and consultants have been in the past and may be in the future potentially vulnerable to breakdown or other damage or interruption from service interruptions, system malfunction, accidents by our employees or third-party service providers, natural disasters, terrorism, war, global pandemics, and telecommunication and electrical failures. We may also experience security incidents from inadvertent or intentional actions by our employees, third-party vendors, contractors, consultants, business partners and/or other third parties, including theft, fraud or unauthorized access to or use of our information technology systems, or attack or damage from hacking, cyberattacks or supply chain attacks by malicious third parties and sophisticated nation-state and nation-state-supported actors (including the deployment of harmful computer viruses and malware, ransomware, denial or degradation-of-service attacks, phishing attacks and other social engineering and other means to affect service reliability and threaten the confidentiality, integrity and availability of information), which may compromise our system infrastructure, or that of our third-party vendors and other contractors and consultants, impede our ability to conduct business, delay our financial reporting or lead to data leakage.</w:t>
      </w:r>
    </w:p>
    <w:p>
      <w:pPr>
        <w:spacing w:after="0" w:line="11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While we have a security consultant provide annual assessments on our systems vulnerabilities, the risk of a security incident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Cyberattacks or security incidents could remain undetected for an extended period, which could potentially result in significant harm to our information technology systems, as well as unauthorized access to the information stored on and transmitted by our information technology systems. Even if identified, the full extent of a cyberattack or security incident may not be determined immediately and we may be unable to adequately investigate or remediate incidents or breaches due to attackers increasingly using tools and techniques that are designed to circumvent controls, to avoid detection, and to remove or obfuscate forensic evidence. Moreover, recovery of our information technology systems may be additionally hampered where we have outsourced the operation of information technology systems and information storage to third parties. Any breach, loss or compromise of confidential information may also subject us to liability, government enforcement actions (for example, investigations, fines, penalties, audits, and inspections); breach notification and additional reporting requirements and/or oversight; restrictions on processing sensitive information (including personal data); litigation (including class action litigation);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products, deter new customers from using our products, and negatively impact our ability to grow and operate our business. If the information technology systems of our third-party vendors and other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26"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Further,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Significant disruptions of our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or proprietary business information) and claims by our counterparties that we have failed to comply with legal or contractual obligations, which could result in financial, legal, business, and reputational harm to us.</w:t>
      </w:r>
    </w:p>
    <w:p>
      <w:pPr>
        <w:spacing w:after="0" w:line="109"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There can be no assurance that the limitations of liability in our contracts would be enforceable or adequate to protect us from liabilities and damage and we may not have adequate insurance coverage to cover losses, or all types of costs, expenses and losses, we could incur with respect to security breaches or disruptions.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19" w:lineRule="exact"/>
        <w:rPr>
          <w:sz w:val="20"/>
          <w:szCs w:val="20"/>
          <w:color w:val="auto"/>
        </w:rPr>
      </w:pPr>
    </w:p>
    <w:p>
      <w:pPr>
        <w:ind w:left="120" w:right="600"/>
        <w:spacing w:after="0" w:line="278" w:lineRule="auto"/>
        <w:rPr>
          <w:sz w:val="20"/>
          <w:szCs w:val="20"/>
          <w:color w:val="auto"/>
        </w:rPr>
      </w:pPr>
      <w:r>
        <w:rPr>
          <w:rFonts w:ascii="Arial" w:cs="Arial" w:eastAsia="Arial" w:hAnsi="Arial"/>
          <w:sz w:val="18"/>
          <w:szCs w:val="18"/>
          <w:b w:val="1"/>
          <w:bCs w:val="1"/>
          <w:i w:val="1"/>
          <w:iCs w:val="1"/>
          <w:color w:val="auto"/>
        </w:rPr>
        <w:t>We utilize third-party open source software, and any failure to comply with the terms of one or more of these open source software licenses could adversely affect our business, subject us to litigation, or create potential liability.</w:t>
      </w:r>
    </w:p>
    <w:p>
      <w:pPr>
        <w:spacing w:after="0" w:line="58" w:lineRule="exact"/>
        <w:rPr>
          <w:sz w:val="20"/>
          <w:szCs w:val="20"/>
          <w:color w:val="auto"/>
        </w:rPr>
      </w:pPr>
    </w:p>
    <w:p>
      <w:pPr>
        <w:jc w:val="both"/>
        <w:ind w:left="120" w:right="160"/>
        <w:spacing w:after="0" w:line="247" w:lineRule="auto"/>
        <w:rPr>
          <w:sz w:val="20"/>
          <w:szCs w:val="20"/>
          <w:color w:val="auto"/>
        </w:rPr>
      </w:pPr>
      <w:r>
        <w:rPr>
          <w:rFonts w:ascii="Arial" w:cs="Arial" w:eastAsia="Arial" w:hAnsi="Arial"/>
          <w:sz w:val="18"/>
          <w:szCs w:val="18"/>
          <w:color w:val="auto"/>
        </w:rPr>
        <w:t>Our Compass platform utilizes software licensed by third parties under any one or more open source licenses, including the Apache 2.0 License, MIT, BSD variants, and others, and we expect to continue to incorporate open source software in our business in the future. We cannot ensure that we have effectively monitored our use of open source software, or validated the quality or source of such software, or that we are in compliance with the terms of the applicable open source licenses or our current policies and procedures.</w:t>
      </w:r>
    </w:p>
    <w:p>
      <w:pPr>
        <w:spacing w:after="0" w:line="106"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Companies that incorporate open source software into their products have, from time to time, faced claims challenging the use of open source software and compliance with open source license terms. We could be subject to similar suits by parties claiming ownership of what we believe to be open source software or claiming non-compliance with open source licensing terms, which could result in litigation that may cause us to be required to disclose our proprietary source code based on our modifications of open source code, incur expenses and be liable for damages and such litigation could distract our personnel from their normal responsibilities.</w:t>
      </w:r>
    </w:p>
    <w:p>
      <w:pPr>
        <w:spacing w:after="0" w:line="1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Furthermore, there are an increasing number of open source software license types, almost none of which have been interpreted by U.S. or foreign courts, and there is a risk that such licenses to which we are subject to could be construed in a manner that imposes unanticipated conditions or restrictions on our ability to market or provide our products or services. If we are held to have breached or failed to fully comply with any of the terms and conditions of an open-source software license, we could face claims for breach of contract, intellectual property infringement or misappropriation or other liability, or be required to seek costly licenses from third parties that may not be available on commercially reasonable terms, or at all.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Compass platform, or otherwise be limited in the licensing of our Compass platform, each of which could reduce or eliminate the value of our Compass platform. Disclosing our proprietary source code could allow our competitors to create similar products with lower development effort and time, which would materially and adversely affect our business, financial condition, results of operations and prospects. Furthermore, any such re-engineering or other remedial efforts could require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significant additional research and development resources, and we may not be able to successfully complete any such re-engineering or other remedial efforts.</w:t>
      </w:r>
    </w:p>
    <w:p>
      <w:pPr>
        <w:spacing w:after="0" w:line="8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Further, in addition to risks related to license requirements, use of certain open source software carries greater technical and legal risks than does the use of third-party commercial software. For example, open source software is generally provided without any representations, indemnity, support or warranties or other contractual protections regarding infringement or the quality of the code, including the existence of security vulnerabilities.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 To the extent that our Compass platform depends upon the successful operation of open source software, any undetected errors or defects in open source software that we use could prevent the deployment or impair the functionality of our systems and injure our reputation. In addition, the public availability of such software may make it easier for others to compromise our Compass platform. Any of the foregoing risks could materially and adversely affect our business, financial condition and results of operations.</w:t>
      </w:r>
    </w:p>
    <w:p>
      <w:pPr>
        <w:spacing w:after="0" w:line="114" w:lineRule="exact"/>
        <w:rPr>
          <w:sz w:val="20"/>
          <w:szCs w:val="20"/>
          <w:color w:val="auto"/>
        </w:rPr>
      </w:pPr>
    </w:p>
    <w:p>
      <w:pPr>
        <w:ind w:left="120" w:right="160"/>
        <w:spacing w:after="0" w:line="249" w:lineRule="auto"/>
        <w:rPr>
          <w:sz w:val="20"/>
          <w:szCs w:val="20"/>
          <w:color w:val="auto"/>
        </w:rPr>
      </w:pPr>
      <w:r>
        <w:rPr>
          <w:rFonts w:ascii="Arial" w:cs="Arial" w:eastAsia="Arial" w:hAnsi="Arial"/>
          <w:sz w:val="18"/>
          <w:szCs w:val="18"/>
          <w:b w:val="1"/>
          <w:bCs w:val="1"/>
          <w:i w:val="1"/>
          <w:iCs w:val="1"/>
          <w:color w:val="auto"/>
        </w:rPr>
        <w:t>The use of new and evolving technologies, such as AI in our operations may require us to expend material resources and may present risks and challenges that can impact our business, including by posing security and other risks to our confidential information, proprietary information and personal information, any of which may result in reputational harm and liability, or otherwise adversely affect our business.</w:t>
      </w:r>
    </w:p>
    <w:p>
      <w:pPr>
        <w:spacing w:after="0" w:line="8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We incorporate AI solutions, including machine learning, into our Compass platform. There are significant risks involved in utilizing AI and no assurance can be provided that the usage of AI will enhance our business or assist our business in becoming more efficient or profitable. The use of certain AI technology can give rise to intellectual property risks, including compromising the privacy and security of our proprietary technologies and leading to claims of intellectual property infringement, misappropriation or other violation. In addition, AI may have errors or inadequacies that are not easily detectable. If the data used to train AI or the content, analyses, or recommendations that AI applications assist in producing are or are alleged to be deficient, inaccurate, incomplete, overbroad or biased, our business, financial condition, and results of operations may be adversely affected.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Additionally, we expect to see increasing government and supranational regulation and ethical concerns related to AI use, which may also significantly increase the burden and cost of research, development and compliance in this area. The rapid evolution of AI will require the application of significant resources to design, develop, test and maintain our technology and products to help ensure that AI is implemented in accordance with applicable laws and regulations and in a socially responsible manner and to minimize any real or perceived unintended harmful impacts. The legal landscape and subsequent legal protection for the use of AI remains uncertain, and development of the law in this area could impact our ability to enforce our proprietary rights or 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w:t>
      </w:r>
    </w:p>
    <w:p>
      <w:pPr>
        <w:spacing w:after="0" w:line="113"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Our third-party vendors, contractors and consultants may also incorporate AI tools into their own offerings, and the providers of these AI tools may not meet existing or rapidly evolving regulatory or industry standards, including with respect to intellectual property,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60"/>
          </w:cols>
          <w:pgMar w:left="320" w:top="455"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and certain other tax attributes may be limited.</w:t>
      </w:r>
    </w:p>
    <w:p>
      <w:pPr>
        <w:spacing w:after="0" w:line="14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have incurred substantial losses during our history and do not expect to become profitable in the near future, and we may never achieve profitability. Unused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In addition, both our current and our future unused losses and other tax attributes (such as research credits) may be subject to limitation under Sections 382 and 383 of the Code if we undergo, or have undergone, an “ownership change,” generally defined as a greater than 50 percentage point change (by value) in our equity ownership by certain stockholders over a three-year period. As of December 31, 2023, we had a Section 382 study prepared which covered the period from inception through March 2024. The study concluded that several ownership changes occurred since the inception of the Company. However, it was determined that the annual available NOLs under Section 382 will be sufficient to utilize in their entirety prior to their respective expiration years. It is possible that we may undergo additional ownership changes in the future, including as a result of the offering or future transactions or events that may be outside of our control. As a result, even if we attain profitability, our ability to use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of the foregoing, even if we attain profitability, we may be unable to use all or a material portion of our net operating losses and other tax attributes, which could adversely affect our future cash flows.</w:t>
      </w:r>
    </w:p>
    <w:p>
      <w:pPr>
        <w:spacing w:after="0" w:line="120" w:lineRule="exact"/>
        <w:rPr>
          <w:sz w:val="20"/>
          <w:szCs w:val="20"/>
          <w:color w:val="auto"/>
        </w:rPr>
      </w:pPr>
    </w:p>
    <w:p>
      <w:pPr>
        <w:ind w:left="120" w:right="840"/>
        <w:spacing w:after="0" w:line="278"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58"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From time to time, we may consider strategic transactions, such as acquisitions of companies, businesses or assets, joint ventures and spin-outs. Additional potential transactions that we may consider include a variety of different business arrangements, including spin-offs, strategic partnerships,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 but not limited to:</w:t>
      </w:r>
    </w:p>
    <w:p>
      <w:pPr>
        <w:spacing w:after="0" w:line="111" w:lineRule="exact"/>
        <w:rPr>
          <w:sz w:val="20"/>
          <w:szCs w:val="20"/>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44" w:lineRule="exact"/>
        <w:rPr>
          <w:rFonts w:ascii="Arial" w:cs="Arial" w:eastAsia="Arial" w:hAnsi="Arial"/>
          <w:sz w:val="18"/>
          <w:szCs w:val="18"/>
          <w:color w:val="auto"/>
        </w:rPr>
      </w:pPr>
    </w:p>
    <w:p>
      <w:pPr>
        <w:ind w:left="340" w:right="280" w:hanging="224"/>
        <w:spacing w:after="0" w:line="27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and cost in integrating the operations, systems and personnel of any acquired businesses with our operations, systems and personnel;</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right="480"/>
        <w:spacing w:after="0" w:line="278"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results of operations and prospects, which could lead to a decline in our stock price.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results of operations and stock price could be adversely affected by general conditions in the global economy and in the global financial markets. For example, a global financial crisis could cause extreme volatility and disruptions in the capital and credit markets. Similarly, increased volatility in interest rates and the debt and equity markets, instability in the global banking system, global health crises and pandemics and geopolitical conflict could cause significant instability and disruptions in the capital and credit markets. A severe or prolonged economic downturn could result in a variety of risks to our business, including weakened demand for our therapeutic candidates and in our ability to raise additional capital when needed on acceptable terms, if at all. A weak or declining economy also could strain our partners and our suppliers, possibly resulting in development or supply disruption. We cannot anticipate all of the ways in which the foregoing, and the current economic climate and financial market conditions generally, could adversely impact our business.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intellectual property</w:t>
      </w:r>
    </w:p>
    <w:p>
      <w:pPr>
        <w:spacing w:after="0" w:line="150" w:lineRule="exact"/>
        <w:rPr>
          <w:sz w:val="20"/>
          <w:szCs w:val="20"/>
          <w:color w:val="auto"/>
        </w:rPr>
      </w:pPr>
    </w:p>
    <w:p>
      <w:pPr>
        <w:ind w:left="120" w:right="100"/>
        <w:spacing w:after="0" w:line="243" w:lineRule="auto"/>
        <w:rPr>
          <w:sz w:val="20"/>
          <w:szCs w:val="20"/>
          <w:color w:val="auto"/>
        </w:rPr>
      </w:pPr>
      <w:r>
        <w:rPr>
          <w:rFonts w:ascii="Arial" w:cs="Arial" w:eastAsia="Arial" w:hAnsi="Arial"/>
          <w:sz w:val="18"/>
          <w:szCs w:val="18"/>
          <w:b w:val="1"/>
          <w:bCs w:val="1"/>
          <w:i w:val="1"/>
          <w:iCs w:val="1"/>
          <w:color w:val="auto"/>
        </w:rPr>
        <w:t>Our success depends in part on our and our partners’ ability to obtain, maintain, enforce and protect our intellectual property and proprietary rights. It is difficult and costly to protect our intellectual property rights and technologies, and we may not be able to ensure their protection. If we are unable to adequately protect our technologies or obtain and maintain patent protection for our technologies and products or if the scope of the patent protection obtained is not sufficiently broad, our competitors could develop and commercialize technologies and products similar or identical to ours, and our ability to successfully commercialize our technologies and products may be impaired.</w:t>
      </w:r>
    </w:p>
    <w:p>
      <w:pPr>
        <w:spacing w:after="0" w:line="10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commercial success will depend in large part on our and our partners’ obtaining, maintaining, enforcing and protecting patent, trademark, trade secret and other intellectual property and proprietary protection in the United States and other countries for our technologies. Our proprietary technologies include our Compass platform, genetic targets identified by our Compass platform, machine learning used by our Compass platform, our methods for developing and testing our therapeutic candidates, our therapeutic candidates themselves, and any therapeutic compounds, molecules or agents related to such therapeutic targets, including their respective components, formulations, combination therapies, methods used to manufacture them and methods of treatment. Our commercial success will also depend, in large part, on successfully defending our trademarks, trade secrets, owned patents and patent applications and other intellectual property rights against third-party challenges. We seek to protect our intellectual property position by, among other methods, filing patent applications in the United States and abroad related to our technologies, inventions and improvements that are important to the development and implementation of our business. We also rely on trade secrets, know-how and continuing technological innovation to develop and maintain our intellectual property position. Our ability to stop unauthorized third parties from making, using, selling, offering to sell, importing or otherwise commercializing our technologies or therapeutic candidates is dependent upon the extent to which we have rights under valid and enforceable patents, trade secrets or other intellectual property or proprietary rights that cover these activities. If we or our current or future partners are unable to secure and maintain patent, trade secret or other intellectual property or proprietary protection for any technologies or therapeutic candidates we or they develop, or if the scope of the protection secured is not sufficiently broad, our competitors could develop and commercialize technologies or therapeutic candidates similar or identical to ours, and our ability to commercialize any technologies or therapeutic candidates we or our partners may develop or to otherwise compete effectively may be adversely affected.</w:t>
      </w:r>
    </w:p>
    <w:p>
      <w:pPr>
        <w:spacing w:after="0" w:line="101" w:lineRule="exact"/>
        <w:rPr>
          <w:sz w:val="20"/>
          <w:szCs w:val="20"/>
          <w:color w:val="auto"/>
        </w:rPr>
      </w:pPr>
    </w:p>
    <w:p>
      <w:pPr>
        <w:ind w:left="120" w:right="540"/>
        <w:spacing w:after="0" w:line="253" w:lineRule="auto"/>
        <w:rPr>
          <w:sz w:val="20"/>
          <w:szCs w:val="20"/>
          <w:color w:val="auto"/>
        </w:rPr>
      </w:pPr>
      <w:r>
        <w:rPr>
          <w:rFonts w:ascii="Arial" w:cs="Arial" w:eastAsia="Arial" w:hAnsi="Arial"/>
          <w:sz w:val="18"/>
          <w:szCs w:val="18"/>
          <w:color w:val="auto"/>
        </w:rPr>
        <w:t>We have filed patent applications, both in the United States and internationally, protecting our inventions related to our MZE829 and MZE782 candidates as well as our out-licensed programs. We currently own two issued U.S. patents. We have eight pending U.S. provisional patent applications, ten pending Patent Cooperation</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44" w:lineRule="auto"/>
        <w:rPr>
          <w:sz w:val="20"/>
          <w:szCs w:val="20"/>
          <w:color w:val="auto"/>
        </w:rPr>
      </w:pPr>
      <w:r>
        <w:rPr>
          <w:rFonts w:ascii="Arial" w:cs="Arial" w:eastAsia="Arial" w:hAnsi="Arial"/>
          <w:sz w:val="18"/>
          <w:szCs w:val="18"/>
          <w:color w:val="auto"/>
        </w:rPr>
        <w:t>Treaty, or PCT, patent applications, seven pending U.S. non-provisional patent applications, and over fifty pending foreign patent applications. Our MZE001 patent portfolio has been exclusively out-licensed to Shionogi, who also has the exclusive right to make decisions regarding the prosecution and enforcement of patents or patent applications within that portfolio. Our ATXN2 and UNC13A patent portfolios have been exclusively licensed to other biotechnology companies, who have the exclusive right to make decisions regarding the prosecution and enforcement of those respective portfolios.</w:t>
      </w:r>
    </w:p>
    <w:p>
      <w:pPr>
        <w:spacing w:after="0" w:line="1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 provisional patent application is not eligible to become an issued patent until, among other things, we file a non-provisional patent application within 12 months of filing such provisional application. If we fail to do so, we may lose our priority date with respect to the provisional patent application and any patent protection on the inventions disclosed in the provisional patent application. The PCT system allows a single application to be filed within 12 months of the original priority date of the patent application, and for the designation of all of the PCT member states in which national patent applications can later be pursued based on the international patent application filed under the PCT. A PCT application is not eligible to become an issued patent until, among other things, we file one or more national stage patent applications within the applicable time limit, which is generally 30 or 31 months from the PCT application’s earliest priority date, depending on the jurisdiction, in the countries in which we seek patent protection. If we fail to file a national phase application in a PCT member state, we may lose our priority date in that member state with respect to the subject matter disclosed in the PCT application, as well as any patent protection in that member state on the inventions disclosed in the PCT application. While we generally intend to timely file non-provisional and national phase patent applications, as applicable, we cannot predict whether any of our current or future patent applications relating to any therapeutic targets, therapeutic candidates or technologies we have identified or may identify in the future will result in the issuance of patents that effectively protect our therapeutic targets, therapeutic candidates or technologies. If we or our partners do not successfully obtain patent protection, or, even if we or they do obtain patent protection, if the scope of the patent protection obtained with respect to any therapeutic target, therapeutic candidate and technology is not sufficiently broad, we or our partners may be unable to prevent others from using our technology or from developing or commercializing technology and products similar or identical to ours or our partners’.</w:t>
      </w:r>
    </w:p>
    <w:p>
      <w:pPr>
        <w:spacing w:after="0" w:line="116" w:lineRule="exact"/>
        <w:rPr>
          <w:sz w:val="20"/>
          <w:szCs w:val="20"/>
          <w:color w:val="auto"/>
        </w:rPr>
      </w:pPr>
    </w:p>
    <w:p>
      <w:pPr>
        <w:ind w:left="120" w:right="20"/>
        <w:spacing w:after="0" w:line="252" w:lineRule="auto"/>
        <w:rPr>
          <w:sz w:val="20"/>
          <w:szCs w:val="20"/>
          <w:color w:val="auto"/>
        </w:rPr>
      </w:pPr>
      <w:r>
        <w:rPr>
          <w:rFonts w:ascii="Arial" w:cs="Arial" w:eastAsia="Arial" w:hAnsi="Arial"/>
          <w:sz w:val="17"/>
          <w:szCs w:val="17"/>
          <w:color w:val="auto"/>
        </w:rPr>
        <w:t>The patenting process is expensive and time-consuming, and we and our current or future partners may not be able to file and prosecute all necessary or desirable patent applications at a reasonable cost or in a timely manner. In addition, we or our partners may not pursue or obtain patent protection in all relevant jurisdictions, particularly in markets where translation costs are high. It is also possible that we or our partners will fail to identify patentable aspects of our or their research and development output before it is too late to obtain patent protection. Although we seek to enter into non-disclosure and confidentiality agreements with parties who have access to confidential or patentable aspects of our research and development output, such as our employees, consultants, independent contractors, advisors, CMOs, CROs, hospitals, independent treatment centers, suppliers, partners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current or future patent applications, or that we were the first to file for patent protection of such inventions. Moreover, in circumstances, including with respect to our exclusive out-licensing of our MZE001, ATXN2 and UNC13A patent portfolios, where we do not have the right to control the preparation, filing, prosecution, maintenance, defense or enforcement of patents or patent applications covering technologies that we currently, or may in the future, license from or license to third parties, we will be reliant on our licensors or licensees to do so. If our partners are not fully cooperative or disagree with us as to</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color w:val="auto"/>
        </w:rPr>
        <w:t>the preparation, filing, prosecution, maintenance, defense or enforcement of any licensed patent rights, such patent rights could be compromised.</w:t>
      </w:r>
    </w:p>
    <w:p>
      <w:pPr>
        <w:spacing w:after="0" w:line="8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if any, may not result in issued patents. 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may own or in -license may be challenged, narrowed, circumvented, or invalidated by third parties. Consequently, we do not know whether any of our therapeutic candidates or technologies will be protectable or remain protected by valid and enforceable patents. In addition, any future patents we obtain may not be sufficiently broad to prevent others from using our technologies or from developing competing therapeutic candidates in a non-infringing manner. In addition, given the amount of time required for the development, testing, and regulatory review of new therapeutic candidates, patents protecting such candidates might expire before or shortly after such candidates are commercialized. As a result, our patent rights may not provide us with sufficient rights to exclude others from commercializing products similar or identical to ours.</w:t>
      </w:r>
    </w:p>
    <w:p>
      <w:pPr>
        <w:spacing w:after="0" w:line="11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any patents we may own or in-license in the future may be challenged in the courts or patent offices in the United States and abroad. We may be subject to a third-party pre-issuance submission of prior art to the United States Patent and Trademark Office, or USPTO, or become involved in opposition, derivation, revocation,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challenging our patent rights or the patent rights of others. An adverse determination in any such submission, proceeding or litigation could reduce the scope of, invalidate, or hold unenforceable, our patent rights, allow third parties to commercialize our technologies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technologies and products, or limit the duration of the patent protection of our technologies and therapeutic candidates. Such proceedings also may result in substantial cost and require significant time from our scientists and management, even if the eventual outcome is favorable to us.</w:t>
      </w:r>
    </w:p>
    <w:p>
      <w:pPr>
        <w:spacing w:after="0" w:line="9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Moreover, some of the patents and patent applications we may own or in-license in the future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technologies.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right="280"/>
        <w:spacing w:after="0" w:line="278"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7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is the case with other biopharmaceutical companies, our success may be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or other jurisdictions could increase the uncertainties and costs surrounding the prosecution of patent applications and the enforcement or defense of issued patents. For example, the Leahy-Smith America Invents Act, or the Leahy-Smith Act, which was signed into law in September 2011, made a number of significant changes to U.S. patent law, affecting the way patent applications are prosecuted, redefining prior art and providing more efficient and cost-effective avenues for competitors to challenge the validity of patents.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require patent applicants such as us to be cognizant of the time from invention to filing of a patent application and be diligent in filing patent applications. However, circumstances could prevent us from promptly filing patent applications on our inventions. Similar legislation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if any, all of which could harm our business, results of operations, financial condition and prospects.</w:t>
      </w:r>
    </w:p>
    <w:p>
      <w:pPr>
        <w:spacing w:after="0" w:line="120"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intellectual property. Depending on future actions by the U.S. Congress, the U.S. courts, the USPTO and the relevant law-making bodies in other countries, the laws and regulations governing patents could change in unpredictable ways that could have a material adverse effect on and weaken our ability to obtain and enforce new patents and patents that we or our collaboration partners might obtain in the future.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4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Although we have issued patents in the United States and pending patent applications in the United States and other countries, filing, prosecuting, maintaining, enforcing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therapeutic candidates, and our patents, the patents of our current and future partners, or other intellectual property rights may not be effective or sufficient to prevent them from competing.</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60"/>
          </w:cols>
          <w:pgMar w:left="320" w:top="455"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partners’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partners at risk of being invalidated or interpreted narrowly and our patent applications or the patent applications of our partners at risk of not issuing and could provoke third parties to assert claims against us. We may not prevail in any lawsuits that we initiate, and the damages or other remedies awarded, if any, may not be commercially meaningful.</w:t>
      </w:r>
    </w:p>
    <w:p>
      <w:pPr>
        <w:spacing w:after="0" w:line="113"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Accordingly, our efforts to enforce our intellectual property rights around the world may be inadequate to obtain a significant commercial advantage from the intellectual property that we develop or license.</w:t>
      </w:r>
    </w:p>
    <w:p>
      <w:pPr>
        <w:spacing w:after="0" w:line="86"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partners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97" w:lineRule="exact"/>
        <w:rPr>
          <w:sz w:val="20"/>
          <w:szCs w:val="20"/>
          <w:color w:val="auto"/>
        </w:rPr>
      </w:pPr>
    </w:p>
    <w:p>
      <w:pPr>
        <w:ind w:left="120" w:right="260"/>
        <w:spacing w:after="0" w:line="256" w:lineRule="auto"/>
        <w:rPr>
          <w:sz w:val="20"/>
          <w:szCs w:val="20"/>
          <w:color w:val="auto"/>
        </w:rPr>
      </w:pPr>
      <w:r>
        <w:rPr>
          <w:rFonts w:ascii="Arial" w:cs="Arial" w:eastAsia="Arial" w:hAnsi="Arial"/>
          <w:sz w:val="18"/>
          <w:szCs w:val="18"/>
          <w:b w:val="1"/>
          <w:bCs w:val="1"/>
          <w:i w:val="1"/>
          <w:iCs w:val="1"/>
          <w:color w:val="auto"/>
        </w:rPr>
        <w:t>If we are sued for infringing, misappropriating or otherwise violating intellectual property or proprietary rights of third parties, such litigation or disputes could be costly and time-consuming and could prevent or delay us from developing or commercializing our therapeutic candidates.</w:t>
      </w:r>
    </w:p>
    <w:p>
      <w:pPr>
        <w:spacing w:after="0" w:line="9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Our commercial success depends, in part, on our ability to develop, manufacture, market and sell our therapeutic candidates and use our technologies without infringing, misappropriating or otherwise violating the intellectual property and other proprietary rights of third parties. If any third-party patents, patent applications or other intellectual or proprietary rights are enforced against us and found to be valid, enforceable and cover our therapeutic candidates or their compositions, methods of use or manufacturing, third parties owning such intellectual or proprietary rights could seek an injunction prohibiting our ability to develop, manufacture, market and sell our therapeutic candidates and technologies, or we may be required to pay damages, which could be substantial, and we would not be free to manufacture, use or market our therapeutic candidates or to do so without obtaining a license, which may not be available on commercially reasonable terms, or at all.</w:t>
      </w:r>
    </w:p>
    <w:p>
      <w:pPr>
        <w:spacing w:after="0" w:line="113"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We may in the future become party to, or threatened with, adversarial proceedings or litigation regarding intellectual property or proprietary rights with respect to our therapeutic candidates and technologies we use in our business. Our competitors or other third parties may assert infringement, misappropriation or other claims against us alleging, for example, that our therapeutic candidates or technologies we use in our business are covered by their patents. We cannot be certain that we do not infringe existing patents or that we will not infringe patents that may be granted in the future.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if approved, our therapeutic candidates. As the biotechnology and pharmaceutical industries expand and more patents are issued, and as we gain greater visibility and market exposure as a public company, the risk increases that our existing therapeutic candidates and any other therapeutic candidates that we may develop or technologies we use in our business may be subject to claims of infringement of the patent rights of third parties. Furthermore, because patent applications can take many years to issue and may be confidential for 18 months or more after filing, and because patent claims can be revised before issuance, there may be applications now pending which may later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result in issued patents that may be infringed by the manufacture, use or sale of our therapeutic candidates or technologies we use in our business. If a patent holder believes our therapeutic candidates or technologies we use in our business infringe on its patent rights, the patent holder may sue us even if we have received patent protection for our therapeutic candidates or technologies.</w:t>
      </w:r>
    </w:p>
    <w:p>
      <w:pPr>
        <w:spacing w:after="0" w:line="10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therapeutic candidates and technologies, including interference proceedings or post-grant challenges before the USPTO. Third parties may also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technologies, products or methods of using or manufacturing products. The coverage of patents is subject to interpretation by the courts, and the interpretation is not always uniform. Our analysis of these issues, including interpreting the relevance or the scope of claims in a patent or a pending application, determining applicability of such claims to our technologies or therapeutic candidates, predicting whether a third party’s pending patent application will issue with claims of relevant scope, and determining the expiration date of any patent in the United States or abroad that we consider relevant to our therapeutic candidates may be incorrect, which may negatively impact our ability to develop, manufacture, use and market our therapeutic candidates or technologies.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were sued for patent infringement, we would need to demonstrate that our therapeutic candidates, technologies or methods of use, manufacturing or other applicable activities either do not infringe the patent claims of the relevant patent or that the patent claims are invalid or unenforceable, and we may not be successful in doing so. Proving invalidity or unenforceability may be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enforceability or priority. In addition, we may not have sufficient resources to bring these actions to a successful conclusion.</w:t>
      </w:r>
    </w:p>
    <w:p>
      <w:pPr>
        <w:spacing w:after="0" w:line="104"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using or commercializing the infringing therapeutic candidate or technology. Alternatively, we may be required to obtain a license from such third party in order to use the infringing technology and continue developing, manufacturing or marketing the infringing therapeutic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and it could require us to make substantial licensing, royalty and other payments. In addition, we could be found liable for significant monetary damages, including treble damages and attorneys’ fees if we are found to have willfully infringed such third-party patent rights. A finding of infringement could prevent us from commercializing our therapeutic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right="580"/>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7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Litigation and other legal proceedings relating to intellectual property claims, with or without merit, are unpredictable and generally expensive and time consuming and are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Moreover, such litigation or proceedings could substantially increase our operating losses and reduce the resources available for development activities or any future sales, marketing or distribution activities.</w:t>
      </w:r>
    </w:p>
    <w:p>
      <w:pPr>
        <w:spacing w:after="0" w:line="11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00" w:lineRule="exact"/>
        <w:rPr>
          <w:sz w:val="20"/>
          <w:szCs w:val="20"/>
          <w:color w:val="auto"/>
        </w:rPr>
      </w:pPr>
    </w:p>
    <w:p>
      <w:pPr>
        <w:ind w:left="120" w:right="460"/>
        <w:spacing w:after="0" w:line="278"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or consultants have misappropriated their intellectual property, or claiming ownership of what we regard as our own intellectual property.</w:t>
      </w:r>
    </w:p>
    <w:p>
      <w:pPr>
        <w:spacing w:after="0" w:line="7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Some of our employees and consultants are currently or have been previously employed at universities or research institutions,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develop and commercialize our therapeutic candidates or technologies. Such a license may not be available on commercially reasonable terms or at all and may not be exclusive to us.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115"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and the intellectual property subject to such agreements may not be assigned to us without additional assignments being executed, and we may fail to obtain such additional assignments. Any invention assignment agreements we have with third parties, employees, consultants or contractors may be breached, and it may be difficult or</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impossible to enforce them. In addition, we have several sponsored research agreements relating to our research and development efforts with various academic institutions. Some of these academic institutions may not have intellectual property assignments or similar agreements with their employees and consultants, or may not permit their employees to assign intellectual property outside the academic institution,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118"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documentary, fee payment and other requirements imposed by governmental patent offices, and any future patent protection could be reduced or eliminated for noncompliance with these requirements.</w:t>
      </w:r>
    </w:p>
    <w:p>
      <w:pPr>
        <w:spacing w:after="0" w:line="9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Periodic maintenance fees, renewal fees, annuity fees and various other government fees on issued patents and patent applications are due to be paid to the USPTO and patent offices in foreign countries in several stages over the lifetime of the patent. In addition, the USPTO and patent offices in foreign countries require compliance with a number of procedural, documentary, fee payment and other requirements during the patent application process. We may rely on partners to pay these fees due to U.S. and non-U.S. patent agencies and to comply with other requirements with respect to licensed patents and patent applications. While an inadvertent lapse may, in some jurisdictions and under certain circumstances, be cured by payment of a late fee or by other means in accordance with the applicable rules, there are situations in which noncompliance can result in abandonment or lapse of the patent or patent application, resulting in partial or complete and irrevocable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or technologies, which would have a material adverse effect on our business, financial condition, results of operations and prospects.</w:t>
      </w:r>
    </w:p>
    <w:p>
      <w:pPr>
        <w:spacing w:after="0" w:line="104" w:lineRule="exact"/>
        <w:rPr>
          <w:sz w:val="20"/>
          <w:szCs w:val="20"/>
          <w:color w:val="auto"/>
        </w:rPr>
      </w:pPr>
    </w:p>
    <w:p>
      <w:pPr>
        <w:ind w:left="120" w:right="480"/>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therapeutic candidates and technologies could be materially adversely affected and our business would be harmed.</w:t>
      </w:r>
    </w:p>
    <w:p>
      <w:pPr>
        <w:spacing w:after="0" w:line="72"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In addition to the protection afforded by patents, we rely upon trade secrets, know-how and continuing technological innovation to develop and maintain our competitive position. We seek to protect our proprietary know-how and trade secrets in part by entering into non-disclosure and confidentiality agreements with parties who have access to such knowledge, such as our employees, consultants, independent contractors, advisors, CMOs, CROs, suppliers, partners and other third parties. However, we cannot guarantee that we have entered into such agreements with each party that may have or have had access to our proprietary know-how or trade secrets. Additionally, our confidentiality agreements and other contractual protections may not be adequate to protect our intellectual property from unauthorized disclosure, third-party infringement or misappropriation (such as a cybersecurity breach).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112"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In addition, some courts in the United States and certain foreign jurisdictions are less willing or unwilling to protect trade secrets. Even if we are successful in protecting the confidentiality of our trade secrets, others may</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independently develop the same information or technology, or may be able to discern or reverse engineer our proprietary information or technology from public sources of information. Additionally, though our agreements with third parties typically restrict their ability to publish data potentially relating to our trade secrets, our agreements may contain certain limited publication rights.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which could harm our competitive position. If any of our trade secrets were to be disclosed to or independently developed by a competitor or other third party, our business, financial condition, results of operations and prospects could be materially harmed.</w:t>
      </w:r>
    </w:p>
    <w:p>
      <w:pPr>
        <w:spacing w:after="0" w:line="103"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any agreements under which we may license intellectual property rights to or from third parties or otherwise experience disruptions to our business relationships with our current partners or any future licensors, we could lose license rights that are important to our business.</w:t>
      </w:r>
    </w:p>
    <w:p>
      <w:pPr>
        <w:spacing w:after="0" w:line="9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have and may in the future from time to time enter into license or collaboration agreements with third parties to advance our research or allow commercialization of therapeutic candidates. Such agreements may impose numerous obligations, such as development, diligence, payment, commercialization, non-compete, funding, milestone, royalty, sublicensing, patent prosecution, enforcement and other obligations on us and may require us to meet development timelines, or to exercise commercially reasonable efforts to develop and commercialize licensed products, in order to maintain the licenses. In spite of our best efforts, our current partners or any future licensors might conclude that we have materially breached any of our license agreements and might therefore terminate the license agreements, thereby removing or limiting our ability to develop and commercialize products and technologies covered by these license agreements.</w:t>
      </w:r>
    </w:p>
    <w:p>
      <w:pPr>
        <w:spacing w:after="0" w:line="104"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therapeutic candidates, and competitors or other third parties would have the freedom to seek regulatory approval of, and to market, products identical to ours and we may be required to cease our development and commercialization of certain of our therapeutic candidates.</w:t>
      </w:r>
    </w:p>
    <w:p>
      <w:pPr>
        <w:spacing w:after="0" w:line="106"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Disputes may also arise between us and our current partners or any future licensors regarding intellectual property subject to a license agreement, including, but not limited to:</w:t>
      </w:r>
    </w:p>
    <w:p>
      <w:pPr>
        <w:spacing w:after="0" w:line="86" w:lineRule="exact"/>
        <w:rPr>
          <w:sz w:val="20"/>
          <w:szCs w:val="20"/>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44" w:lineRule="exact"/>
        <w:rPr>
          <w:rFonts w:ascii="Arial" w:cs="Arial" w:eastAsia="Arial" w:hAnsi="Arial"/>
          <w:sz w:val="18"/>
          <w:szCs w:val="18"/>
          <w:color w:val="auto"/>
        </w:rPr>
      </w:pPr>
    </w:p>
    <w:p>
      <w:pPr>
        <w:ind w:left="340" w:right="120" w:hanging="224"/>
        <w:spacing w:after="0" w:line="271"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or licensee that are not subject to the licensing agreement;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44" w:lineRule="exact"/>
        <w:rPr>
          <w:rFonts w:ascii="Arial" w:cs="Arial" w:eastAsia="Arial" w:hAnsi="Arial"/>
          <w:sz w:val="18"/>
          <w:szCs w:val="18"/>
          <w:color w:val="auto"/>
        </w:rPr>
      </w:pPr>
    </w:p>
    <w:p>
      <w:pPr>
        <w:ind w:left="340" w:right="60" w:hanging="224"/>
        <w:spacing w:after="0" w:line="271"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therapeutic candidates, and what activities satisfy those diligence obligations;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44" w:lineRule="exact"/>
        <w:rPr>
          <w:rFonts w:ascii="Arial" w:cs="Arial" w:eastAsia="Arial" w:hAnsi="Arial"/>
          <w:sz w:val="18"/>
          <w:szCs w:val="18"/>
          <w:color w:val="auto"/>
        </w:rPr>
      </w:pPr>
    </w:p>
    <w:p>
      <w:pPr>
        <w:ind w:left="340" w:right="80" w:hanging="224"/>
        <w:spacing w:after="0" w:line="271"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future licensors and us and our partners.</w:t>
      </w:r>
    </w:p>
    <w:p>
      <w:pPr>
        <w:spacing w:after="0" w:line="86"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therapeutic candidates. Any of the foregoing could have a material adverse effect on our business, financial condition, results of operations and prospects.</w:t>
      </w:r>
    </w:p>
    <w:p>
      <w:pPr>
        <w:spacing w:after="0" w:line="113"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If we cannot acquire or license rights to use technologies on reasonable terms or at all, we may not be able to commercialize our current or any future products or technologies.</w:t>
      </w:r>
    </w:p>
    <w:p>
      <w:pPr>
        <w:spacing w:after="0" w:line="7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the future, we may identify third-party intellectual property and technology we may need to license in order to engage in our business, including to develop or commercialize new products or technologies, and the growth of our business may depend in part on our ability to acquire, in-license or use this technology. However, such licenses may not be available to us on acceptable terms or at all. 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in return for the use of such licensor’s technology, including up-front payments, ongoing maintenance fees, payments based on certain milestones such as development and regulatory events and sales volumes, or royalties. In addition, such licenses may be non-exclusive, which could give our competitors and other third parties access to the same intellectual property licensed to us. Moreover, we could encounter delays in the introduction of products while we attempt to develop alternatives. Failure to obtain any of these licenses on favorable terms could prevent us from commercializing our current and any future therapeutic candidates and technologies. Any of the foregoing could have a material adverse effect on our business, financial condition, results of operations and prospects.</w:t>
      </w:r>
    </w:p>
    <w:p>
      <w:pPr>
        <w:spacing w:after="0" w:line="110" w:lineRule="exact"/>
        <w:rPr>
          <w:sz w:val="20"/>
          <w:szCs w:val="20"/>
          <w:color w:val="auto"/>
        </w:rPr>
      </w:pPr>
    </w:p>
    <w:p>
      <w:pPr>
        <w:ind w:left="120" w:right="20"/>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therapeutic candidates we may develop, our business may be materially harmed.</w:t>
      </w:r>
    </w:p>
    <w:p>
      <w:pPr>
        <w:spacing w:after="0" w:line="7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Depending upon the timing, duration and specifics of any FDA marketing approval of any therapeutic candidates we may develop, one or more of our U.S. patents, if issued, may be eligible for limited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although the amount of available extension to any specific patent eligible for patent term extension depends on a variety of factors, including the date on which the patent issues and certain dates related to the regulatory review period.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To the extent we have in-licensed any U.S. patents, we may not have control over the patent term extension process and may rely on our partners to obtain a patent term extension. Moreover, under the agreements pursuant to which we out-license our MZE001, ATXN2 and UNC13A patent portfolios, the applicable licensees have the sole right to apply for patent term extensions with respect to the licensed patents and patent applications. If we or our partners are unable to obtain patent term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301" w:lineRule="auto"/>
        <w:rPr>
          <w:sz w:val="20"/>
          <w:szCs w:val="20"/>
          <w:color w:val="auto"/>
        </w:rPr>
      </w:pPr>
      <w:r>
        <w:rPr>
          <w:rFonts w:ascii="Arial" w:cs="Arial" w:eastAsia="Arial" w:hAnsi="Arial"/>
          <w:sz w:val="17"/>
          <w:szCs w:val="17"/>
          <w:color w:val="auto"/>
        </w:rPr>
        <w:t>extension or if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65" w:lineRule="exact"/>
        <w:rPr>
          <w:sz w:val="20"/>
          <w:szCs w:val="20"/>
          <w:color w:val="auto"/>
        </w:rPr>
      </w:pPr>
    </w:p>
    <w:p>
      <w:pPr>
        <w:jc w:val="both"/>
        <w:ind w:left="120" w:right="200"/>
        <w:spacing w:after="0" w:line="256" w:lineRule="auto"/>
        <w:rPr>
          <w:sz w:val="20"/>
          <w:szCs w:val="20"/>
          <w:color w:val="auto"/>
        </w:rPr>
      </w:pPr>
      <w:r>
        <w:rPr>
          <w:rFonts w:ascii="Arial" w:cs="Arial" w:eastAsia="Arial" w:hAnsi="Arial"/>
          <w:sz w:val="18"/>
          <w:szCs w:val="18"/>
          <w:b w:val="1"/>
          <w:bCs w:val="1"/>
          <w:i w:val="1"/>
          <w:iCs w:val="1"/>
          <w:color w:val="auto"/>
        </w:rPr>
        <w:t>We may become involved in lawsuits to protect or enforce any patents we may own or in-license in the future, which could be expensive, time consuming and unsuccessful and any patents we may own or in-license in the future covering our therapeutic candidates could be found invalid or unenforceable if challenged in courts or patents offices.</w:t>
      </w:r>
    </w:p>
    <w:p>
      <w:pPr>
        <w:spacing w:after="0" w:line="9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Competitors and other third parties may infringe, misappropriate or otherwise violate our intellectual property rights. To counter infringement, misappropriation or other violations, we may be required to file infringement, misappropriation or other claims in order to enforce our intellectual property rights, which can be expensive and time-consuming and divert the time and attention of our management and business and scientific personnel. In addition, many of our adversaries in these proceedings may have the ability to dedicate substantially greater resources to prosecuting these legal actions than we can. Our ability to enforce our patents or other intellectual property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third party’s product or service.</w:t>
      </w:r>
    </w:p>
    <w:p>
      <w:pPr>
        <w:spacing w:after="0" w:line="99"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We may not prevail in any lawsuits that we initiate and the damages or other remedies awarded if we were to prevail may not be commercially meaningful. In such a proceeding, a court may decide that an asserted patent is not valid or is unenforceable, or may refuse to stop the other party from using the technology at issue on the grounds that the asserted patent or other intellectual property right does not cover the third-party technology in question. An adverse result in any litigation or defense proceedings could put one or more asserted patents at risk of being invalidated or interpreted narrowly and could put related patent applications at risk of not issuing.</w:t>
      </w:r>
    </w:p>
    <w:p>
      <w:pPr>
        <w:spacing w:after="0" w:line="1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 xml:space="preserve">If we were to initiate legal proceedings against a third party to enforce a patent we may own or in-license in the future covering one or more of our therapeutic candidates, the defendant could counterclaim that the patent covering our therapeutic candidate is invalid and/or unenforceable. In patent litigation in the United States or elsewhere, defendant counterclaims challenging the validity, enforceability or scope of asserted patents are commonplace. Grounds for a validity challenge could be an alleged failure to meet any of several statutory requirements, including lack of subject matter eligibility, lack of novelty, obviousness, lack of adequate written description or non-enablement. Grounds for an unenforceability assertion could be an allegation that someone connected with prosecution of the patent withheld relevant information from the USPTO or any other applicable patent office, or made a misleading statement during prosecution. Third parties may also raise similar validity claims before the USPTO in post-grant proceedings such as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or oppositions or similar proceedings in foreign patent offices, in parallel with litigation or even outside the context of litigation. Such proceedings could result in the revocation of, cancellation of, or amendment to our patents in such a way that they no longer cover our therapeutic candidates or technology.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current or future therapeutic candidates. Such a loss of patent protection would have a material adverse impact on our business.</w:t>
      </w:r>
    </w:p>
    <w:p>
      <w:pPr>
        <w:spacing w:after="0" w:line="120"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In addition, interference, derivation or other proceedings provoked by third parties or brought by us or declared by the USPTO may be necessary to determine the priority of inventions with respect to our current or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future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or other third parties gain access to the same technology.</w:t>
      </w:r>
    </w:p>
    <w:p>
      <w:pPr>
        <w:spacing w:after="0" w:line="106"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Our defense of litigation or interference, derivation or other proceedings may fail and, even if successful, may result in substantial costs and distract our management and other employees. Even if we establish infringement, the court may decide not to grant an injunction against further infringing activity and instead award only monetary damages, which may or may not be an adequate remedy. Any of the foregoing could have a material adverse effect on our financial condition, results of operations and prospects.</w:t>
      </w:r>
    </w:p>
    <w:p>
      <w:pPr>
        <w:spacing w:after="0" w:line="108" w:lineRule="exact"/>
        <w:rPr>
          <w:sz w:val="20"/>
          <w:szCs w:val="20"/>
          <w:color w:val="auto"/>
        </w:rPr>
      </w:pPr>
    </w:p>
    <w:p>
      <w:pPr>
        <w:ind w:left="120" w:right="520"/>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We may design or create new trademarks and apply to register them, but our trademark applications may not be approved in the United States or any other relevant jurisdiction. Our trademarks and trade names may be challenged, infringed, circumvented, declared generic, lapsed or determined to be infringing on or dilutive of other marks. Third parties may oppose or attempt to cancel our trademark applications or trademarks,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Competitors or other parties in our industry may adopt trademarks or trade names similar to ours, thereby impeding our ability to build brand identity and possibly leading to market confusion. In addition, third parties may infringe our trademarks and we may not have adequate resources to enforce our trademark rights. If we attempt to enforce our trademarks and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Over the long term, if we are unable to establish name recognition based on our trademarks and trade names, then we may not be able to compete effectively and our business may be adversely affected.</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commercial or competitive threats.</w:t>
      </w:r>
    </w:p>
    <w:p>
      <w:pPr>
        <w:spacing w:after="0" w:line="142"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6" w:lineRule="exact"/>
        <w:rPr>
          <w:sz w:val="20"/>
          <w:szCs w:val="20"/>
          <w:color w:val="auto"/>
        </w:rPr>
      </w:pPr>
    </w:p>
    <w:p>
      <w:pPr>
        <w:ind w:left="340" w:right="160" w:hanging="224"/>
        <w:spacing w:after="0" w:line="27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products similar to any therapeutic candidates we may develop or utilize similar technologies that are not covered by the claims of patents that we may license or may own in the future;</w:t>
      </w:r>
    </w:p>
    <w:p>
      <w:pPr>
        <w:spacing w:after="0" w:line="86" w:lineRule="exact"/>
        <w:rPr>
          <w:rFonts w:ascii="Arial" w:cs="Arial" w:eastAsia="Arial" w:hAnsi="Arial"/>
          <w:sz w:val="18"/>
          <w:szCs w:val="18"/>
          <w:color w:val="auto"/>
        </w:rPr>
      </w:pPr>
    </w:p>
    <w:p>
      <w:pPr>
        <w:ind w:left="340" w:right="460" w:hanging="224"/>
        <w:spacing w:after="0" w:line="27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any current or future partners, might not have been the first to make the inventions covered by an issued patent or pending patent application that we may license or own in the future;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any current or future partners, might not have been the first to file patent applications covering certain of our or their inventions;</w:t>
      </w:r>
    </w:p>
    <w:p>
      <w:pPr>
        <w:spacing w:after="0" w:line="144" w:lineRule="exact"/>
        <w:rPr>
          <w:rFonts w:ascii="Arial" w:cs="Arial" w:eastAsia="Arial" w:hAnsi="Arial"/>
          <w:sz w:val="18"/>
          <w:szCs w:val="18"/>
          <w:color w:val="auto"/>
        </w:rPr>
      </w:pPr>
    </w:p>
    <w:p>
      <w:pPr>
        <w:ind w:left="340" w:right="940" w:hanging="224"/>
        <w:spacing w:after="0" w:line="27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any of our owned or licensed intellectual property and proprietary rights;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or license in the future will not lead to issued patents;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any patent we may own or license in the future;</w:t>
      </w:r>
    </w:p>
    <w:p>
      <w:pPr>
        <w:spacing w:after="0" w:line="144"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patents that we may hold rights to in the future may not provide us with any competitive advantage, or may be held invalid or unenforceable, including as a result of legal challenges by our competitors or other third parties;</w:t>
      </w:r>
    </w:p>
    <w:p>
      <w:pPr>
        <w:spacing w:after="0" w:line="86" w:lineRule="exact"/>
        <w:rPr>
          <w:rFonts w:ascii="Arial" w:cs="Arial" w:eastAsia="Arial" w:hAnsi="Arial"/>
          <w:sz w:val="18"/>
          <w:szCs w:val="18"/>
          <w:color w:val="auto"/>
        </w:rPr>
      </w:pPr>
    </w:p>
    <w:p>
      <w:pPr>
        <w:ind w:left="340" w:right="100" w:hanging="224"/>
        <w:spacing w:after="0" w:line="25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intellectual property rights and then use the information learned from such activities to develop competitive products for sale in our commercial markets;</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develop technologies or therapeutic candidates that are patentable;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or pending or future patent applications of others, if issued, may harm our business; and</w:t>
      </w:r>
    </w:p>
    <w:p>
      <w:pPr>
        <w:spacing w:after="0" w:line="144" w:lineRule="exact"/>
        <w:rPr>
          <w:rFonts w:ascii="Arial" w:cs="Arial" w:eastAsia="Arial" w:hAnsi="Arial"/>
          <w:sz w:val="18"/>
          <w:szCs w:val="18"/>
          <w:color w:val="auto"/>
        </w:rPr>
      </w:pPr>
    </w:p>
    <w:p>
      <w:pPr>
        <w:ind w:left="340" w:right="1000" w:hanging="224"/>
        <w:spacing w:after="0" w:line="27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86"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common stock and this offering</w:t>
      </w:r>
    </w:p>
    <w:p>
      <w:pPr>
        <w:spacing w:after="0" w:line="150" w:lineRule="exact"/>
        <w:rPr>
          <w:sz w:val="20"/>
          <w:szCs w:val="20"/>
          <w:color w:val="auto"/>
        </w:rPr>
      </w:pPr>
    </w:p>
    <w:p>
      <w:pPr>
        <w:ind w:left="120" w:right="80"/>
        <w:spacing w:after="0" w:line="256" w:lineRule="auto"/>
        <w:rPr>
          <w:sz w:val="20"/>
          <w:szCs w:val="20"/>
          <w:color w:val="auto"/>
        </w:rPr>
      </w:pPr>
      <w:r>
        <w:rPr>
          <w:rFonts w:ascii="Arial" w:cs="Arial" w:eastAsia="Arial" w:hAnsi="Arial"/>
          <w:sz w:val="18"/>
          <w:szCs w:val="18"/>
          <w:b w:val="1"/>
          <w:bCs w:val="1"/>
          <w:i w:val="1"/>
          <w:iCs w:val="1"/>
          <w:color w:val="auto"/>
        </w:rPr>
        <w:t>No public market for our common stock currently exists, and an active and liquid trading market for our common stock may never develop. As a result, you may not be able to resell your shares of our common stock at or above the initial public offering price.</w:t>
      </w:r>
    </w:p>
    <w:p>
      <w:pPr>
        <w:spacing w:after="0" w:line="9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Prior to this offering, no market for our common stock existed and an active trading market for our common stock may never develop or be sustained following this offering. The initial public offering price for our common stock will be determined through negotiations with the underwriters and the negotiated price may not be indicative of the market price of our common stock after this offering. This price will not necessarily reflect the price at which investors in the market will be willing to buy and sell shares of our common stock following this offering, and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of common stock at the time you wish to sell them or at a price that you consider reasonable. The lack of an active market may also reduce the fair market value of your shares of common stock.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 and you could lose all or part of your investment.</w:t>
      </w:r>
    </w:p>
    <w:p>
      <w:pPr>
        <w:spacing w:after="0" w:line="142"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The market price of our common stock following this offering may be highly volatile and subject to wide fluctuations in response to various factors, some of which are outside of our control. As a result of this volatility, you may not be able to sell your shares of common stock at or above the initial public offering price. The market price for our common stock may be influenced by many factors, including the other risks described in this “Risk factors” section and the following:</w:t>
      </w:r>
    </w:p>
    <w:p>
      <w:pPr>
        <w:spacing w:after="0" w:line="106" w:lineRule="exact"/>
        <w:rPr>
          <w:sz w:val="20"/>
          <w:szCs w:val="20"/>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preclinical studies or clinical trials by us or those of our competitors or by existing or future partners;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and enrollment status of our clinical trials;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use and adequacy of our cash reserves;</w:t>
      </w:r>
    </w:p>
    <w:p>
      <w:pPr>
        <w:spacing w:after="0" w:line="144" w:lineRule="exact"/>
        <w:rPr>
          <w:rFonts w:ascii="Arial" w:cs="Arial" w:eastAsia="Arial" w:hAnsi="Arial"/>
          <w:sz w:val="18"/>
          <w:szCs w:val="18"/>
          <w:color w:val="auto"/>
        </w:rPr>
      </w:pPr>
    </w:p>
    <w:p>
      <w:pPr>
        <w:ind w:left="340" w:right="1040" w:hanging="224"/>
        <w:spacing w:after="0" w:line="27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development status of our therapeutic candidates, including variations in the level of expense related to the development of our programs or funding support by us or by existing or future partners;</w:t>
      </w:r>
    </w:p>
    <w:p>
      <w:pPr>
        <w:spacing w:after="0" w:line="86" w:lineRule="exact"/>
        <w:rPr>
          <w:rFonts w:ascii="Arial" w:cs="Arial" w:eastAsia="Arial" w:hAnsi="Arial"/>
          <w:sz w:val="18"/>
          <w:szCs w:val="18"/>
          <w:color w:val="auto"/>
        </w:rPr>
      </w:pPr>
    </w:p>
    <w:p>
      <w:pPr>
        <w:ind w:left="340" w:right="220" w:hanging="224"/>
        <w:spacing w:after="0" w:line="27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business;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introductions and announcements of new therapeutic candidates by us, our existing or future collaboration partners, or our competitors, and the timing of these introductions or announcements;</w:t>
      </w:r>
    </w:p>
    <w:p>
      <w:pPr>
        <w:spacing w:after="0" w:line="86" w:lineRule="exact"/>
        <w:rPr>
          <w:rFonts w:ascii="Arial" w:cs="Arial" w:eastAsia="Arial" w:hAnsi="Arial"/>
          <w:sz w:val="18"/>
          <w:szCs w:val="18"/>
          <w:color w:val="auto"/>
        </w:rPr>
      </w:pPr>
    </w:p>
    <w:p>
      <w:pPr>
        <w:ind w:left="340" w:right="640" w:hanging="224"/>
        <w:spacing w:after="0" w:line="27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therapeutic candidates, preclinical studies, clinical trials, manufacturing process or sales and marketing terms;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or therapeutic candidates;</w:t>
      </w:r>
    </w:p>
    <w:p>
      <w:pPr>
        <w:spacing w:after="0" w:line="144" w:lineRule="exact"/>
        <w:rPr>
          <w:rFonts w:ascii="Arial" w:cs="Arial" w:eastAsia="Arial" w:hAnsi="Arial"/>
          <w:sz w:val="18"/>
          <w:szCs w:val="18"/>
          <w:color w:val="auto"/>
        </w:rPr>
      </w:pPr>
    </w:p>
    <w:p>
      <w:pPr>
        <w:ind w:left="340" w:right="560" w:hanging="224"/>
        <w:spacing w:after="0" w:line="27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86"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announced or completed significant acquisitions, strategic collaborations, joint ventures, spin-outs or capital commitments by us or our competitors;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and proprietary rights;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shares of our common stock by us, insiders or our stockholders;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natural disasters, terrorist acts, acts of war and other calamities;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political instability, including the occurrence of a temporary federal government shutdown;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geopolitical tensions and ongoing regional military conflicts;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severe or prolonged economic downturn; and</w:t>
      </w:r>
    </w:p>
    <w:p>
      <w:pPr>
        <w:spacing w:after="0" w:line="144"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and geopolitical conditions, including changing interest rates, disruptions in the capital and credit markets, market volatility and inflation.</w:t>
      </w:r>
    </w:p>
    <w:p>
      <w:pPr>
        <w:spacing w:after="0" w:line="86"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13"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95" w:lineRule="exact"/>
        <w:rPr>
          <w:sz w:val="20"/>
          <w:szCs w:val="20"/>
          <w:color w:val="auto"/>
        </w:rPr>
      </w:pPr>
    </w:p>
    <w:p>
      <w:pPr>
        <w:ind w:left="120" w:right="80"/>
        <w:spacing w:after="0" w:line="278" w:lineRule="auto"/>
        <w:rPr>
          <w:sz w:val="20"/>
          <w:szCs w:val="20"/>
          <w:color w:val="auto"/>
        </w:rPr>
      </w:pPr>
      <w:r>
        <w:rPr>
          <w:rFonts w:ascii="Arial" w:cs="Arial" w:eastAsia="Arial" w:hAnsi="Arial"/>
          <w:sz w:val="18"/>
          <w:szCs w:val="18"/>
          <w:b w:val="1"/>
          <w:bCs w:val="1"/>
          <w:i w:val="1"/>
          <w:iCs w:val="1"/>
          <w:color w:val="auto"/>
        </w:rPr>
        <w:t>You will experience immediate and substantial dilution with respect to the common stock you purchase in this offering and may experience additional dilution in the future.</w:t>
      </w:r>
    </w:p>
    <w:p>
      <w:pPr>
        <w:spacing w:after="0" w:line="7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You will experience immediate and substantial dilution with respect to the common stock you purchase in this offering. If you purchase common stock in this offering, assuming an initial public offering price of $        per share, the midpoint of the estimated price range set forth on the cover of this prospectus, and assuming that the number of shares offered by us, as set forth on the cover page of this prospectus, remains the same and that the underwriters do not exercise their option to purchase additional common stock in this offering, you will incur immediate and substantial dilution of $        per share, representing the difference between the assumed initial public offering price of $        per share and our pro forma net tangible book value per share as of March 31, 2024 after giving effect to this offering, and the conversion of all outstanding shares of our redeemable convertible preferred stock and outstanding subordinated promissory convertible notes upon the completion of this offering. Following the completion of this offering, investors purchasing common stock in this offering will have contributed         % of the total amount invested by stockholders since inception, but will only own         % of the shares of common stock outstanding.</w:t>
      </w:r>
    </w:p>
    <w:p>
      <w:pPr>
        <w:spacing w:after="0" w:line="112"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Moreover, we issued options in the past to acquire common stock at prices below the initial public offering price. As of March 31, 2024, there were         shares of common stock subject to outstanding options. To the extent these outstanding options and options granted in the future are ultimately exercised, you will incur further dilution.</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further description of the dilution you will experience immediately after this offering, see the section entitled “Dilution.”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42"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Based on         shares of our capital stock outstanding as of March 31, 2024, upon completion of this offering, we will have a total of         shares of common stock outstanding. Of these shares, only         shares of common stock sold in this offering, or         shares if the underwriters exercise their</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option to purchase additional shares in full, will be freely tradable, without restriction, in the public market immediately after this offering. Each of our officers, directors and substantially all of our stockholders have entered or will enter into lock-up agreements with the underwriters that restrict their ability to sell or transfer their shares. The lock-up agreements pertaining to this offering will expire 180 days from the date of this prospectus. However, the representatives of the underwriters may, in their sole discretion, permit our officers, directors and other stockholders who are subject to the lock-up agreements to sell shares prior to the expiration of the lock-up agreements. After the lock-up agreements expire, based on shares outstanding as of March 31, 2024, up to an additional         shares of common stock will be eligible for sale in the public market, approximately         of which are held by our officers, directors and their affiliated entities, and will be subject to volume limitations under Rule 144 under the Securities Act of 1933, as amended, or the Securities Act. In addition,         shares of common stock that are subject to outstanding options as of March 31, 2024 will become eligible for sale in the public market to the extent permitted by the provisions of various vesting agreements, the lock-up agreements and Rules 144 and 701 under the Securities Act.</w:t>
      </w:r>
    </w:p>
    <w:p>
      <w:pPr>
        <w:spacing w:after="0" w:line="118"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After this offering, the holders of an aggregate of         shares of our outstanding common stock as of March 31, 2024 will have rights, subject to some conditions, to require us to file registration statements covering their shares or to include their shares in registration statements that we may file for ourselves or our stockholders. We also intend to register shares of common stock that we may issue under our equity incentive plans. Once we register these shares, they will be able to be sold freely in the public market upon issuance, subject to the 180-day lock-up period under the lock-up agreements described above and in the section entitled “Underwriting.” See the section titled “Description of capital stock— Registration rights” for additional information.</w:t>
      </w:r>
    </w:p>
    <w:p>
      <w:pPr>
        <w:spacing w:after="0" w:line="111"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93"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We also expect that significant additional capital may be needed in the future to continue our planned operations. To raise capital, we may sell common stock, convertible securities or other equity-linked securities in one or more transactions at prices and in a manner we determine from time to time. To the extent that additional capital is raised through the sale and issuance of shares of our common stock or other securities convertible into shares of our common stock, our stockholders will be diluted. These sales, or the perception in the market that the holders of a large number of shares of our common stock intend to sell shares, could reduce the market price of our common stock.</w:t>
      </w:r>
    </w:p>
    <w:p>
      <w:pPr>
        <w:spacing w:after="0" w:line="113" w:lineRule="exact"/>
        <w:rPr>
          <w:sz w:val="20"/>
          <w:szCs w:val="20"/>
          <w:color w:val="auto"/>
        </w:rPr>
      </w:pPr>
    </w:p>
    <w:p>
      <w:pPr>
        <w:ind w:left="120" w:right="260"/>
        <w:spacing w:after="0" w:line="278"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 proceeds in ways you and other stockholders may approve of.</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management will have broad discretion in the use of the net proceeds from this offering, including for any of the purposes described in the section “Use of proceeds,” and you will be relying on the judgment of our management regarding the use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 Pending their use, we may invest the net proceeds from this offering in a manner that does not produce income or that loses value.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right="96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7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current or future clinical trials, preclinical studies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15" w:lineRule="exact"/>
        <w:rPr>
          <w:sz w:val="20"/>
          <w:szCs w:val="20"/>
          <w:color w:val="auto"/>
        </w:rPr>
      </w:pPr>
    </w:p>
    <w:p>
      <w:pPr>
        <w:ind w:left="120" w:right="560"/>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5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Based on the beneficial ownership of our common stock as of        , prior to this offering, our executive officers, directors, holders of 5% or more of our capital stock and their respective affiliates beneficially owned         % of our voting stock and, upon the completion of this offering, that same group will hold         % of our outstanding voting stock (assuming no exercise of the underwriters’ option to purchase additional shares).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42"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Upon the completion of this offering, we will become subject to the periodic reporting requirements of the Exchange Act of 1934, as amended, or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9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risk management program or processes or procedures for identifying and addressing risks to our business in other areas.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9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Our restated certificate of incorporation and our restated bylaws that will be in effect upon completion of this offering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106" w:lineRule="exact"/>
        <w:rPr>
          <w:sz w:val="20"/>
          <w:szCs w:val="20"/>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 of directors;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44"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86"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90" w:lineRule="exact"/>
        <w:rPr>
          <w:sz w:val="20"/>
          <w:szCs w:val="20"/>
          <w:color w:val="auto"/>
        </w:rPr>
      </w:pPr>
    </w:p>
    <w:p>
      <w:pPr>
        <w:jc w:val="both"/>
        <w:ind w:left="120" w:right="240"/>
        <w:spacing w:after="0" w:line="256" w:lineRule="auto"/>
        <w:rPr>
          <w:sz w:val="20"/>
          <w:szCs w:val="20"/>
          <w:color w:val="auto"/>
        </w:rPr>
      </w:pPr>
      <w:r>
        <w:rPr>
          <w:rFonts w:ascii="Arial" w:cs="Arial" w:eastAsia="Arial" w:hAnsi="Arial"/>
          <w:sz w:val="18"/>
          <w:szCs w:val="18"/>
          <w:b w:val="1"/>
          <w:bCs w:val="1"/>
          <w:i w:val="1"/>
          <w:iCs w:val="1"/>
          <w:color w:val="auto"/>
        </w:rPr>
        <w:t>The exclusive forum provisions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92"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Our restated certificate of incorporation that will be in effect upon completion of this offering, to the fullest extent permitted by law, will provide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111"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which may discourage</w:t>
      </w: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60"/>
          </w:cols>
          <w:pgMar w:left="320" w:top="455" w:right="5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0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directors, officers, other employees, agents, and the underwriters to any offering giving rise to such complaint, and any other professional person or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113"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95"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11" w:lineRule="exact"/>
        <w:rPr>
          <w:sz w:val="20"/>
          <w:szCs w:val="20"/>
          <w:color w:val="auto"/>
        </w:rPr>
      </w:pPr>
    </w:p>
    <w:p>
      <w:pPr>
        <w:ind w:left="120" w:right="26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72"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 risk factors</w:t>
      </w:r>
    </w:p>
    <w:p>
      <w:pPr>
        <w:spacing w:after="0" w:line="150" w:lineRule="exact"/>
        <w:rPr>
          <w:sz w:val="20"/>
          <w:szCs w:val="20"/>
          <w:color w:val="auto"/>
        </w:rPr>
      </w:pPr>
    </w:p>
    <w:p>
      <w:pPr>
        <w:ind w:left="120" w:right="520"/>
        <w:spacing w:after="0" w:line="27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7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a public company, and particularly after we are no longer an EGC or SRC, we will incur significant legal, accounting and other expenses that we did not incur as a private company. The Sarbanes-Oxley Act of 2002, as amended, or the Sarbanes-Oxley Act, the Dodd-Frank Wall Street Reform and Consumer Protection Act, the listing requirements of the Nasdaq Stock Market, LLC, or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07" w:lineRule="exact"/>
        <w:rPr>
          <w:sz w:val="20"/>
          <w:szCs w:val="20"/>
          <w:color w:val="auto"/>
        </w:rPr>
      </w:pPr>
    </w:p>
    <w:p>
      <w:pPr>
        <w:ind w:left="120" w:right="160"/>
        <w:spacing w:after="0" w:line="278" w:lineRule="auto"/>
        <w:rPr>
          <w:sz w:val="20"/>
          <w:szCs w:val="20"/>
          <w:color w:val="auto"/>
        </w:rPr>
      </w:pPr>
      <w:r>
        <w:rPr>
          <w:rFonts w:ascii="Arial" w:cs="Arial" w:eastAsia="Arial" w:hAnsi="Arial"/>
          <w:sz w:val="18"/>
          <w:szCs w:val="18"/>
          <w:b w:val="1"/>
          <w:bCs w:val="1"/>
          <w:i w:val="1"/>
          <w:iCs w:val="1"/>
          <w:color w:val="auto"/>
        </w:rPr>
        <w:t>We are an “EGC” and a “SRC” and we cannot be certain if the reduced reporting requirements applicable to EGCs or SRCs will make our common stock less attractive to investors.</w:t>
      </w:r>
    </w:p>
    <w:p>
      <w:pPr>
        <w:spacing w:after="0" w:line="72"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We are an “EGC” as defined in the JOBS Act. For as long as we continue to be an EGC, we may take advantage of exemptions from various reporting requirements that are applicable to other public companies that are not EGCs, including (i) not being required to comply with the auditor attestation requirements of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approved previously. In addition, as an EGC, we are only required to provide two years of audited financial statements and two years of selected financial data in this prospectus.</w:t>
      </w:r>
    </w:p>
    <w:p>
      <w:pPr>
        <w:spacing w:after="0" w:line="117"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 xml:space="preserve">We could be an EGC for up to five fiscal years following the completion of this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certain circumstances could cause us to lose that status earlier, including if we are deemed to be a “large accelerated filer,” which occurs when the market value of our common stock that is held by non-affiliates equals or exceeds $700 million, if we have total annual gross revenue of $1.235 billion or more, or if we issue more than $1.0 billion in non-convertible debt during any three-year period before that time.</w:t>
      </w:r>
    </w:p>
    <w:p>
      <w:pPr>
        <w:spacing w:after="0" w:line="9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Under the JOBS Act, EGCs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“EGC”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non-EGCs and the date on which we will adopt the recently issued accounting standard.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also a “SRC.” We may continue to be a SRC after this offering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SRC at the time we cease to be an EGC, we may continue to rely on the same exemptions from certain disclosure requirements, including not being required to comply with the auditor attestation requirements of Section 404 of the Sarbanes-Oxley Act, reduced disclosure obligations regarding executive compensation and the option to present only the two most recent fiscal years of audited financial statements in our Annual Report on Form 10-K. We cannot predict if investors will find our common stock less attractive if we choose to rely on these exemptions. If some investors find our common stock less attractive as a result, there may be a less active trading market for our common stock and our share price may be more volatile.</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42" w:lineRule="exact"/>
        <w:rPr>
          <w:sz w:val="20"/>
          <w:szCs w:val="20"/>
          <w:color w:val="auto"/>
        </w:rPr>
      </w:pPr>
    </w:p>
    <w:p>
      <w:pPr>
        <w:ind w:left="120" w:right="40"/>
        <w:spacing w:after="0" w:line="261" w:lineRule="auto"/>
        <w:rPr>
          <w:sz w:val="20"/>
          <w:szCs w:val="20"/>
          <w:color w:val="auto"/>
        </w:rPr>
      </w:pPr>
      <w:r>
        <w:rPr>
          <w:rFonts w:ascii="Arial" w:cs="Arial" w:eastAsia="Arial" w:hAnsi="Arial"/>
          <w:sz w:val="17"/>
          <w:szCs w:val="17"/>
          <w:color w:val="auto"/>
        </w:rPr>
        <w:t>The market price of our common stock may be volatile. The stock market in general, and Nasdaq-listed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87" w:lineRule="exact"/>
        <w:rPr>
          <w:sz w:val="20"/>
          <w:szCs w:val="20"/>
          <w:color w:val="auto"/>
        </w:rPr>
      </w:pPr>
    </w:p>
    <w:p>
      <w:pPr>
        <w:ind w:left="120" w:right="260"/>
        <w:spacing w:after="0" w:line="278" w:lineRule="auto"/>
        <w:rPr>
          <w:sz w:val="20"/>
          <w:szCs w:val="20"/>
          <w:color w:val="auto"/>
        </w:rPr>
      </w:pPr>
      <w:r>
        <w:rPr>
          <w:rFonts w:ascii="Arial" w:cs="Arial" w:eastAsia="Arial" w:hAnsi="Arial"/>
          <w:sz w:val="17"/>
          <w:szCs w:val="17"/>
          <w:b w:val="1"/>
          <w:bCs w:val="1"/>
          <w:i w:val="1"/>
          <w:iCs w:val="1"/>
          <w:color w:val="auto"/>
        </w:rPr>
        <w:t>Unstable market and economic conditions and 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75"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Russia’s ongoing incursion of Ukraine has created extreme volatility in the global capital markets and is expected to have further global economic consequences, including disruptions of the global supply chain and energy markets. In addition, adverse developments that affect financial institutions, such as events involving liquidity that are rumored or actual, have in the past and may in the future lead to market-wide liquidity problems. For example, in March 2023, Silicon Valley Bank was closed by the California Department of Financial Protection and Innovation, which appointed the Federal Deposit Insurance Corporation as receiver. The closure of any additional national or regional commercial banks could lead to further economic instability. Although The Department of the Treasury, the Federal Reserve and the FDIC have taken steps to mitigate these risks, widespread demands for customer withdrawals or other liquidity needs of financial institutions for immediately liquidity may still occur in the future.</w:t>
      </w:r>
    </w:p>
    <w:p>
      <w:pPr>
        <w:spacing w:after="0" w:line="122"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Although we have not experienced any adverse impact to our liquidity or to our current and projected business operations, financial condition or results of operations, uncertainty remains over liquidity concerns in the broader financial services industry, and our business, our business partners, or industry as a whole may be adversely impacted in ways that we cannot predict at this time. Inflation and rapid increases in interest rates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have led to a decline in the trading value of previously issued government securities with interest rates below current market interest rates.</w:t>
      </w:r>
    </w:p>
    <w:p>
      <w:pPr>
        <w:spacing w:after="0" w:line="156"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In addition, if any of our suppliers or other parties with whom we conduct business are unable to access funds pursuant to such instruments or lending arrangements with any financial institution, such parties’ ability to pay their obligations to us or to enter into new commercial arrangements requiring additional payments to us could be adversely affected.</w:t>
      </w:r>
    </w:p>
    <w:p>
      <w:pPr>
        <w:spacing w:after="0" w:line="103" w:lineRule="exact"/>
        <w:rPr>
          <w:sz w:val="20"/>
          <w:szCs w:val="20"/>
          <w:color w:val="auto"/>
        </w:rPr>
      </w:pPr>
    </w:p>
    <w:p>
      <w:pPr>
        <w:ind w:left="120" w:right="300"/>
        <w:spacing w:after="0" w:line="278"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flows, financial condition or results of operations.</w:t>
      </w:r>
    </w:p>
    <w:p>
      <w:pPr>
        <w:spacing w:after="0" w:line="58"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New income, sales, use or other tax laws, statutes, rules, or regulations could be enacted at any time, which may adversely affect our business, financial condition, results of operations and prospects. Further, existing tax laws, statutes, rules, or regulations could be interpreted, changed, modified or applied adversely to us. Future changes in corporate tax rates, the realization of net deferred tax assets relating to our operations, the taxation of foreign earnings, and the deductibility of expenses could have a material impact on the value of our deferred tax assets, could result in significant one-time charges, and could increase our future U.S. tax expense. For example, for tax years beginning after December 31, 2021, current law requires taxpayers to capitalize and amortize certain research and development expenditures over five years if incurred in the United States and fifteen years if incurred in foreign jurisdictions, rather than deducting them concurrently. Although there have been legislative proposals to repeal or defer the capitalization requirement to later years, there can be no assurance that the provision will be repealed or otherwise modified.</w:t>
      </w:r>
    </w:p>
    <w:p>
      <w:pPr>
        <w:spacing w:after="0" w:line="118"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7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Pursuant to Section 404 of the Sarbanes-Oxley Act, our management will be required to report upon the effectiveness of our internal control over financial reporting beginning with the annual report for our fiscal year ending December 31, 2025. When we lose our status as an “EGC” or “SRC” and become an “accelerated filer” or a “large accelerated filer,”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105"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There may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42"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Upon the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the required related-party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risk management program or processes or procedures for identifying and addressing risks to our business in other areas.</w:t>
      </w:r>
    </w:p>
    <w:p>
      <w:pPr>
        <w:spacing w:after="0" w:line="106" w:lineRule="exact"/>
        <w:rPr>
          <w:sz w:val="20"/>
          <w:szCs w:val="20"/>
          <w:color w:val="auto"/>
        </w:rPr>
      </w:pPr>
    </w:p>
    <w:p>
      <w:pPr>
        <w:ind w:left="120" w:right="560"/>
        <w:spacing w:after="0" w:line="309"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fires, power shortages or other natural disasters our business continuity and disaster recovery plans may not provide adequate protection or coverage.</w:t>
      </w:r>
    </w:p>
    <w:p>
      <w:pPr>
        <w:spacing w:after="0" w:line="48"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current operations are primarily located in the San Francisco Bay Area. Any unplanned event, such as earthquake, flood, fire, explosion, extreme weather condition,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therapeutic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Our disaster recovery and business continuity plans may prove inadequate in the event of a serious disaster or similar event. We may incur substantial expenses as a result of the limited nature of our disaster recovery and business continuity plans, which could have a material adverse effect on our business, financial condition, results of operation and prospects.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incident or for any other reason, even for a short period of time, any or all of our research and development programs may be harmed. Any such business interruption could have a material and adverse effect on our business, financial condition, results of operations and prospects.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16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In some cases, you can identify forward-looking statements by terms such as “believe,” “may,” “will,” “potentially,” “estimate,” “continue,” “anticipate,” “intend,” “could,” “would,” “project,” “plan,” “expect” and similar expressions that convey uncertainty of future events or outcomes, although not all forward-looking statements contain these words. These forward-looking statements are subject to a number of risks, uncertainties and assumptions, including those described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The forward-looking statements in this prospectus include, among other things, statements about:</w:t>
      </w:r>
    </w:p>
    <w:p>
      <w:pPr>
        <w:spacing w:after="0" w:line="115" w:lineRule="exact"/>
        <w:rPr>
          <w:sz w:val="20"/>
          <w:szCs w:val="20"/>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our preclinical studies and clinical trials for our therapeutic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develop and obtain regulatory approval for our therapeutic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estimates of our addressable market and market growth;</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therapeutic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use our Compass platform to identify new therapeutic targets and advance such targets into clinical development;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and expand access to human genetics data;</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effects of extensive government regulations relating to our industry;</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intellectual property and proprietary rights;</w:t>
      </w:r>
    </w:p>
    <w:p>
      <w:pPr>
        <w:spacing w:after="0" w:line="144" w:lineRule="exact"/>
        <w:rPr>
          <w:rFonts w:ascii="Arial" w:cs="Arial" w:eastAsia="Arial" w:hAnsi="Arial"/>
          <w:sz w:val="18"/>
          <w:szCs w:val="18"/>
          <w:color w:val="auto"/>
        </w:rPr>
      </w:pPr>
    </w:p>
    <w:p>
      <w:pPr>
        <w:ind w:left="340" w:right="760" w:hanging="224"/>
        <w:spacing w:after="0" w:line="27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misappropriating or otherwise violating the intellectual property rights and proprietary technology of third parties;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expand our pipeline of therapeutic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attract and retain key management and technical personnel;</w:t>
      </w:r>
    </w:p>
    <w:p>
      <w:pPr>
        <w:spacing w:after="0" w:line="144" w:lineRule="exact"/>
        <w:rPr>
          <w:rFonts w:ascii="Arial" w:cs="Arial" w:eastAsia="Arial" w:hAnsi="Arial"/>
          <w:sz w:val="18"/>
          <w:szCs w:val="18"/>
          <w:color w:val="auto"/>
        </w:rPr>
      </w:pPr>
    </w:p>
    <w:p>
      <w:pPr>
        <w:ind w:left="340" w:right="240" w:hanging="224"/>
        <w:spacing w:after="0" w:line="25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rising interest rates, inflation, uncertainty with respect to the federal debt ceiling and budget and the related potential for government shutdowns, instability in the global banking system, volatile market conditions, supply chain delays, and the ongoing labor shortage;</w:t>
      </w:r>
    </w:p>
    <w:p>
      <w:pPr>
        <w:spacing w:after="0" w:line="101" w:lineRule="exact"/>
        <w:rPr>
          <w:rFonts w:ascii="Arial" w:cs="Arial" w:eastAsia="Arial" w:hAnsi="Arial"/>
          <w:sz w:val="18"/>
          <w:szCs w:val="18"/>
          <w:color w:val="auto"/>
        </w:rPr>
      </w:pPr>
    </w:p>
    <w:p>
      <w:pPr>
        <w:ind w:left="340" w:right="260" w:hanging="224"/>
        <w:spacing w:after="0" w:line="271"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natural disasters, terrorist activity, pandemics, regional conflicts around the world and the global responses thereto and other events beyond our control on any of the above or any other aspect of our business operations;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expenses, future revenue, capital requirements, and our needs for additional financing;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expected use of the net proceeds from this offering.</w:t>
      </w:r>
    </w:p>
    <w:p>
      <w:pPr>
        <w:spacing w:after="0" w:line="144"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forward-looking statements made in this prospectus relate only to events or information as of the date on which the statements are made in this prospectus.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1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5"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Market and industry data</w:t>
      </w:r>
    </w:p>
    <w:p>
      <w:pPr>
        <w:spacing w:after="0" w:line="168"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This prospectus contains estimates and other statistical data made by independent parties and by us relating to our industry and the markets in which we operate, including our general expectations and market position, market opportunity, the incidence of certain medical conditions and other industry data. These data, to the extent they contain estimates or projections, involve a number of assumptions and limitations, and you are cautioned not to give undue weight to such estimates or projections. Industry publications and other reports we have obtained from independent parties generally state that the data contained in these publications or other reports have been obtained in good faith or from sources considered to be reliable, but they do not guarantee the accuracy or completeness of such data. The industry in which we operate is subject to risks and uncertainties due to a variety of factors, including those described in the section entitled “Risk factors.” These and other factors could cause results to differ materially from those expressed in these publications and reports.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Use of proceeds</w:t>
      </w:r>
    </w:p>
    <w:p>
      <w:pPr>
        <w:spacing w:after="0" w:line="168" w:lineRule="exact"/>
        <w:rPr>
          <w:sz w:val="20"/>
          <w:szCs w:val="20"/>
          <w:color w:val="auto"/>
        </w:rPr>
      </w:pPr>
    </w:p>
    <w:p>
      <w:pPr>
        <w:ind w:left="120" w:right="380"/>
        <w:spacing w:after="0" w:line="247" w:lineRule="auto"/>
        <w:rPr>
          <w:sz w:val="20"/>
          <w:szCs w:val="20"/>
          <w:color w:val="auto"/>
        </w:rPr>
      </w:pPr>
      <w:r>
        <w:rPr>
          <w:rFonts w:ascii="Arial" w:cs="Arial" w:eastAsia="Arial" w:hAnsi="Arial"/>
          <w:sz w:val="18"/>
          <w:szCs w:val="18"/>
          <w:color w:val="auto"/>
        </w:rPr>
        <w:t>We estimate that the net proceeds from this offering will be approximately $        million, or approximately $        million if the underwriters exercise their option to purchase additional shares in full, assuming an initial public offering price of $        per share, which is the midpoint of the estimated price range set forth on the cover of this prospectus, after deducting the estimated underwriting discounts and commissions and estimated offering expenses payable by us.</w:t>
      </w:r>
    </w:p>
    <w:p>
      <w:pPr>
        <w:spacing w:after="0" w:line="106" w:lineRule="exact"/>
        <w:rPr>
          <w:sz w:val="20"/>
          <w:szCs w:val="20"/>
          <w:color w:val="auto"/>
        </w:rPr>
      </w:pPr>
    </w:p>
    <w:p>
      <w:pPr>
        <w:ind w:left="120" w:right="160"/>
        <w:spacing w:after="0" w:line="245" w:lineRule="auto"/>
        <w:rPr>
          <w:sz w:val="20"/>
          <w:szCs w:val="20"/>
          <w:color w:val="auto"/>
        </w:rPr>
      </w:pPr>
      <w:r>
        <w:rPr>
          <w:rFonts w:ascii="Arial" w:cs="Arial" w:eastAsia="Arial" w:hAnsi="Arial"/>
          <w:sz w:val="18"/>
          <w:szCs w:val="18"/>
          <w:color w:val="auto"/>
        </w:rPr>
        <w:t xml:space="preserve">Each $1.00 increase (decrease) in the assumed initial public offering price of $        per share, which is the midpoint of the estimated price range set forth on the cover of this prospectus, would increase (decrease) the net proceeds to us from this offering by $       </w:t>
      </w:r>
    </w:p>
    <w:p>
      <w:pPr>
        <w:ind w:left="120" w:right="100"/>
        <w:spacing w:after="0" w:line="234" w:lineRule="auto"/>
        <w:rPr>
          <w:sz w:val="20"/>
          <w:szCs w:val="20"/>
          <w:color w:val="auto"/>
        </w:rPr>
      </w:pPr>
      <w:r>
        <w:rPr>
          <w:rFonts w:ascii="Arial" w:cs="Arial" w:eastAsia="Arial" w:hAnsi="Arial"/>
          <w:sz w:val="18"/>
          <w:szCs w:val="18"/>
          <w:color w:val="auto"/>
        </w:rPr>
        <w:t>million, assuming the number of shares of our common stock offered, as set forth on the cover of this prospectus, remains the same, and after deducting the estimated underwriting discounts and commissions. Similarly, each increase (decrease) of 1.0 million shares in the number of shares of our common stock offered would increase (decrease) the net proceeds that we receive from this offering by</w:t>
      </w:r>
    </w:p>
    <w:p>
      <w:pPr>
        <w:spacing w:after="0" w:line="2" w:lineRule="exact"/>
        <w:rPr>
          <w:sz w:val="20"/>
          <w:szCs w:val="20"/>
          <w:color w:val="auto"/>
        </w:rPr>
      </w:pPr>
    </w:p>
    <w:p>
      <w:pPr>
        <w:ind w:left="120" w:right="60"/>
        <w:spacing w:after="0" w:line="250" w:lineRule="auto"/>
        <w:rPr>
          <w:sz w:val="20"/>
          <w:szCs w:val="20"/>
          <w:color w:val="auto"/>
        </w:rPr>
      </w:pPr>
      <w:r>
        <w:rPr>
          <w:rFonts w:ascii="Arial" w:cs="Arial" w:eastAsia="Arial" w:hAnsi="Arial"/>
          <w:sz w:val="18"/>
          <w:szCs w:val="18"/>
          <w:color w:val="auto"/>
        </w:rPr>
        <w:t>$        million, assuming that the assumed initial public offering price remains the same and after deducting the estimated underwriting discounts and commissions.</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intend to use the net proceeds we receive from this offering, together with our existing cash and cash equivalents, as follows:</w:t>
      </w:r>
    </w:p>
    <w:p>
      <w:pPr>
        <w:spacing w:after="0" w:line="156"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80"/>
              <w:spacing w:after="0"/>
              <w:rPr>
                <w:sz w:val="20"/>
                <w:szCs w:val="20"/>
                <w:color w:val="auto"/>
              </w:rPr>
            </w:pPr>
            <w:r>
              <w:rPr>
                <w:rFonts w:ascii="Arial" w:cs="Arial" w:eastAsia="Arial" w:hAnsi="Arial"/>
                <w:sz w:val="18"/>
                <w:szCs w:val="18"/>
                <w:color w:val="auto"/>
              </w:rPr>
              <w:t xml:space="preserve">approximately $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500" w:type="dxa"/>
            <w:vAlign w:val="bottom"/>
          </w:tcPr>
          <w:p>
            <w:pPr>
              <w:ind w:left="100"/>
              <w:spacing w:after="0"/>
              <w:rPr>
                <w:sz w:val="20"/>
                <w:szCs w:val="20"/>
                <w:color w:val="auto"/>
              </w:rPr>
            </w:pPr>
            <w:r>
              <w:rPr>
                <w:rFonts w:ascii="Arial" w:cs="Arial" w:eastAsia="Arial" w:hAnsi="Arial"/>
                <w:sz w:val="18"/>
                <w:szCs w:val="18"/>
                <w:color w:val="auto"/>
              </w:rPr>
              <w:t xml:space="preserve">to $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8"/>
              </w:rPr>
              <w:t>million to fund the clinical development of MZE829 through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740" w:type="dxa"/>
            <w:vAlign w:val="bottom"/>
          </w:tcPr>
          <w:p>
            <w:pPr>
              <w:jc w:val="right"/>
              <w:ind w:right="1530"/>
              <w:spacing w:after="0"/>
              <w:rPr>
                <w:sz w:val="20"/>
                <w:szCs w:val="20"/>
                <w:color w:val="auto"/>
              </w:rPr>
            </w:pPr>
            <w:r>
              <w:rPr>
                <w:rFonts w:ascii="Arial" w:cs="Arial" w:eastAsia="Arial" w:hAnsi="Arial"/>
                <w:sz w:val="18"/>
                <w:szCs w:val="18"/>
                <w:color w:val="auto"/>
              </w:rPr>
              <w:t>;</w:t>
            </w:r>
          </w:p>
        </w:tc>
      </w:tr>
      <w:tr>
        <w:trPr>
          <w:trHeight w:val="351"/>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80"/>
              <w:spacing w:after="0"/>
              <w:rPr>
                <w:sz w:val="20"/>
                <w:szCs w:val="20"/>
                <w:color w:val="auto"/>
              </w:rPr>
            </w:pPr>
            <w:r>
              <w:rPr>
                <w:rFonts w:ascii="Arial" w:cs="Arial" w:eastAsia="Arial" w:hAnsi="Arial"/>
                <w:sz w:val="18"/>
                <w:szCs w:val="18"/>
                <w:color w:val="auto"/>
              </w:rPr>
              <w:t xml:space="preserve">approximately $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500" w:type="dxa"/>
            <w:vAlign w:val="bottom"/>
          </w:tcPr>
          <w:p>
            <w:pPr>
              <w:ind w:left="100"/>
              <w:spacing w:after="0"/>
              <w:rPr>
                <w:sz w:val="20"/>
                <w:szCs w:val="20"/>
                <w:color w:val="auto"/>
              </w:rPr>
            </w:pPr>
            <w:r>
              <w:rPr>
                <w:rFonts w:ascii="Arial" w:cs="Arial" w:eastAsia="Arial" w:hAnsi="Arial"/>
                <w:sz w:val="18"/>
                <w:szCs w:val="18"/>
                <w:color w:val="auto"/>
              </w:rPr>
              <w:t xml:space="preserve">to $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4920" w:type="dxa"/>
            <w:vAlign w:val="bottom"/>
          </w:tcPr>
          <w:p>
            <w:pPr>
              <w:ind w:left="80"/>
              <w:spacing w:after="0"/>
              <w:rPr>
                <w:sz w:val="20"/>
                <w:szCs w:val="20"/>
                <w:color w:val="auto"/>
              </w:rPr>
            </w:pPr>
            <w:r>
              <w:rPr>
                <w:rFonts w:ascii="Arial" w:cs="Arial" w:eastAsia="Arial" w:hAnsi="Arial"/>
                <w:sz w:val="18"/>
                <w:szCs w:val="18"/>
                <w:color w:val="auto"/>
                <w:w w:val="98"/>
              </w:rPr>
              <w:t>million to fund the clinical development of MZE782 through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740" w:type="dxa"/>
            <w:vAlign w:val="bottom"/>
          </w:tcPr>
          <w:p>
            <w:pPr>
              <w:jc w:val="right"/>
              <w:ind w:right="1530"/>
              <w:spacing w:after="0"/>
              <w:rPr>
                <w:sz w:val="20"/>
                <w:szCs w:val="20"/>
                <w:color w:val="auto"/>
              </w:rPr>
            </w:pPr>
            <w:r>
              <w:rPr>
                <w:rFonts w:ascii="Arial" w:cs="Arial" w:eastAsia="Arial" w:hAnsi="Arial"/>
                <w:sz w:val="18"/>
                <w:szCs w:val="18"/>
                <w:color w:val="auto"/>
              </w:rPr>
              <w:t>;</w:t>
            </w:r>
          </w:p>
        </w:tc>
      </w:tr>
      <w:tr>
        <w:trPr>
          <w:trHeight w:val="31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tcPr>
          <w:p>
            <w:pPr>
              <w:ind w:left="80"/>
              <w:spacing w:after="0"/>
              <w:rPr>
                <w:sz w:val="20"/>
                <w:szCs w:val="20"/>
                <w:color w:val="auto"/>
              </w:rPr>
            </w:pPr>
            <w:r>
              <w:rPr>
                <w:rFonts w:ascii="Arial" w:cs="Arial" w:eastAsia="Arial" w:hAnsi="Arial"/>
                <w:sz w:val="18"/>
                <w:szCs w:val="18"/>
                <w:color w:val="auto"/>
              </w:rPr>
              <w:t xml:space="preserve">approximately $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color w:val="auto"/>
                <w:w w:val="70"/>
              </w:rPr>
              <w:t> </w:t>
            </w:r>
          </w:p>
        </w:tc>
        <w:tc>
          <w:tcPr>
            <w:tcW w:w="500" w:type="dxa"/>
            <w:vAlign w:val="bottom"/>
          </w:tcPr>
          <w:p>
            <w:pPr>
              <w:ind w:left="100"/>
              <w:spacing w:after="0"/>
              <w:rPr>
                <w:sz w:val="20"/>
                <w:szCs w:val="20"/>
                <w:color w:val="auto"/>
              </w:rPr>
            </w:pPr>
            <w:r>
              <w:rPr>
                <w:rFonts w:ascii="Arial" w:cs="Arial" w:eastAsia="Arial" w:hAnsi="Arial"/>
                <w:sz w:val="18"/>
                <w:szCs w:val="18"/>
                <w:color w:val="auto"/>
              </w:rPr>
              <w:t xml:space="preserve">to $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7200" w:type="dxa"/>
            <w:vAlign w:val="bottom"/>
            <w:gridSpan w:val="5"/>
          </w:tcPr>
          <w:p>
            <w:pPr>
              <w:ind w:left="80"/>
              <w:spacing w:after="0"/>
              <w:rPr>
                <w:sz w:val="20"/>
                <w:szCs w:val="20"/>
                <w:color w:val="auto"/>
              </w:rPr>
            </w:pPr>
            <w:r>
              <w:rPr>
                <w:rFonts w:ascii="Arial" w:cs="Arial" w:eastAsia="Arial" w:hAnsi="Arial"/>
                <w:sz w:val="18"/>
                <w:szCs w:val="18"/>
                <w:color w:val="auto"/>
              </w:rPr>
              <w:t>million to fund the further development of additional common disease programs in CVRM</w:t>
            </w:r>
          </w:p>
        </w:tc>
      </w:tr>
      <w:tr>
        <w:trPr>
          <w:trHeight w:val="203"/>
        </w:trPr>
        <w:tc>
          <w:tcPr>
            <w:tcW w:w="140" w:type="dxa"/>
            <w:vAlign w:val="bottom"/>
          </w:tcPr>
          <w:p>
            <w:pPr>
              <w:spacing w:after="0"/>
              <w:rPr>
                <w:sz w:val="17"/>
                <w:szCs w:val="17"/>
                <w:color w:val="auto"/>
              </w:rPr>
            </w:pPr>
          </w:p>
        </w:tc>
        <w:tc>
          <w:tcPr>
            <w:tcW w:w="10300" w:type="dxa"/>
            <w:vAlign w:val="bottom"/>
            <w:gridSpan w:val="13"/>
          </w:tcPr>
          <w:p>
            <w:pPr>
              <w:ind w:left="80"/>
              <w:spacing w:after="0" w:line="202" w:lineRule="exact"/>
              <w:rPr>
                <w:sz w:val="20"/>
                <w:szCs w:val="20"/>
                <w:color w:val="auto"/>
              </w:rPr>
            </w:pPr>
            <w:r>
              <w:rPr>
                <w:rFonts w:ascii="Arial" w:cs="Arial" w:eastAsia="Arial" w:hAnsi="Arial"/>
                <w:sz w:val="18"/>
                <w:szCs w:val="18"/>
                <w:color w:val="auto"/>
                <w:w w:val="99"/>
              </w:rPr>
              <w:t>indications, including preclinical studies, IND enabling studies and initiation of clinical trials, as well as further development of our</w:t>
            </w:r>
          </w:p>
        </w:tc>
      </w:tr>
      <w:tr>
        <w:trPr>
          <w:trHeight w:val="239"/>
        </w:trPr>
        <w:tc>
          <w:tcPr>
            <w:tcW w:w="140" w:type="dxa"/>
            <w:vAlign w:val="bottom"/>
          </w:tcPr>
          <w:p>
            <w:pPr>
              <w:spacing w:after="0"/>
              <w:rPr>
                <w:sz w:val="20"/>
                <w:szCs w:val="20"/>
                <w:color w:val="auto"/>
              </w:rPr>
            </w:pPr>
          </w:p>
        </w:tc>
        <w:tc>
          <w:tcPr>
            <w:tcW w:w="2020" w:type="dxa"/>
            <w:vAlign w:val="bottom"/>
            <w:gridSpan w:val="4"/>
          </w:tcPr>
          <w:p>
            <w:pPr>
              <w:ind w:left="80"/>
              <w:spacing w:after="0"/>
              <w:rPr>
                <w:sz w:val="20"/>
                <w:szCs w:val="20"/>
                <w:color w:val="auto"/>
              </w:rPr>
            </w:pPr>
            <w:r>
              <w:rPr>
                <w:rFonts w:ascii="Arial" w:cs="Arial" w:eastAsia="Arial" w:hAnsi="Arial"/>
                <w:sz w:val="18"/>
                <w:szCs w:val="18"/>
                <w:color w:val="auto"/>
              </w:rPr>
              <w:t>Compass platform; and</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112"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remainder for working capital and other general corporate purposes.</w:t>
      </w:r>
    </w:p>
    <w:p>
      <w:pPr>
        <w:spacing w:after="0" w:line="14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Based on our planned use of the net proceeds from this offering, we estimate such funds, together with our existing cash and cash equivalents, will be sufficient for us to fund our operating expenses and capital expenditure requirements through        . We have based this estimate on assumptions that may prove to be wrong, and we could use our available capital resources sooner than we expect.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expected use of the net proceeds from this offering represents our intentions based upon our current plans and business conditions. The amounts we actually expend in these areas, and the timing thereof, may vary significantly from our current intentions and will depend on a number of factors, including the success of research and development efforts, the results and timing of any future preclinical studies and clinical trials, the product approval process with the FDA and other regulatory agencies, any new collaborations or licenses we may enter into, cash generated from future operations and actual expenses to operate our business. We may also use a portion of the net proceeds of this offering to acquire or invest in complementary businesses, products, or technologies, or to obtain the right to use such complementary technologies. We have no commitments with respect to any acquisition or investment, and we are not currently involved in any negotiations with respect to any such transaction.</w:t>
      </w:r>
    </w:p>
    <w:p>
      <w:pPr>
        <w:spacing w:after="0" w:line="99"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8"/>
          <w:szCs w:val="18"/>
          <w:color w:val="auto"/>
        </w:rPr>
        <w:t>As a result, we cannot predict with any certainty all of the particular uses for the net proceeds or the amounts that we will actually spend on the uses set forth above. Accordingly, our management will have broad discretion in the application of the net proceeds, and investors will be relying on the judgment of our management regarding the application of the net proceeds of this offering.</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5"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The expected net proceeds of this offering will not be sufficient for us to fund any of our therapeutic candidates through regulatory approval, and we will need to raise substantial additional capital to complete the development and commercialization of our therapeutic candidates.</w:t>
      </w:r>
    </w:p>
    <w:p>
      <w:pPr>
        <w:spacing w:after="0" w:line="101" w:lineRule="exact"/>
        <w:rPr>
          <w:sz w:val="20"/>
          <w:szCs w:val="20"/>
          <w:color w:val="auto"/>
        </w:rPr>
      </w:pPr>
    </w:p>
    <w:p>
      <w:pPr>
        <w:ind w:left="120"/>
        <w:spacing w:after="0" w:line="301" w:lineRule="auto"/>
        <w:rPr>
          <w:sz w:val="20"/>
          <w:szCs w:val="20"/>
          <w:color w:val="auto"/>
        </w:rPr>
      </w:pPr>
      <w:r>
        <w:rPr>
          <w:rFonts w:ascii="Arial" w:cs="Arial" w:eastAsia="Arial" w:hAnsi="Arial"/>
          <w:sz w:val="17"/>
          <w:szCs w:val="17"/>
          <w:color w:val="auto"/>
        </w:rPr>
        <w:t>Pending the uses described above, we intend to invest the net proceeds from this offering in short-term, investment-grade interest-bearing securities such as money market accounts, certificates of deposit, commercial paper and guaranteed obligations of the U.S. government.</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Dividend policy</w:t>
      </w:r>
    </w:p>
    <w:p>
      <w:pPr>
        <w:spacing w:after="0" w:line="168"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the terms of the Loan Agreement place restrictions on our ability to pay cash dividends on our capital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Capitalization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2024:</w:t>
      </w:r>
    </w:p>
    <w:p>
      <w:pPr>
        <w:spacing w:after="0" w:line="144" w:lineRule="exact"/>
        <w:rPr>
          <w:sz w:val="20"/>
          <w:szCs w:val="20"/>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 pro forma basis, giving effect to (i) the automatic conversion of all outstanding shares of our redeemable convertible preferred</w:t>
      </w:r>
    </w:p>
    <w:p>
      <w:pPr>
        <w:spacing w:after="0" w:line="14" w:lineRule="exact"/>
        <w:rPr>
          <w:sz w:val="20"/>
          <w:szCs w:val="20"/>
          <w:color w:val="auto"/>
        </w:rPr>
      </w:pPr>
    </w:p>
    <w:p>
      <w:pPr>
        <w:ind w:left="340" w:right="120"/>
        <w:spacing w:after="0" w:line="237" w:lineRule="auto"/>
        <w:rPr>
          <w:sz w:val="20"/>
          <w:szCs w:val="20"/>
          <w:color w:val="auto"/>
        </w:rPr>
      </w:pPr>
      <w:r>
        <w:rPr>
          <w:rFonts w:ascii="Arial" w:cs="Arial" w:eastAsia="Arial" w:hAnsi="Arial"/>
          <w:sz w:val="18"/>
          <w:szCs w:val="18"/>
          <w:color w:val="auto"/>
        </w:rPr>
        <w:t>stock into an aggregate of         shares of our common stock immediately prior to the completion of this offering and the related reclassification of the carrying value of the redeemable convertible preferred stock to permanent equity immediately prior to the completion of this offering, (ii) the automatic conversion of all principal and accrued and unpaid interest on our outstanding convertible promissory notes into         shares of our common stock immediately prior to the completion of this offering, based upon an assumed initial public offering price of $    per share, which is the midpoint of the estimated price range set forth on the cover of this prospectus, and (iii) the filing and effectiveness of our restated certificate of incorporation in connection with the completion of this offering; and</w:t>
      </w:r>
    </w:p>
    <w:p>
      <w:pPr>
        <w:spacing w:after="0" w:line="117"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tab/>
        <w:t xml:space="preserve">on a pro forma as adjusted basis giving further effect to (i) the pro forma adjustments described above, and (ii) the sale of          </w:t>
      </w:r>
    </w:p>
    <w:p>
      <w:pPr>
        <w:spacing w:after="0" w:line="14" w:lineRule="exact"/>
        <w:rPr>
          <w:sz w:val="20"/>
          <w:szCs w:val="20"/>
          <w:color w:val="auto"/>
        </w:rPr>
      </w:pPr>
    </w:p>
    <w:p>
      <w:pPr>
        <w:ind w:left="340" w:right="140"/>
        <w:spacing w:after="0" w:line="242" w:lineRule="auto"/>
        <w:rPr>
          <w:sz w:val="20"/>
          <w:szCs w:val="20"/>
          <w:color w:val="auto"/>
        </w:rPr>
      </w:pPr>
      <w:r>
        <w:rPr>
          <w:rFonts w:ascii="Arial" w:cs="Arial" w:eastAsia="Arial" w:hAnsi="Arial"/>
          <w:sz w:val="18"/>
          <w:szCs w:val="18"/>
          <w:color w:val="auto"/>
        </w:rPr>
        <w:t>shares of our common stock in this offering at an assumed initial public offering price of $        per share, the midpoint of the estimated price range set forth on the cover of this prospectus, after deducting the estimated underwriting discounts and commissions and estimated offering expenses payable by us.</w:t>
      </w:r>
    </w:p>
    <w:p>
      <w:pPr>
        <w:spacing w:after="0" w:line="11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 pro forma as adjusted information set forth below is illustrative only and will be adjusted based on the actual initial public offering price and other terms of this offering determined at pricing.</w:t>
      </w:r>
    </w:p>
    <w:p>
      <w:pPr>
        <w:spacing w:after="0" w:line="73"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You should read this table together with the section entitled “Management’s discussion and analysis of financial condition and results of operations” and our financial statements and related notes, each included elsewhere in this prospectus.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6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rPr>
              <w:t>As of March 31, 2024</w:t>
            </w:r>
          </w:p>
        </w:tc>
      </w:tr>
      <w:tr>
        <w:trPr>
          <w:trHeight w:val="168"/>
        </w:trPr>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4"/>
          </w:tcPr>
          <w:p>
            <w:pPr>
              <w:jc w:val="right"/>
              <w:ind w:right="20"/>
              <w:spacing w:after="0" w:line="168" w:lineRule="exact"/>
              <w:rPr>
                <w:sz w:val="20"/>
                <w:szCs w:val="20"/>
                <w:color w:val="auto"/>
              </w:rPr>
            </w:pPr>
            <w:r>
              <w:rPr>
                <w:rFonts w:ascii="Arial" w:cs="Arial" w:eastAsia="Arial" w:hAnsi="Arial"/>
                <w:sz w:val="16"/>
                <w:szCs w:val="16"/>
                <w:b w:val="1"/>
                <w:bCs w:val="1"/>
                <w:color w:val="auto"/>
              </w:rPr>
              <w:t>Pro forma</w:t>
            </w:r>
          </w:p>
        </w:tc>
        <w:tc>
          <w:tcPr>
            <w:tcW w:w="40" w:type="dxa"/>
            <w:vAlign w:val="bottom"/>
          </w:tcPr>
          <w:p>
            <w:pPr>
              <w:spacing w:after="0"/>
              <w:rPr>
                <w:sz w:val="14"/>
                <w:szCs w:val="14"/>
                <w:color w:val="auto"/>
              </w:rPr>
            </w:pPr>
          </w:p>
        </w:tc>
      </w:tr>
      <w:tr>
        <w:trPr>
          <w:trHeight w:val="203"/>
        </w:trPr>
        <w:tc>
          <w:tcPr>
            <w:tcW w:w="6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Actual</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 forma</w:t>
            </w:r>
          </w:p>
        </w:tc>
        <w:tc>
          <w:tcPr>
            <w:tcW w:w="7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as adjusted</w:t>
            </w:r>
          </w:p>
        </w:tc>
      </w:tr>
      <w:tr>
        <w:trPr>
          <w:trHeight w:val="168"/>
        </w:trPr>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gridSpan w:val="5"/>
          </w:tcPr>
          <w:p>
            <w:pPr>
              <w:jc w:val="right"/>
              <w:ind w:right="60"/>
              <w:spacing w:after="0" w:line="168" w:lineRule="exact"/>
              <w:rPr>
                <w:sz w:val="20"/>
                <w:szCs w:val="20"/>
                <w:color w:val="auto"/>
              </w:rPr>
            </w:pPr>
            <w:r>
              <w:rPr>
                <w:rFonts w:ascii="Arial" w:cs="Arial" w:eastAsia="Arial" w:hAnsi="Arial"/>
                <w:sz w:val="16"/>
                <w:szCs w:val="16"/>
                <w:b w:val="1"/>
                <w:bCs w:val="1"/>
                <w:color w:val="auto"/>
              </w:rPr>
              <w:t>(unaudited)</w:t>
            </w:r>
          </w:p>
        </w:tc>
      </w:tr>
      <w:tr>
        <w:trPr>
          <w:trHeight w:val="203"/>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20" w:type="dxa"/>
            <w:vAlign w:val="bottom"/>
            <w:gridSpan w:val="9"/>
          </w:tcPr>
          <w:p>
            <w:pPr>
              <w:jc w:val="right"/>
              <w:ind w:right="60"/>
              <w:spacing w:after="0"/>
              <w:rPr>
                <w:sz w:val="20"/>
                <w:szCs w:val="20"/>
                <w:color w:val="auto"/>
              </w:rPr>
            </w:pPr>
            <w:r>
              <w:rPr>
                <w:rFonts w:ascii="Arial" w:cs="Arial" w:eastAsia="Arial" w:hAnsi="Arial"/>
                <w:sz w:val="16"/>
                <w:szCs w:val="16"/>
                <w:b w:val="1"/>
                <w:bCs w:val="1"/>
                <w:color w:val="auto"/>
              </w:rPr>
              <w:t>(in thousands, except share and per share data)</w:t>
            </w:r>
          </w:p>
        </w:tc>
      </w:tr>
      <w:tr>
        <w:trPr>
          <w:trHeight w:val="203"/>
        </w:trPr>
        <w:tc>
          <w:tcPr>
            <w:tcW w:w="32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ind w:left="140"/>
              <w:spacing w:after="0"/>
              <w:rPr>
                <w:sz w:val="20"/>
                <w:szCs w:val="20"/>
                <w:color w:val="auto"/>
              </w:rPr>
            </w:pPr>
            <w:r>
              <w:rPr>
                <w:rFonts w:ascii="Arial" w:cs="Arial" w:eastAsia="Arial" w:hAnsi="Arial"/>
                <w:sz w:val="4"/>
                <w:szCs w:val="4"/>
                <w:color w:val="auto"/>
                <w:w w:val="98"/>
              </w:rPr>
              <w:t> </w:t>
            </w:r>
          </w:p>
        </w:tc>
        <w:tc>
          <w:tcPr>
            <w:tcW w:w="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 xml:space="preserve">    </w:t>
            </w:r>
          </w:p>
        </w:tc>
        <w:tc>
          <w:tcPr>
            <w:tcW w:w="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xml:space="preserve">       </w:t>
            </w:r>
          </w:p>
        </w:tc>
        <w:tc>
          <w:tcPr>
            <w:tcW w:w="7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420"/>
              <w:spacing w:after="0"/>
              <w:rPr>
                <w:sz w:val="20"/>
                <w:szCs w:val="20"/>
                <w:color w:val="auto"/>
              </w:rPr>
            </w:pPr>
            <w:r>
              <w:rPr>
                <w:rFonts w:ascii="Arial" w:cs="Arial" w:eastAsia="Arial" w:hAnsi="Arial"/>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360" w:type="dxa"/>
            <w:vAlign w:val="bottom"/>
            <w:gridSpan w:val="3"/>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r>
        <w:trPr>
          <w:trHeight w:val="232"/>
        </w:trPr>
        <w:tc>
          <w:tcPr>
            <w:tcW w:w="3220" w:type="dxa"/>
            <w:vAlign w:val="bottom"/>
            <w:gridSpan w:val="3"/>
          </w:tcPr>
          <w:p>
            <w:pPr>
              <w:spacing w:after="0"/>
              <w:rPr>
                <w:sz w:val="20"/>
                <w:szCs w:val="20"/>
                <w:color w:val="auto"/>
              </w:rPr>
            </w:pPr>
            <w:r>
              <w:rPr>
                <w:rFonts w:ascii="Arial" w:cs="Arial" w:eastAsia="Arial" w:hAnsi="Arial"/>
                <w:sz w:val="18"/>
                <w:szCs w:val="18"/>
                <w:color w:val="auto"/>
              </w:rPr>
              <w:t>Convertible promissory notes</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
        </w:trPr>
        <w:tc>
          <w:tcPr>
            <w:tcW w:w="6340" w:type="dxa"/>
            <w:vAlign w:val="bottom"/>
            <w:gridSpan w:val="6"/>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84"/>
        </w:trPr>
        <w:tc>
          <w:tcPr>
            <w:tcW w:w="6340" w:type="dxa"/>
            <w:vAlign w:val="bottom"/>
            <w:gridSpan w:val="6"/>
            <w:shd w:val="clear" w:color="auto" w:fill="CCEEFF"/>
          </w:tcPr>
          <w:p>
            <w:pPr>
              <w:spacing w:after="0" w:line="183" w:lineRule="exact"/>
              <w:rPr>
                <w:sz w:val="20"/>
                <w:szCs w:val="20"/>
                <w:color w:val="auto"/>
              </w:rPr>
            </w:pPr>
            <w:r>
              <w:rPr>
                <w:rFonts w:ascii="Arial" w:cs="Arial" w:eastAsia="Arial" w:hAnsi="Arial"/>
                <w:sz w:val="18"/>
                <w:szCs w:val="18"/>
                <w:color w:val="auto"/>
              </w:rPr>
              <w:t>Redeemable convertible preferred stock, par value $0.001 per share;</w:t>
            </w:r>
          </w:p>
        </w:tc>
        <w:tc>
          <w:tcPr>
            <w:tcW w:w="360" w:type="dxa"/>
            <w:vAlign w:val="bottom"/>
            <w:gridSpan w:val="2"/>
            <w:shd w:val="clear" w:color="auto" w:fill="CCEEFF"/>
          </w:tcPr>
          <w:p>
            <w:pPr>
              <w:jc w:val="center"/>
              <w:spacing w:after="0" w:line="183"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2"/>
              <w:spacing w:after="0" w:line="18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xml:space="preserve">       </w:t>
            </w:r>
          </w:p>
        </w:tc>
        <w:tc>
          <w:tcPr>
            <w:tcW w:w="5680" w:type="dxa"/>
            <w:vAlign w:val="bottom"/>
            <w:gridSpan w:val="5"/>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shares authorized, issued and outstanding, actual; no shares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340" w:type="dxa"/>
            <w:vAlign w:val="bottom"/>
            <w:gridSpan w:val="6"/>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issued and outstanding, pro forma and pro forma as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2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3"/>
        </w:trPr>
        <w:tc>
          <w:tcPr>
            <w:tcW w:w="3220" w:type="dxa"/>
            <w:vAlign w:val="bottom"/>
            <w:gridSpan w:val="3"/>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4"/>
        </w:trPr>
        <w:tc>
          <w:tcPr>
            <w:tcW w:w="6340" w:type="dxa"/>
            <w:vAlign w:val="bottom"/>
            <w:gridSpan w:val="6"/>
            <w:shd w:val="clear" w:color="auto" w:fill="CCEEFF"/>
          </w:tcPr>
          <w:p>
            <w:pPr>
              <w:ind w:left="180"/>
              <w:spacing w:after="0" w:line="183" w:lineRule="exact"/>
              <w:rPr>
                <w:sz w:val="20"/>
                <w:szCs w:val="20"/>
                <w:color w:val="auto"/>
              </w:rPr>
            </w:pPr>
            <w:r>
              <w:rPr>
                <w:rFonts w:ascii="Arial" w:cs="Arial" w:eastAsia="Arial" w:hAnsi="Arial"/>
                <w:sz w:val="18"/>
                <w:szCs w:val="18"/>
                <w:color w:val="auto"/>
              </w:rPr>
              <w:t>Preferred stock, par value $0.001 per share; no shares authorized,</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32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 xml:space="preserve">issued and outstanding, actual;     </w:t>
            </w:r>
          </w:p>
        </w:tc>
        <w:tc>
          <w:tcPr>
            <w:tcW w:w="3120" w:type="dxa"/>
            <w:vAlign w:val="bottom"/>
            <w:gridSpan w:val="3"/>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w w:val="97"/>
              </w:rPr>
              <w:t>      shares authorized, no shares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1"/>
        </w:trPr>
        <w:tc>
          <w:tcPr>
            <w:tcW w:w="634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issued and outstanding, pro forma and pro forma as adjusted</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184"/>
        </w:trPr>
        <w:tc>
          <w:tcPr>
            <w:tcW w:w="4260" w:type="dxa"/>
            <w:vAlign w:val="bottom"/>
            <w:gridSpan w:val="4"/>
          </w:tcPr>
          <w:p>
            <w:pPr>
              <w:ind w:left="180"/>
              <w:spacing w:after="0" w:line="183" w:lineRule="exact"/>
              <w:rPr>
                <w:sz w:val="20"/>
                <w:szCs w:val="20"/>
                <w:color w:val="auto"/>
              </w:rPr>
            </w:pPr>
            <w:r>
              <w:rPr>
                <w:rFonts w:ascii="Arial" w:cs="Arial" w:eastAsia="Arial" w:hAnsi="Arial"/>
                <w:sz w:val="18"/>
                <w:szCs w:val="18"/>
                <w:color w:val="auto"/>
              </w:rPr>
              <w:t xml:space="preserve">Common stock, par value $0.001 per share;        </w:t>
            </w:r>
          </w:p>
        </w:tc>
        <w:tc>
          <w:tcPr>
            <w:tcW w:w="180" w:type="dxa"/>
            <w:vAlign w:val="bottom"/>
          </w:tcPr>
          <w:p>
            <w:pPr>
              <w:spacing w:after="0" w:line="183" w:lineRule="exact"/>
              <w:rPr>
                <w:sz w:val="20"/>
                <w:szCs w:val="20"/>
                <w:color w:val="auto"/>
              </w:rPr>
            </w:pPr>
            <w:r>
              <w:rPr>
                <w:rFonts w:ascii="Arial" w:cs="Arial" w:eastAsia="Arial" w:hAnsi="Arial"/>
                <w:sz w:val="18"/>
                <w:szCs w:val="18"/>
                <w:color w:val="auto"/>
                <w:w w:val="88"/>
              </w:rPr>
              <w:t> </w:t>
            </w:r>
          </w:p>
        </w:tc>
        <w:tc>
          <w:tcPr>
            <w:tcW w:w="1900" w:type="dxa"/>
            <w:vAlign w:val="bottom"/>
          </w:tcPr>
          <w:p>
            <w:pPr>
              <w:jc w:val="right"/>
              <w:ind w:right="330"/>
              <w:spacing w:after="0" w:line="183" w:lineRule="exact"/>
              <w:rPr>
                <w:sz w:val="20"/>
                <w:szCs w:val="20"/>
                <w:color w:val="auto"/>
              </w:rPr>
            </w:pPr>
            <w:r>
              <w:rPr>
                <w:rFonts w:ascii="Arial" w:cs="Arial" w:eastAsia="Arial" w:hAnsi="Arial"/>
                <w:sz w:val="18"/>
                <w:szCs w:val="18"/>
                <w:color w:val="auto"/>
                <w:w w:val="98"/>
              </w:rPr>
              <w:t>shares authorized,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 xml:space="preserve">    </w:t>
            </w:r>
          </w:p>
        </w:tc>
        <w:tc>
          <w:tcPr>
            <w:tcW w:w="360" w:type="dxa"/>
            <w:vAlign w:val="bottom"/>
          </w:tcPr>
          <w:p>
            <w:pPr>
              <w:ind w:left="60"/>
              <w:spacing w:after="0" w:line="202" w:lineRule="exact"/>
              <w:rPr>
                <w:sz w:val="20"/>
                <w:szCs w:val="20"/>
                <w:color w:val="auto"/>
              </w:rPr>
            </w:pPr>
            <w:r>
              <w:rPr>
                <w:rFonts w:ascii="Arial" w:cs="Arial" w:eastAsia="Arial" w:hAnsi="Arial"/>
                <w:sz w:val="18"/>
                <w:szCs w:val="18"/>
                <w:color w:val="auto"/>
              </w:rPr>
              <w:t xml:space="preserve">    </w:t>
            </w:r>
          </w:p>
        </w:tc>
        <w:tc>
          <w:tcPr>
            <w:tcW w:w="324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5"/>
              </w:rPr>
              <w:t>shares issued and outstanding, actual; </w:t>
            </w:r>
          </w:p>
        </w:tc>
        <w:tc>
          <w:tcPr>
            <w:tcW w:w="180" w:type="dxa"/>
            <w:vAlign w:val="bottom"/>
          </w:tcPr>
          <w:p>
            <w:pPr>
              <w:ind w:left="120"/>
              <w:spacing w:after="0"/>
              <w:rPr>
                <w:sz w:val="20"/>
                <w:szCs w:val="20"/>
                <w:color w:val="auto"/>
              </w:rPr>
            </w:pPr>
            <w:r>
              <w:rPr>
                <w:rFonts w:ascii="Arial" w:cs="Arial" w:eastAsia="Arial" w:hAnsi="Arial"/>
                <w:sz w:val="4"/>
                <w:szCs w:val="4"/>
                <w:color w:val="auto"/>
                <w:w w:val="98"/>
              </w:rPr>
              <w:t> </w:t>
            </w:r>
          </w:p>
        </w:tc>
        <w:tc>
          <w:tcPr>
            <w:tcW w:w="190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      shares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340" w:type="dxa"/>
            <w:vAlign w:val="bottom"/>
            <w:gridSpan w:val="6"/>
          </w:tcPr>
          <w:p>
            <w:pPr>
              <w:ind w:left="360"/>
              <w:spacing w:after="0" w:line="202" w:lineRule="exact"/>
              <w:rPr>
                <w:sz w:val="20"/>
                <w:szCs w:val="20"/>
                <w:color w:val="auto"/>
              </w:rPr>
            </w:pPr>
            <w:r>
              <w:rPr>
                <w:rFonts w:ascii="Arial" w:cs="Arial" w:eastAsia="Arial" w:hAnsi="Arial"/>
                <w:sz w:val="18"/>
                <w:szCs w:val="18"/>
                <w:color w:val="auto"/>
              </w:rPr>
              <w:t>authorized,             shares issued and outstanding, pro forma;</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 xml:space="preserve">    </w:t>
            </w:r>
          </w:p>
        </w:tc>
        <w:tc>
          <w:tcPr>
            <w:tcW w:w="360" w:type="dxa"/>
            <w:vAlign w:val="bottom"/>
          </w:tcPr>
          <w:p>
            <w:pPr>
              <w:ind w:left="60"/>
              <w:spacing w:after="0" w:line="202" w:lineRule="exact"/>
              <w:rPr>
                <w:sz w:val="20"/>
                <w:szCs w:val="20"/>
                <w:color w:val="auto"/>
              </w:rPr>
            </w:pPr>
            <w:r>
              <w:rPr>
                <w:rFonts w:ascii="Arial" w:cs="Arial" w:eastAsia="Arial" w:hAnsi="Arial"/>
                <w:sz w:val="18"/>
                <w:szCs w:val="18"/>
                <w:color w:val="auto"/>
              </w:rPr>
              <w:t xml:space="preserve">    </w:t>
            </w:r>
          </w:p>
        </w:tc>
        <w:tc>
          <w:tcPr>
            <w:tcW w:w="2200" w:type="dxa"/>
            <w:vAlign w:val="bottom"/>
          </w:tcPr>
          <w:p>
            <w:pPr>
              <w:ind w:left="60"/>
              <w:spacing w:after="0" w:line="202" w:lineRule="exact"/>
              <w:rPr>
                <w:sz w:val="20"/>
                <w:szCs w:val="20"/>
                <w:color w:val="auto"/>
              </w:rPr>
            </w:pPr>
            <w:r>
              <w:rPr>
                <w:rFonts w:ascii="Arial" w:cs="Arial" w:eastAsia="Arial" w:hAnsi="Arial"/>
                <w:sz w:val="18"/>
                <w:szCs w:val="18"/>
                <w:color w:val="auto"/>
              </w:rPr>
              <w:t xml:space="preserve">shares authorized,          </w:t>
            </w:r>
          </w:p>
        </w:tc>
        <w:tc>
          <w:tcPr>
            <w:tcW w:w="3120" w:type="dxa"/>
            <w:vAlign w:val="bottom"/>
            <w:gridSpan w:val="3"/>
          </w:tcPr>
          <w:p>
            <w:pPr>
              <w:jc w:val="right"/>
              <w:ind w:right="430"/>
              <w:spacing w:after="0" w:line="202" w:lineRule="exact"/>
              <w:rPr>
                <w:sz w:val="20"/>
                <w:szCs w:val="20"/>
                <w:color w:val="auto"/>
              </w:rPr>
            </w:pPr>
            <w:r>
              <w:rPr>
                <w:rFonts w:ascii="Arial" w:cs="Arial" w:eastAsia="Arial" w:hAnsi="Arial"/>
                <w:sz w:val="18"/>
                <w:szCs w:val="18"/>
                <w:color w:val="auto"/>
              </w:rPr>
              <w:t>shares issued and outstanding,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3220" w:type="dxa"/>
            <w:vAlign w:val="bottom"/>
            <w:gridSpan w:val="3"/>
          </w:tcPr>
          <w:p>
            <w:pPr>
              <w:ind w:left="360"/>
              <w:spacing w:after="0"/>
              <w:rPr>
                <w:sz w:val="20"/>
                <w:szCs w:val="20"/>
                <w:color w:val="auto"/>
              </w:rPr>
            </w:pPr>
            <w:r>
              <w:rPr>
                <w:rFonts w:ascii="Arial" w:cs="Arial" w:eastAsia="Arial" w:hAnsi="Arial"/>
                <w:sz w:val="18"/>
                <w:szCs w:val="18"/>
                <w:color w:val="auto"/>
              </w:rPr>
              <w:t>pro forma as adjusted</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3220" w:type="dxa"/>
            <w:vAlign w:val="bottom"/>
            <w:gridSpan w:val="3"/>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322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322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w w:val="99"/>
              </w:rPr>
              <w:t>Total stockholders’ (deficit) equity</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2"/>
        </w:trPr>
        <w:tc>
          <w:tcPr>
            <w:tcW w:w="660" w:type="dxa"/>
            <w:vAlign w:val="bottom"/>
          </w:tcPr>
          <w:p>
            <w:pPr>
              <w:spacing w:after="0"/>
              <w:rPr>
                <w:sz w:val="20"/>
                <w:szCs w:val="20"/>
                <w:color w:val="auto"/>
              </w:rPr>
            </w:pP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Total capitalization</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ind w:left="42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300" w:type="dxa"/>
            <w:vAlign w:val="bottom"/>
          </w:tcPr>
          <w:p>
            <w:pPr>
              <w:ind w:left="6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0"/>
        </w:trPr>
        <w:tc>
          <w:tcPr>
            <w:tcW w:w="6340" w:type="dxa"/>
            <w:vAlign w:val="bottom"/>
            <w:tcBorders>
              <w:bottom w:val="single" w:sz="8" w:color="auto"/>
            </w:tcBorders>
            <w:gridSpan w:val="6"/>
          </w:tcPr>
          <w:p>
            <w:pPr>
              <w:spacing w:after="0"/>
              <w:rPr>
                <w:sz w:val="15"/>
                <w:szCs w:val="15"/>
                <w:color w:val="auto"/>
              </w:rPr>
            </w:pPr>
          </w:p>
        </w:tc>
        <w:tc>
          <w:tcPr>
            <w:tcW w:w="360" w:type="dxa"/>
            <w:vAlign w:val="bottom"/>
            <w:tcBorders>
              <w:bottom w:val="single" w:sz="8" w:color="auto"/>
            </w:tcBorders>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26"/>
        </w:trPr>
        <w:tc>
          <w:tcPr>
            <w:tcW w:w="6340" w:type="dxa"/>
            <w:vAlign w:val="bottom"/>
            <w:gridSpan w:val="6"/>
          </w:tcPr>
          <w:p>
            <w:pPr>
              <w:spacing w:after="0"/>
              <w:rPr>
                <w:sz w:val="20"/>
                <w:szCs w:val="20"/>
                <w:color w:val="auto"/>
              </w:rPr>
            </w:pPr>
            <w:r>
              <w:rPr>
                <w:rFonts w:ascii="Arial" w:cs="Arial" w:eastAsia="Arial" w:hAnsi="Arial"/>
                <w:sz w:val="18"/>
                <w:szCs w:val="18"/>
                <w:color w:val="auto"/>
              </w:rPr>
              <w:t xml:space="preserve">Each $1.00 increase (decrease) in the assumed initial public offering price of $ </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rPr>
              <w:t xml:space="preserve">    </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 </w:t>
            </w:r>
          </w:p>
        </w:tc>
        <w:tc>
          <w:tcPr>
            <w:tcW w:w="4120" w:type="dxa"/>
            <w:vAlign w:val="bottom"/>
            <w:gridSpan w:val="9"/>
          </w:tcPr>
          <w:p>
            <w:pPr>
              <w:ind w:left="100"/>
              <w:spacing w:after="0"/>
              <w:rPr>
                <w:sz w:val="20"/>
                <w:szCs w:val="20"/>
                <w:color w:val="auto"/>
              </w:rPr>
            </w:pPr>
            <w:r>
              <w:rPr>
                <w:rFonts w:ascii="Arial" w:cs="Arial" w:eastAsia="Arial" w:hAnsi="Arial"/>
                <w:sz w:val="18"/>
                <w:szCs w:val="18"/>
                <w:color w:val="auto"/>
              </w:rPr>
              <w:t>per share, which is the midpoint of the estimated</w:t>
            </w:r>
          </w:p>
        </w:tc>
      </w:tr>
      <w:tr>
        <w:trPr>
          <w:trHeight w:val="203"/>
        </w:trPr>
        <w:tc>
          <w:tcPr>
            <w:tcW w:w="10480" w:type="dxa"/>
            <w:vAlign w:val="bottom"/>
            <w:gridSpan w:val="14"/>
          </w:tcPr>
          <w:p>
            <w:pPr>
              <w:spacing w:after="0" w:line="202" w:lineRule="exact"/>
              <w:rPr>
                <w:sz w:val="20"/>
                <w:szCs w:val="20"/>
                <w:color w:val="auto"/>
              </w:rPr>
            </w:pPr>
            <w:r>
              <w:rPr>
                <w:rFonts w:ascii="Arial" w:cs="Arial" w:eastAsia="Arial" w:hAnsi="Arial"/>
                <w:sz w:val="18"/>
                <w:szCs w:val="18"/>
                <w:color w:val="auto"/>
              </w:rPr>
              <w:t>price range set forth on the cover of this prospectus, would increase (decrease) each of our pro forma as adjusted cash and cash</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9160" w:type="dxa"/>
            <w:vAlign w:val="bottom"/>
            <w:gridSpan w:val="12"/>
          </w:tcPr>
          <w:p>
            <w:pPr>
              <w:spacing w:after="0" w:line="202" w:lineRule="exact"/>
              <w:rPr>
                <w:sz w:val="20"/>
                <w:szCs w:val="20"/>
                <w:color w:val="auto"/>
              </w:rPr>
            </w:pPr>
            <w:r>
              <w:rPr>
                <w:rFonts w:ascii="Arial" w:cs="Arial" w:eastAsia="Arial" w:hAnsi="Arial"/>
                <w:sz w:val="18"/>
                <w:szCs w:val="18"/>
                <w:color w:val="auto"/>
              </w:rPr>
              <w:t xml:space="preserve">equivalents, additional paid-in-capital, total stockholders’ equity (deficit) and total capitalization by approximately $ </w:t>
            </w:r>
          </w:p>
        </w:tc>
        <w:tc>
          <w:tcPr>
            <w:tcW w:w="13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         million,</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10480" w:type="dxa"/>
            <w:vAlign w:val="bottom"/>
            <w:gridSpan w:val="14"/>
          </w:tcPr>
          <w:p>
            <w:pPr>
              <w:spacing w:after="0"/>
              <w:rPr>
                <w:sz w:val="20"/>
                <w:szCs w:val="20"/>
                <w:color w:val="auto"/>
              </w:rPr>
            </w:pPr>
            <w:r>
              <w:rPr>
                <w:rFonts w:ascii="Arial" w:cs="Arial" w:eastAsia="Arial" w:hAnsi="Arial"/>
                <w:sz w:val="18"/>
                <w:szCs w:val="18"/>
                <w:color w:val="auto"/>
              </w:rPr>
              <w:t>assuming that the number of shares of our common stock offered remains the same and after deducting the estimated underwriting</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ind w:left="120"/>
        <w:spacing w:after="0"/>
        <w:rPr>
          <w:sz w:val="20"/>
          <w:szCs w:val="20"/>
          <w:color w:val="auto"/>
        </w:rPr>
      </w:pPr>
      <w:r>
        <w:rPr>
          <w:rFonts w:ascii="Arial" w:cs="Arial" w:eastAsia="Arial" w:hAnsi="Arial"/>
          <w:sz w:val="18"/>
          <w:szCs w:val="18"/>
          <w:color w:val="auto"/>
        </w:rPr>
        <w:t>discounts and commissions. Similarly, each increase (decrease) of 1.0 million shares in the number of shares of our common stock offered would increase (decrease) each of our pro forma as adjusted cash and cash equivalents, additional paid-in-capital, total stockholders’ equity (deficit) and total capitalization by approximately $        million, assuming the assumed initial public offering price remains the same and after deducting the estimated underwriting discounts and commissions.</w:t>
      </w:r>
    </w:p>
    <w:p>
      <w:pPr>
        <w:spacing w:after="0" w:line="113" w:lineRule="exact"/>
        <w:rPr>
          <w:sz w:val="20"/>
          <w:szCs w:val="20"/>
          <w:color w:val="auto"/>
        </w:rPr>
      </w:pPr>
    </w:p>
    <w:p>
      <w:pPr>
        <w:jc w:val="both"/>
        <w:ind w:left="120" w:right="400"/>
        <w:spacing w:after="0" w:line="253" w:lineRule="auto"/>
        <w:rPr>
          <w:sz w:val="20"/>
          <w:szCs w:val="20"/>
          <w:color w:val="auto"/>
        </w:rPr>
      </w:pPr>
      <w:r>
        <w:rPr>
          <w:rFonts w:ascii="Arial" w:cs="Arial" w:eastAsia="Arial" w:hAnsi="Arial"/>
          <w:sz w:val="18"/>
          <w:szCs w:val="18"/>
          <w:color w:val="auto"/>
        </w:rPr>
        <w:t>If the underwriters exercise their option to purchase additional shares of our common stock in full, our pro forma as adjusted cash and cash equivalents, additional paid-in capital, total stockholders’ equity (deficit) and total capitalization would increase by approximately $        million.</w:t>
      </w:r>
    </w:p>
    <w:p>
      <w:pPr>
        <w:spacing w:after="0" w:line="88"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The shares of our common stock issued and outstanding, pro forma and pro forma adjusted in the table above includes        unvested restricted shares subject to repurchase.</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5" w:right="4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612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538"/>
        </w:trPr>
        <w:tc>
          <w:tcPr>
            <w:tcW w:w="7480" w:type="dxa"/>
            <w:vAlign w:val="bottom"/>
            <w:gridSpan w:val="7"/>
          </w:tcPr>
          <w:p>
            <w:pPr>
              <w:ind w:left="120"/>
              <w:spacing w:after="0"/>
              <w:rPr>
                <w:sz w:val="20"/>
                <w:szCs w:val="20"/>
                <w:color w:val="auto"/>
              </w:rPr>
            </w:pPr>
            <w:r>
              <w:rPr>
                <w:rFonts w:ascii="Arial" w:cs="Arial" w:eastAsia="Arial" w:hAnsi="Arial"/>
                <w:sz w:val="18"/>
                <w:szCs w:val="18"/>
                <w:color w:val="auto"/>
              </w:rPr>
              <w:t>The table above excludes the following shares:</w:t>
            </w:r>
          </w:p>
        </w:tc>
        <w:tc>
          <w:tcPr>
            <w:tcW w:w="3620" w:type="dxa"/>
            <w:vAlign w:val="bottom"/>
          </w:tcPr>
          <w:p>
            <w:pPr>
              <w:spacing w:after="0"/>
              <w:rPr>
                <w:sz w:val="24"/>
                <w:szCs w:val="24"/>
                <w:color w:val="auto"/>
              </w:rPr>
            </w:pPr>
          </w:p>
        </w:tc>
      </w:tr>
      <w:tr>
        <w:trPr>
          <w:trHeight w:val="315"/>
        </w:trPr>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w w:val="99"/>
              </w:rPr>
              <w:t>shares of our common stock issuable upon the exercise of options to purchase shares of our common stock outstanding as of</w:t>
            </w:r>
          </w:p>
        </w:tc>
      </w:tr>
      <w:tr>
        <w:trPr>
          <w:trHeight w:val="239"/>
        </w:trPr>
        <w:tc>
          <w:tcPr>
            <w:tcW w:w="260" w:type="dxa"/>
            <w:vAlign w:val="bottom"/>
          </w:tcPr>
          <w:p>
            <w:pPr>
              <w:spacing w:after="0"/>
              <w:rPr>
                <w:sz w:val="20"/>
                <w:szCs w:val="20"/>
                <w:color w:val="auto"/>
              </w:rPr>
            </w:pPr>
          </w:p>
        </w:tc>
        <w:tc>
          <w:tcPr>
            <w:tcW w:w="7220" w:type="dxa"/>
            <w:vAlign w:val="bottom"/>
            <w:gridSpan w:val="6"/>
          </w:tcPr>
          <w:p>
            <w:pPr>
              <w:ind w:left="80"/>
              <w:spacing w:after="0"/>
              <w:rPr>
                <w:sz w:val="20"/>
                <w:szCs w:val="20"/>
                <w:color w:val="auto"/>
              </w:rPr>
            </w:pPr>
            <w:r>
              <w:rPr>
                <w:rFonts w:ascii="Arial" w:cs="Arial" w:eastAsia="Arial" w:hAnsi="Arial"/>
                <w:sz w:val="18"/>
                <w:szCs w:val="18"/>
                <w:color w:val="auto"/>
              </w:rPr>
              <w:t xml:space="preserve">March 31, 2024 under our 2019 Plan, with a weighted-average exercise price of $          </w:t>
            </w:r>
          </w:p>
        </w:tc>
        <w:tc>
          <w:tcPr>
            <w:tcW w:w="3620" w:type="dxa"/>
            <w:vAlign w:val="bottom"/>
          </w:tcPr>
          <w:p>
            <w:pPr>
              <w:ind w:left="120"/>
              <w:spacing w:after="0"/>
              <w:rPr>
                <w:sz w:val="20"/>
                <w:szCs w:val="20"/>
                <w:color w:val="auto"/>
              </w:rPr>
            </w:pPr>
            <w:r>
              <w:rPr>
                <w:rFonts w:ascii="Arial" w:cs="Arial" w:eastAsia="Arial" w:hAnsi="Arial"/>
                <w:sz w:val="18"/>
                <w:szCs w:val="18"/>
                <w:color w:val="auto"/>
              </w:rPr>
              <w:t>per share;</w:t>
            </w:r>
          </w:p>
        </w:tc>
      </w:tr>
      <w:tr>
        <w:trPr>
          <w:trHeight w:val="315"/>
        </w:trPr>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shares of our common stock issuable upon the exercise of options to purchase shares of our common stock granted after</w:t>
            </w:r>
          </w:p>
        </w:tc>
      </w:tr>
      <w:tr>
        <w:trPr>
          <w:trHeight w:val="239"/>
        </w:trPr>
        <w:tc>
          <w:tcPr>
            <w:tcW w:w="260" w:type="dxa"/>
            <w:vAlign w:val="bottom"/>
          </w:tcPr>
          <w:p>
            <w:pPr>
              <w:spacing w:after="0"/>
              <w:rPr>
                <w:sz w:val="20"/>
                <w:szCs w:val="20"/>
                <w:color w:val="auto"/>
              </w:rPr>
            </w:pPr>
          </w:p>
        </w:tc>
        <w:tc>
          <w:tcPr>
            <w:tcW w:w="7220" w:type="dxa"/>
            <w:vAlign w:val="bottom"/>
            <w:gridSpan w:val="6"/>
          </w:tcPr>
          <w:p>
            <w:pPr>
              <w:ind w:left="80"/>
              <w:spacing w:after="0"/>
              <w:rPr>
                <w:sz w:val="20"/>
                <w:szCs w:val="20"/>
                <w:color w:val="auto"/>
              </w:rPr>
            </w:pPr>
            <w:r>
              <w:rPr>
                <w:rFonts w:ascii="Arial" w:cs="Arial" w:eastAsia="Arial" w:hAnsi="Arial"/>
                <w:sz w:val="18"/>
                <w:szCs w:val="18"/>
                <w:color w:val="auto"/>
              </w:rPr>
              <w:t xml:space="preserve">March 31, 2024 under our 2019 Plan, with a weighted-average exercise price of $          </w:t>
            </w:r>
          </w:p>
        </w:tc>
        <w:tc>
          <w:tcPr>
            <w:tcW w:w="3620" w:type="dxa"/>
            <w:vAlign w:val="bottom"/>
          </w:tcPr>
          <w:p>
            <w:pPr>
              <w:ind w:left="60"/>
              <w:spacing w:after="0"/>
              <w:rPr>
                <w:sz w:val="20"/>
                <w:szCs w:val="20"/>
                <w:color w:val="auto"/>
              </w:rPr>
            </w:pPr>
            <w:r>
              <w:rPr>
                <w:rFonts w:ascii="Arial" w:cs="Arial" w:eastAsia="Arial" w:hAnsi="Arial"/>
                <w:sz w:val="18"/>
                <w:szCs w:val="18"/>
                <w:color w:val="auto"/>
              </w:rPr>
              <w:t>per share; and</w:t>
            </w:r>
          </w:p>
        </w:tc>
      </w:tr>
      <w:tr>
        <w:trPr>
          <w:trHeight w:val="351"/>
        </w:trPr>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10080" w:type="dxa"/>
            <w:vAlign w:val="bottom"/>
            <w:gridSpan w:val="3"/>
          </w:tcPr>
          <w:p>
            <w:pPr>
              <w:ind w:left="80"/>
              <w:spacing w:after="0"/>
              <w:rPr>
                <w:sz w:val="20"/>
                <w:szCs w:val="20"/>
                <w:color w:val="auto"/>
              </w:rPr>
            </w:pPr>
            <w:r>
              <w:rPr>
                <w:rFonts w:ascii="Arial" w:cs="Arial" w:eastAsia="Arial" w:hAnsi="Arial"/>
                <w:sz w:val="18"/>
                <w:szCs w:val="18"/>
                <w:color w:val="auto"/>
              </w:rPr>
              <w:t>shares of our common stock reserved for future issuance under our equity compensation plans, consisting of:</w:t>
            </w:r>
          </w:p>
        </w:tc>
      </w:tr>
    </w:tbl>
    <w:p>
      <w:pPr>
        <w:ind w:left="80"/>
        <w:spacing w:after="0"/>
        <w:rPr>
          <w:sz w:val="20"/>
          <w:szCs w:val="20"/>
          <w:color w:val="auto"/>
        </w:rPr>
        <w:sectPr>
          <w:pgSz w:w="11900" w:h="16838" w:orient="portrait"/>
          <w:cols w:equalWidth="0" w:num="1">
            <w:col w:w="11100"/>
          </w:cols>
          <w:pgMar w:left="32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reserved for future issuance under our 2019 Plan;</w:t>
      </w:r>
    </w:p>
    <w:p>
      <w:pPr>
        <w:spacing w:after="0" w:line="144" w:lineRule="exact"/>
        <w:rPr>
          <w:sz w:val="20"/>
          <w:szCs w:val="20"/>
          <w:color w:val="auto"/>
        </w:rPr>
      </w:pPr>
    </w:p>
    <w:p>
      <w:pPr>
        <w:sectPr>
          <w:pgSz w:w="11900" w:h="16838" w:orient="portrait"/>
          <w:cols w:equalWidth="0" w:num="3">
            <w:col w:w="620" w:space="360"/>
            <w:col w:w="580" w:space="180"/>
            <w:col w:w="9360"/>
          </w:cols>
          <w:pgMar w:left="320" w:top="446" w:right="47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20"/>
        <w:spacing w:after="0" w:line="271" w:lineRule="auto"/>
        <w:rPr>
          <w:sz w:val="20"/>
          <w:szCs w:val="20"/>
          <w:color w:val="auto"/>
        </w:rPr>
      </w:pPr>
      <w:r>
        <w:rPr>
          <w:rFonts w:ascii="Arial" w:cs="Arial" w:eastAsia="Arial" w:hAnsi="Arial"/>
          <w:sz w:val="18"/>
          <w:szCs w:val="18"/>
          <w:color w:val="auto"/>
        </w:rPr>
        <w:t>        shares of our common stock to be reserved for future issuance under our 2024 Plan, which will become effective immediately prior to the date of the effectiveness of the registration statement of which this prospectus forms a part; and</w:t>
      </w:r>
    </w:p>
    <w:p>
      <w:pPr>
        <w:spacing w:after="0" w:line="86" w:lineRule="exact"/>
        <w:rPr>
          <w:sz w:val="20"/>
          <w:szCs w:val="20"/>
          <w:color w:val="auto"/>
        </w:rPr>
      </w:pPr>
    </w:p>
    <w:p>
      <w:pPr>
        <w:sectPr>
          <w:pgSz w:w="11900" w:h="16838" w:orient="portrait"/>
          <w:cols w:equalWidth="0" w:num="2">
            <w:col w:w="620" w:space="360"/>
            <w:col w:w="10120"/>
          </w:cols>
          <w:pgMar w:left="320" w:top="446" w:right="479" w:bottom="1440" w:gutter="0" w:footer="0" w:header="0"/>
          <w:type w:val="continuous"/>
        </w:sectPr>
      </w:pPr>
    </w:p>
    <w:p>
      <w:pPr>
        <w:ind w:left="980" w:right="260" w:hanging="432"/>
        <w:spacing w:after="0" w:line="271"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shares of our common stock to be reserved for future issuance under our ESPP, which will become effective on the date of the effectiveness of the registration statement of which this prospectus forms a part.</w:t>
      </w:r>
    </w:p>
    <w:p>
      <w:pPr>
        <w:spacing w:after="0" w:line="86"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Our 2024 Plan and our ESPP provide for automatic annual increases in the number of shares of our common stock reserved thereunder, and our 2024 Plan provides for increases to the number of shares that may be granted thereunder based on shares under our 2019 Plan or 2018 Plan that expire, are tendered to or withheld by us for payment of an exercise price or for satisfying tax withholding obligations or are forfeited or otherwise repurchased by us. See the section entitled “Executive compensation—Equity compensation plans and other benefit plans” for additional information.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46" w:right="47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Dilution</w:t>
      </w:r>
    </w:p>
    <w:p>
      <w:pPr>
        <w:spacing w:after="0" w:line="168"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in this offering and the pro forma as adjusted net tangible book value per share of our common stock immediately after this offering.</w:t>
      </w:r>
    </w:p>
    <w:p>
      <w:pPr>
        <w:spacing w:after="0" w:line="101"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color w:val="auto"/>
        </w:rPr>
        <w:t>Net tangible book deficit per share is determined by dividing our total tangible assets less our total liabilities and redeemable convertible preferred stock by the number of shares of our common stock outstanding. Our historical net tangible book deficit as of March 31, 2024 was $        million, or $        per share, based on     shares of our common stock outstanding as of that date.</w:t>
      </w:r>
    </w:p>
    <w:p>
      <w:pPr>
        <w:spacing w:after="0" w:line="88"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 xml:space="preserve">Our pro forma net tangible book value as of March 31, 2024 was $        million, or $        per share of our common stock. Our pro forma net tangible book value per share represents the amount of our total tangible assets (which excludes deferred offering costs) less our total liabilities and divided by the total number of shares of our common stock outstanding as of March 31, 2024, after giving effect to (i) the automatic conversion of all outstanding shares of our redeemable convertible preferred stock into an aggregate of        </w:t>
      </w:r>
    </w:p>
    <w:p>
      <w:pPr>
        <w:ind w:left="120" w:right="220"/>
        <w:spacing w:after="0"/>
        <w:rPr>
          <w:sz w:val="20"/>
          <w:szCs w:val="20"/>
          <w:color w:val="auto"/>
        </w:rPr>
      </w:pPr>
      <w:r>
        <w:rPr>
          <w:rFonts w:ascii="Arial" w:cs="Arial" w:eastAsia="Arial" w:hAnsi="Arial"/>
          <w:sz w:val="18"/>
          <w:szCs w:val="18"/>
          <w:color w:val="auto"/>
        </w:rPr>
        <w:t>shares of common stock immediately prior to the completion of this offering and (ii) the automatic conversion of all principal and accrued and unpaid interest on our outstanding convertible promissory notes into       shares of our common stock immediately prior to the completion of this offering, based upon an assumed initial public offering price of $        per share, which is the midpoint of the estimated price range set forth on the cover of this prospectus.</w:t>
      </w:r>
    </w:p>
    <w:p>
      <w:pPr>
        <w:spacing w:after="0" w:line="113"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color w:val="auto"/>
        </w:rPr>
        <w:t xml:space="preserve">Net tangible book value dilution per share to new investors in this offering represents the difference between the initial public offering price per shares of our common stock and the pro forma as adjusted net tangible book value per share of our common stock immediately after completion of this offering. After giving effect to (i) the pro forma adjustments set forth above and (ii) our sale in this offering of       </w:t>
      </w:r>
    </w:p>
    <w:p>
      <w:pPr>
        <w:spacing w:after="0" w:line="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shares of our common stock at an assumed initial public offering price of $        per share, which is the midpoint of the estimated price range set forth on the cover of this prospectus, and after deducting the estimated underwriting discounts and commissions and estimated offering expenses payable by us, our pro forma as adjusted net tangible book value as of March 31, 2024 would have been approximately $        million, or $        per share of our common stock. This represents an immediate increase in pro forma net tangible book value of $        per share to our existing stockholders and an immediate dilution of $        per share to investors in this offering, as illustrated in the following table:</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7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       </w:t>
            </w:r>
          </w:p>
        </w:tc>
      </w:tr>
      <w:tr>
        <w:trPr>
          <w:trHeight w:val="203"/>
        </w:trPr>
        <w:tc>
          <w:tcPr>
            <w:tcW w:w="9180" w:type="dxa"/>
            <w:vAlign w:val="bottom"/>
          </w:tcPr>
          <w:p>
            <w:pPr>
              <w:ind w:left="180"/>
              <w:spacing w:after="0" w:line="202" w:lineRule="exact"/>
              <w:rPr>
                <w:sz w:val="20"/>
                <w:szCs w:val="20"/>
                <w:color w:val="auto"/>
              </w:rPr>
            </w:pPr>
            <w:r>
              <w:rPr>
                <w:rFonts w:ascii="Arial" w:cs="Arial" w:eastAsia="Arial" w:hAnsi="Arial"/>
                <w:sz w:val="18"/>
                <w:szCs w:val="18"/>
                <w:color w:val="auto"/>
              </w:rPr>
              <w:t>Historical net tangible book deficit per share as of March 31, 2024</w:t>
            </w:r>
          </w:p>
        </w:tc>
        <w:tc>
          <w:tcPr>
            <w:tcW w:w="1840" w:type="dxa"/>
            <w:vAlign w:val="bottom"/>
            <w:gridSpan w:val="4"/>
          </w:tcPr>
          <w:p>
            <w:pPr>
              <w:spacing w:after="0" w:line="202" w:lineRule="exact"/>
              <w:rPr>
                <w:sz w:val="20"/>
                <w:szCs w:val="20"/>
                <w:color w:val="auto"/>
              </w:rPr>
            </w:pPr>
            <w:r>
              <w:rPr>
                <w:rFonts w:ascii="Arial" w:cs="Arial" w:eastAsia="Arial" w:hAnsi="Arial"/>
                <w:sz w:val="18"/>
                <w:szCs w:val="18"/>
                <w:color w:val="auto"/>
              </w:rPr>
              <w:t xml:space="preserve">$       </w:t>
            </w:r>
          </w:p>
        </w:tc>
      </w:tr>
      <w:tr>
        <w:trPr>
          <w:trHeight w:val="203"/>
        </w:trPr>
        <w:tc>
          <w:tcPr>
            <w:tcW w:w="9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Increase attributable to pro forma adjustments</w:t>
            </w:r>
          </w:p>
        </w:tc>
        <w:tc>
          <w:tcPr>
            <w:tcW w:w="700" w:type="dxa"/>
            <w:vAlign w:val="bottom"/>
            <w:tcBorders>
              <w:bottom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180" w:type="dxa"/>
            <w:vAlign w:val="bottom"/>
          </w:tcPr>
          <w:p>
            <w:pPr>
              <w:ind w:left="180"/>
              <w:spacing w:after="0"/>
              <w:rPr>
                <w:sz w:val="20"/>
                <w:szCs w:val="20"/>
                <w:color w:val="auto"/>
              </w:rPr>
            </w:pPr>
            <w:r>
              <w:rPr>
                <w:rFonts w:ascii="Arial" w:cs="Arial" w:eastAsia="Arial" w:hAnsi="Arial"/>
                <w:sz w:val="18"/>
                <w:szCs w:val="18"/>
                <w:color w:val="auto"/>
              </w:rPr>
              <w:t>Pro forma net tangible book value per share as of March 31, 2024</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1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700" w:type="dxa"/>
            <w:vAlign w:val="bottom"/>
            <w:tcBorders>
              <w:bottom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in this offering</w:t>
            </w:r>
          </w:p>
        </w:tc>
        <w:tc>
          <w:tcPr>
            <w:tcW w:w="1780" w:type="dxa"/>
            <w:vAlign w:val="bottom"/>
            <w:gridSpan w:val="3"/>
            <w:shd w:val="clear" w:color="auto" w:fill="CCEEFF"/>
          </w:tcPr>
          <w:p>
            <w:pPr>
              <w:ind w:left="10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9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9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130"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Each $1.00 increase (decrease) in the assumed initial public offering price of $        per share, which is the midpoint of the estimated price range set forth on the cover of this prospectus, would increase (decrease) our pro forma as adjusted net tangible book value by $        million, or $        per share and the dilution in pro forma as adjusted net tangible book value per share to new investors in this offering by $        per share, assuming the number of shares offered, as set forth on the cover of this prospectus, remains the same,</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 xml:space="preserve">and after deducting estimated underwriting discounts and commissions. Similarly, each increase of 1.0 million shares in the number of shares of our common stock offered in this offering would increase our pro forma as adjusted net tangible book value by approximately $        million, or approximately $        per share, and would decrease dilution per share to new investors in this offering by approximately $        per share and each decrease of 1.0 million shares in the number of shares of our common stock offered in this offering would decrease our pro forma as adjusted net tangible book value by approximately $        million, or approximately $       </w:t>
      </w:r>
    </w:p>
    <w:p>
      <w:pPr>
        <w:spacing w:after="0" w:line="4"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per share, and would increase dilution per share to new investors in this offering by approximately $        per share, assuming the assumed initial public offering price per share remains the same and after deducting the estimated underwriting discounts and commissions. The pro forma as adjusted information is illustrative only, and we will adjust this information based on the actual initial public offering price and other terms of this offering determined at pricing.</w:t>
      </w:r>
    </w:p>
    <w:p>
      <w:pPr>
        <w:spacing w:after="0" w:line="113" w:lineRule="exact"/>
        <w:rPr>
          <w:sz w:val="20"/>
          <w:szCs w:val="20"/>
          <w:color w:val="auto"/>
        </w:rPr>
      </w:pPr>
    </w:p>
    <w:p>
      <w:pPr>
        <w:ind w:left="120" w:right="220"/>
        <w:spacing w:after="0" w:line="248" w:lineRule="auto"/>
        <w:rPr>
          <w:sz w:val="20"/>
          <w:szCs w:val="20"/>
          <w:color w:val="auto"/>
        </w:rPr>
      </w:pPr>
      <w:r>
        <w:rPr>
          <w:rFonts w:ascii="Arial" w:cs="Arial" w:eastAsia="Arial" w:hAnsi="Arial"/>
          <w:sz w:val="18"/>
          <w:szCs w:val="18"/>
          <w:color w:val="auto"/>
        </w:rPr>
        <w:t>If the underwriters exercise their option in full to purchase additional shares of our common stock, the pro forma as adjusted net tangible book value per share after this offering would be $        per share, the increase in pro forma as adjusted net tangible book value per share to existing stockholders would be $        per share and the dilution to new investors in this offering would be $        per share.</w:t>
      </w:r>
    </w:p>
    <w:p>
      <w:pPr>
        <w:spacing w:after="0" w:line="317"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The following table shows, as of March 31, 2024, on a pro forma as adjusted basis described above, the differences between the existing stockholders and the new investors purchasing shares in this offering with respect to the number of shares purchased from us, the total consideration paid, which includes net proceeds received from the issuance of common and redeemable convertible preferred stock, cash received from the exercise of stock options, and the value of any stock issued for services and the average price paid per share (in thousands, except share and per share data,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000" w:type="dxa"/>
            <w:vAlign w:val="bottom"/>
            <w:gridSpan w:val="3"/>
            <w:vMerge w:val="restart"/>
          </w:tcPr>
          <w:p>
            <w:pPr>
              <w:jc w:val="right"/>
              <w:ind w:right="360"/>
              <w:spacing w:after="0"/>
              <w:rPr>
                <w:sz w:val="20"/>
                <w:szCs w:val="20"/>
                <w:color w:val="auto"/>
              </w:rPr>
            </w:pPr>
            <w:r>
              <w:rPr>
                <w:rFonts w:ascii="Arial" w:cs="Arial" w:eastAsia="Arial" w:hAnsi="Arial"/>
                <w:sz w:val="16"/>
                <w:szCs w:val="16"/>
                <w:b w:val="1"/>
                <w:bCs w:val="1"/>
                <w:color w:val="auto"/>
              </w:rPr>
              <w:t>Shares purchased</w:t>
            </w:r>
          </w:p>
        </w:tc>
        <w:tc>
          <w:tcPr>
            <w:tcW w:w="190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rPr>
              <w:t>Total consideration</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2000" w:type="dxa"/>
            <w:vAlign w:val="bottom"/>
            <w:gridSpan w:val="3"/>
            <w:vMerge w:val="continue"/>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8"/>
        </w:trPr>
        <w:tc>
          <w:tcPr>
            <w:tcW w:w="6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11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Percent</w:t>
            </w: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Amount</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Percent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196"/>
        </w:trPr>
        <w:tc>
          <w:tcPr>
            <w:tcW w:w="6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118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       </w:t>
            </w:r>
          </w:p>
        </w:tc>
        <w:tc>
          <w:tcPr>
            <w:tcW w:w="100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7"/>
              <w:spacing w:after="0" w:line="196" w:lineRule="exact"/>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09"/>
        </w:trPr>
        <w:tc>
          <w:tcPr>
            <w:tcW w:w="610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8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12"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Each $1.00 increase (decrease) in the assumed initial public offering price of $        per share, which is the midpoint of the estimated price range set forth on the cover of this prospectus, would increase (decrease) total consideration paid by new investors and total consideration paid by all stockholders by approximately $        million, assuming that the number of shares offered, as set forth on the cover of this prospectus, remains the same. Similarly, each increase (decrease) of 1.0 million shares in the number of shares of our common stock offered in this offering would increase (decrease) total consideration paid by new investors and total consideration paid by all stockholders by approximately $        million, assuming the assumed initial public offering price remains the same.</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the extent that any outstanding options are exercised, investors in this offering will experience further dilution.</w:t>
      </w:r>
    </w:p>
    <w:p>
      <w:pPr>
        <w:spacing w:after="0" w:line="144" w:lineRule="exact"/>
        <w:rPr>
          <w:sz w:val="20"/>
          <w:szCs w:val="20"/>
          <w:color w:val="auto"/>
        </w:rPr>
      </w:pPr>
    </w:p>
    <w:p>
      <w:pPr>
        <w:ind w:left="120" w:right="400"/>
        <w:spacing w:after="0" w:line="247"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our common stock. If the underwriters exercise their option to purchase additional shares of our common stock in full, our existing stockholders would own        % and our new investors would own        % of the total number of shares of our common stock outstanding upon the completion of this offering.</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The number of shares of our common stock that will be outstanding after this offering is based on         shares of our common stock after giving effect to the conversion of our redeemable convertible preferred stock and the conversion of our convertible promissory notes as of March 31, 2024, and excludes the following:</w:t>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10080" w:type="dxa"/>
            <w:vAlign w:val="bottom"/>
            <w:gridSpan w:val="5"/>
          </w:tcPr>
          <w:p>
            <w:pPr>
              <w:ind w:left="80"/>
              <w:spacing w:after="0"/>
              <w:rPr>
                <w:sz w:val="20"/>
                <w:szCs w:val="20"/>
                <w:color w:val="auto"/>
              </w:rPr>
            </w:pPr>
            <w:r>
              <w:rPr>
                <w:rFonts w:ascii="Arial" w:cs="Arial" w:eastAsia="Arial" w:hAnsi="Arial"/>
                <w:sz w:val="18"/>
                <w:szCs w:val="18"/>
                <w:color w:val="auto"/>
                <w:w w:val="99"/>
              </w:rPr>
              <w:t>shares of our common stock issuable upon the exercise of options to purchase shares of our common stock outstanding as of</w:t>
            </w:r>
          </w:p>
        </w:tc>
      </w:tr>
      <w:tr>
        <w:trPr>
          <w:trHeight w:val="239"/>
        </w:trPr>
        <w:tc>
          <w:tcPr>
            <w:tcW w:w="140" w:type="dxa"/>
            <w:vAlign w:val="bottom"/>
          </w:tcPr>
          <w:p>
            <w:pPr>
              <w:spacing w:after="0"/>
              <w:rPr>
                <w:sz w:val="20"/>
                <w:szCs w:val="20"/>
                <w:color w:val="auto"/>
              </w:rPr>
            </w:pPr>
          </w:p>
        </w:tc>
        <w:tc>
          <w:tcPr>
            <w:tcW w:w="6680" w:type="dxa"/>
            <w:vAlign w:val="bottom"/>
            <w:gridSpan w:val="5"/>
          </w:tcPr>
          <w:p>
            <w:pPr>
              <w:ind w:left="80"/>
              <w:spacing w:after="0"/>
              <w:rPr>
                <w:sz w:val="20"/>
                <w:szCs w:val="20"/>
                <w:color w:val="auto"/>
              </w:rPr>
            </w:pPr>
            <w:r>
              <w:rPr>
                <w:rFonts w:ascii="Arial" w:cs="Arial" w:eastAsia="Arial" w:hAnsi="Arial"/>
                <w:sz w:val="18"/>
                <w:szCs w:val="18"/>
                <w:color w:val="auto"/>
              </w:rPr>
              <w:t xml:space="preserve">March 31, 2024 under our 2019 Plan, with a weighted-average exercise price of $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3620" w:type="dxa"/>
            <w:vAlign w:val="bottom"/>
          </w:tcPr>
          <w:p>
            <w:pPr>
              <w:ind w:left="120"/>
              <w:spacing w:after="0"/>
              <w:rPr>
                <w:sz w:val="20"/>
                <w:szCs w:val="20"/>
                <w:color w:val="auto"/>
              </w:rPr>
            </w:pPr>
            <w:r>
              <w:rPr>
                <w:rFonts w:ascii="Arial" w:cs="Arial" w:eastAsia="Arial" w:hAnsi="Arial"/>
                <w:sz w:val="18"/>
                <w:szCs w:val="18"/>
                <w:color w:val="auto"/>
              </w:rPr>
              <w:t>per share;</w:t>
            </w:r>
          </w:p>
        </w:tc>
      </w:tr>
      <w:tr>
        <w:trPr>
          <w:trHeight w:val="315"/>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10080" w:type="dxa"/>
            <w:vAlign w:val="bottom"/>
            <w:gridSpan w:val="5"/>
          </w:tcPr>
          <w:p>
            <w:pPr>
              <w:ind w:left="80"/>
              <w:spacing w:after="0"/>
              <w:rPr>
                <w:sz w:val="20"/>
                <w:szCs w:val="20"/>
                <w:color w:val="auto"/>
              </w:rPr>
            </w:pPr>
            <w:r>
              <w:rPr>
                <w:rFonts w:ascii="Arial" w:cs="Arial" w:eastAsia="Arial" w:hAnsi="Arial"/>
                <w:sz w:val="18"/>
                <w:szCs w:val="18"/>
                <w:color w:val="auto"/>
              </w:rPr>
              <w:t>shares of our common stock issuable upon the exercise of options to purchase shares of our common stock granted after</w:t>
            </w:r>
          </w:p>
        </w:tc>
      </w:tr>
      <w:tr>
        <w:trPr>
          <w:trHeight w:val="239"/>
        </w:trPr>
        <w:tc>
          <w:tcPr>
            <w:tcW w:w="140" w:type="dxa"/>
            <w:vAlign w:val="bottom"/>
          </w:tcPr>
          <w:p>
            <w:pPr>
              <w:spacing w:after="0"/>
              <w:rPr>
                <w:sz w:val="20"/>
                <w:szCs w:val="20"/>
                <w:color w:val="auto"/>
              </w:rPr>
            </w:pPr>
          </w:p>
        </w:tc>
        <w:tc>
          <w:tcPr>
            <w:tcW w:w="6680" w:type="dxa"/>
            <w:vAlign w:val="bottom"/>
            <w:gridSpan w:val="5"/>
          </w:tcPr>
          <w:p>
            <w:pPr>
              <w:ind w:left="80"/>
              <w:spacing w:after="0"/>
              <w:rPr>
                <w:sz w:val="20"/>
                <w:szCs w:val="20"/>
                <w:color w:val="auto"/>
              </w:rPr>
            </w:pPr>
            <w:r>
              <w:rPr>
                <w:rFonts w:ascii="Arial" w:cs="Arial" w:eastAsia="Arial" w:hAnsi="Arial"/>
                <w:sz w:val="18"/>
                <w:szCs w:val="18"/>
                <w:color w:val="auto"/>
              </w:rPr>
              <w:t xml:space="preserve">March 31, 2024 under our 2019 Plan, with a weighted-average exercise price of $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180" w:type="dxa"/>
            <w:vAlign w:val="bottom"/>
          </w:tcPr>
          <w:p>
            <w:pPr>
              <w:ind w:left="60"/>
              <w:spacing w:after="0"/>
              <w:rPr>
                <w:sz w:val="20"/>
                <w:szCs w:val="20"/>
                <w:color w:val="auto"/>
              </w:rPr>
            </w:pPr>
            <w:r>
              <w:rPr>
                <w:rFonts w:ascii="Arial" w:cs="Arial" w:eastAsia="Arial" w:hAnsi="Arial"/>
                <w:sz w:val="13"/>
                <w:szCs w:val="13"/>
                <w:color w:val="auto"/>
                <w:w w:val="76"/>
              </w:rPr>
              <w:t> </w:t>
            </w:r>
          </w:p>
        </w:tc>
        <w:tc>
          <w:tcPr>
            <w:tcW w:w="3620" w:type="dxa"/>
            <w:vAlign w:val="bottom"/>
          </w:tcPr>
          <w:p>
            <w:pPr>
              <w:ind w:left="60"/>
              <w:spacing w:after="0"/>
              <w:rPr>
                <w:sz w:val="20"/>
                <w:szCs w:val="20"/>
                <w:color w:val="auto"/>
              </w:rPr>
            </w:pPr>
            <w:r>
              <w:rPr>
                <w:rFonts w:ascii="Arial" w:cs="Arial" w:eastAsia="Arial" w:hAnsi="Arial"/>
                <w:sz w:val="18"/>
                <w:szCs w:val="18"/>
                <w:color w:val="auto"/>
              </w:rPr>
              <w:t>per share;</w:t>
            </w:r>
          </w:p>
        </w:tc>
      </w:tr>
      <w:tr>
        <w:trPr>
          <w:trHeight w:val="351"/>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80"/>
              <w:spacing w:after="0"/>
              <w:rPr>
                <w:sz w:val="20"/>
                <w:szCs w:val="20"/>
                <w:color w:val="auto"/>
              </w:rPr>
            </w:pPr>
            <w:r>
              <w:rPr>
                <w:rFonts w:ascii="Arial" w:cs="Arial" w:eastAsia="Arial" w:hAnsi="Arial"/>
                <w:sz w:val="17"/>
                <w:szCs w:val="17"/>
                <w:color w:val="auto"/>
                <w:w w:val="70"/>
              </w:rPr>
              <w:t> </w:t>
            </w:r>
          </w:p>
        </w:tc>
        <w:tc>
          <w:tcPr>
            <w:tcW w:w="10080" w:type="dxa"/>
            <w:vAlign w:val="bottom"/>
            <w:gridSpan w:val="5"/>
          </w:tcPr>
          <w:p>
            <w:pPr>
              <w:ind w:left="80"/>
              <w:spacing w:after="0"/>
              <w:rPr>
                <w:sz w:val="20"/>
                <w:szCs w:val="20"/>
                <w:color w:val="auto"/>
              </w:rPr>
            </w:pPr>
            <w:r>
              <w:rPr>
                <w:rFonts w:ascii="Arial" w:cs="Arial" w:eastAsia="Arial" w:hAnsi="Arial"/>
                <w:sz w:val="18"/>
                <w:szCs w:val="18"/>
                <w:color w:val="auto"/>
              </w:rPr>
              <w:t>shares of our common stock reserved for future issuance under our equity compensation plans, consisting of:</w:t>
            </w:r>
          </w:p>
        </w:tc>
      </w:tr>
    </w:tbl>
    <w:p>
      <w:pPr>
        <w:spacing w:after="0" w:line="112" w:lineRule="exact"/>
        <w:rPr>
          <w:sz w:val="20"/>
          <w:szCs w:val="20"/>
          <w:color w:val="auto"/>
        </w:rPr>
      </w:pPr>
    </w:p>
    <w:p>
      <w:pPr>
        <w:sectPr>
          <w:pgSz w:w="11900" w:h="16838" w:orient="portrait"/>
          <w:cols w:equalWidth="0" w:num="1">
            <w:col w:w="11120"/>
          </w:cols>
          <w:pgMar w:left="320" w:top="455" w:right="459" w:bottom="1440" w:gutter="0" w:footer="0" w:header="0"/>
        </w:sect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shares of our common stock reserved for future issuance under our 2019 Plan;</w:t>
      </w:r>
    </w:p>
    <w:p>
      <w:pPr>
        <w:spacing w:after="0" w:line="144" w:lineRule="exact"/>
        <w:rPr>
          <w:sz w:val="20"/>
          <w:szCs w:val="20"/>
          <w:color w:val="auto"/>
        </w:rPr>
      </w:pPr>
    </w:p>
    <w:p>
      <w:pPr>
        <w:sectPr>
          <w:pgSz w:w="11900" w:h="16838" w:orient="portrait"/>
          <w:cols w:equalWidth="0" w:num="3">
            <w:col w:w="620" w:space="360"/>
            <w:col w:w="580" w:space="180"/>
            <w:col w:w="9380"/>
          </w:cols>
          <w:pgMar w:left="320" w:top="455" w:right="45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40"/>
        <w:spacing w:after="0" w:line="271" w:lineRule="auto"/>
        <w:rPr>
          <w:sz w:val="20"/>
          <w:szCs w:val="20"/>
          <w:color w:val="auto"/>
        </w:rPr>
      </w:pPr>
      <w:r>
        <w:rPr>
          <w:rFonts w:ascii="Arial" w:cs="Arial" w:eastAsia="Arial" w:hAnsi="Arial"/>
          <w:sz w:val="18"/>
          <w:szCs w:val="18"/>
          <w:color w:val="auto"/>
        </w:rPr>
        <w:t>        shares of our common stock to be reserved for future issuance under our 2024 Plan, which will become effective immediately prior to the date of the effectiveness of the registration statement of which this prospectus forms a part; and</w:t>
      </w:r>
    </w:p>
    <w:p>
      <w:pPr>
        <w:spacing w:after="0" w:line="86" w:lineRule="exact"/>
        <w:rPr>
          <w:sz w:val="20"/>
          <w:szCs w:val="20"/>
          <w:color w:val="auto"/>
        </w:rPr>
      </w:pPr>
    </w:p>
    <w:p>
      <w:pPr>
        <w:sectPr>
          <w:pgSz w:w="11900" w:h="16838" w:orient="portrait"/>
          <w:cols w:equalWidth="0" w:num="2">
            <w:col w:w="620" w:space="360"/>
            <w:col w:w="10140"/>
          </w:cols>
          <w:pgMar w:left="320" w:top="455" w:right="459" w:bottom="1440" w:gutter="0" w:footer="0" w:header="0"/>
          <w:type w:val="continuous"/>
        </w:sectPr>
      </w:pPr>
    </w:p>
    <w:p>
      <w:pPr>
        <w:ind w:left="340" w:right="40" w:hanging="224"/>
        <w:spacing w:after="0" w:line="271"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shares of our common stock to be reserved for future issuance under our ESPP, which will become effective on the date of the effectiveness of the registration statement of which this prospectus forms a part.</w:t>
      </w:r>
    </w:p>
    <w:p>
      <w:pPr>
        <w:spacing w:after="0" w:line="86"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Our 2024 Plan and ESPP provide for automatic annual increases in the number of shares of our common stock reserved thereunder, and our 2024 Plan provides for increases to the number of shares that may be granted thereunder based on shares under our 2019 Plan or 2018 Plan that expire, are tendered to or withheld by us for payment of an exercise price or for satisfying tax withholding obligations or are forfeited or otherwise repurchased by us. See the section entitled “Executive compensation—Equity compensation plans and other benefit plans” for additional information.</w:t>
      </w:r>
    </w:p>
    <w:p>
      <w:pPr>
        <w:spacing w:after="0" w:line="1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To the extent that these outstanding stock options are exercised, new stock options are issued or we issue additional shares of our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5" w:right="45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right="660"/>
        <w:spacing w:after="0" w:line="288" w:lineRule="auto"/>
        <w:rPr>
          <w:sz w:val="20"/>
          <w:szCs w:val="20"/>
          <w:color w:val="auto"/>
        </w:rPr>
      </w:pPr>
      <w:r>
        <w:rPr>
          <w:rFonts w:ascii="Arial" w:cs="Arial" w:eastAsia="Arial" w:hAnsi="Arial"/>
          <w:sz w:val="29"/>
          <w:szCs w:val="29"/>
          <w:b w:val="1"/>
          <w:bCs w:val="1"/>
          <w:color w:val="auto"/>
        </w:rPr>
        <w:t>Management’s discussion and analysis of financial condition and results of operations</w:t>
      </w:r>
    </w:p>
    <w:p>
      <w:pPr>
        <w:spacing w:after="0" w:line="40" w:lineRule="exact"/>
        <w:rPr>
          <w:sz w:val="20"/>
          <w:szCs w:val="20"/>
          <w:color w:val="auto"/>
        </w:rPr>
      </w:pPr>
    </w:p>
    <w:p>
      <w:pPr>
        <w:ind w:left="120" w:right="60"/>
        <w:spacing w:after="0" w:line="24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included elsewhere in this prospectus. This discussion contains forward-looking statements based upon our current plans and expectations that involve risks, uncertainties and assumptions, including those described in the section entitled “Special note regarding forward-looking statements.” Our actual results and the timing of selected events could differ materially from those discussed in these forward-looking statements. Factors that could cause or contribute to such differences include, but are not limited to, those identified below and those set forth under the section entitled “Risk factors.”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a clinical-stage biopharmaceutical company harnessing the power of human genetics to develop novel, small molecule precision medicines for patients living with common diseases, with a focus on CVRM diseases, including obesity. We are advancing a pipeline using our Compass platform, which allows us to identify and characterize genetic variants in disease and then link those variants to the biological pathways that drive disease in specific patient groups through a process we refer to as variant functionalization. Our Compass platform has been purpose-built to inform all phases of our drug discovery and development process through clinical trial design. We are currently advancing two wholly owned lead programs, MZE829 and MZE782, each of which represents a novel precision medicine-based approach for CKD. Our goal is to bring novel precision medicines to patients with common diseases, which is where we believe we can maximize our impact on human health.</w:t>
      </w:r>
    </w:p>
    <w:p>
      <w:pPr>
        <w:spacing w:after="0" w:line="11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Since our inception, we have focused substantially all of our efforts and financial resources on research and development activities for our programs and on establishing arrangements and collaborations with third parties for the development of our therapeutic candidates. To date, we have not generated any revenue from product sales and we do not expect to generate any revenue from commercial sales for the foreseeable future. Except for the one-time, nonrefundable upfront payments we received pursuant to the license agreements we entered into with several biotechnology companies in 2024, including the exclusive license agreement with Shionogi &amp; Company, Ltd., or Shionogi, we expect to continue incurring significant operating losses for the foreseeable future due to the cost of research and development, clinical trials, preclinical studies and the regulatory approval process for our therapeutic candidates.</w:t>
      </w:r>
    </w:p>
    <w:p>
      <w:pPr>
        <w:spacing w:after="0" w:line="10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Since our inception, we have incurred significant net losses and negative cash flows from operations. During the years ended December 31, 2022 and 2023, we incurred net losses of $114.9 million and $100.4 million, respectively, and during the three months ended March 31, 2023 and 2024, we incurred net losses of $        million and $         million, respectively. As of March 31, 2024, we had an accumulated deficit of $        million and do not expect positive cash flows from operations in the foreseeable future. We expect to continue incurring significant expenses and increasing losses for the foreseeable future. Our net losses may fluctuate significantly from period to period, depending on the timing of and expenditures on our planned research and development activities, as well as upon revenue from our license agreements. We expect our research and development expenses to significantly increase in connection with clinical trials for our lead programs, MZE829 and MZE782, further development of our Compass platform, planned preclinical studies, and INDs and clinical trials for future therapeutic candidates. We will also incur substantial additional expenses as we seek to expand our intellectual property portfolio, including through potential in-licensing opportunities, and hire additional personnel as we scale up our operations. Once we are a public company, we will incur additional costs associated with operating as a public company.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5"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As of March 31, 2024, we had cash and cash equivalents of $        million. Since our inception, we have financed our operations primarily through issuances of redeemable convertible preferred stock, license agreements with biotechnology companies and issuances of convertible promissory notes. In 2024 to date, we have received one-time, nonrefundable upfront payments of $167.5 million in the aggregate from such license agreements, including our exclusive license agreement with Shionogi.</w:t>
      </w:r>
    </w:p>
    <w:p>
      <w:pPr>
        <w:spacing w:after="0" w:line="106"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We will require substantial additional capital to develop our therapeutic candidates and fund operations for the foreseeable future. Until such time as we can generate sufficient revenue from product sales, if ever, we expect to finance our operations through a combination of public or private equity offerings, debt financings, collaborations and licensing arrangements. We are party to a loan and security agreement that provides us with a line of credit of up to $ 50.0 million. To date, we have not drawn down any funds from this debt facility and do not currently intend to do so.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clinical and preclinical development, research and development programs, our commercialization plans or other operations. The amount and timing of our future funding requirements will depend on many factors including the pace and results of our development efforts. We cannot assure you that we will ever be profitable or generate positive cash flows from operating activities.</w:t>
      </w:r>
    </w:p>
    <w:p>
      <w:pPr>
        <w:spacing w:after="0" w:line="112" w:lineRule="exact"/>
        <w:rPr>
          <w:sz w:val="20"/>
          <w:szCs w:val="20"/>
          <w:color w:val="auto"/>
        </w:rPr>
      </w:pPr>
    </w:p>
    <w:p>
      <w:pPr>
        <w:jc w:val="both"/>
        <w:ind w:left="120"/>
        <w:spacing w:after="0" w:line="255" w:lineRule="auto"/>
        <w:rPr>
          <w:sz w:val="20"/>
          <w:szCs w:val="20"/>
          <w:color w:val="auto"/>
        </w:rPr>
      </w:pPr>
      <w:r>
        <w:rPr>
          <w:rFonts w:ascii="Arial" w:cs="Arial" w:eastAsia="Arial" w:hAnsi="Arial"/>
          <w:sz w:val="17"/>
          <w:szCs w:val="17"/>
          <w:color w:val="auto"/>
        </w:rPr>
        <w:t>We selectively pursue strategic collaborations related to the development of certain targets, therapeutic programs, or disease areas where we believe third-party expertise or resources could be beneficial. In 2021 we formed a spin-out company, Broadwing, with Alloy to develop therapeutic antibody therapies for ANGPTL7 and another undisclosed target in ophthalmic disease, informed by our Compass platform.</w:t>
      </w:r>
    </w:p>
    <w:p>
      <w:pPr>
        <w:spacing w:after="0" w:line="2" w:lineRule="exact"/>
        <w:rPr>
          <w:sz w:val="20"/>
          <w:szCs w:val="20"/>
          <w:color w:val="auto"/>
        </w:rPr>
      </w:pPr>
    </w:p>
    <w:p>
      <w:pPr>
        <w:ind w:left="120" w:right="440"/>
        <w:spacing w:after="0" w:line="250" w:lineRule="auto"/>
        <w:rPr>
          <w:sz w:val="20"/>
          <w:szCs w:val="20"/>
          <w:color w:val="auto"/>
        </w:rPr>
      </w:pPr>
      <w:r>
        <w:rPr>
          <w:rFonts w:ascii="Arial" w:cs="Arial" w:eastAsia="Arial" w:hAnsi="Arial"/>
          <w:sz w:val="18"/>
          <w:szCs w:val="18"/>
          <w:color w:val="auto"/>
        </w:rPr>
        <w:t>We retain certain opt-in rights to jointly develop and commercialize certain therapeutic candidates developed through Broadwing with Alloy.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Exclusive license agreement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Exclusive license agreement with Shionogi</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March 2024, we entered into an exclusive license agreement, or the License Agreement, with Shionogi, pursuant to which we granted Shionogi an exclusive, worldwide, sublicensable license to research, develop, manufacture and commercialize MZE001 and certain other small molecule compounds modulating glycogen synthase 1, or the Licensed Products. As consideration for the licensed rights and the transfer of know-how and materials, we received an upfront payment of $150 million. The License Agreement also requires that Shionogi pay us up to $275 million in the aggregate in milestone payments upon the completion of certain clinical and regulatory milestones and up to $330 million in the aggregate in milestone payments if certain sales milestones are achieved. The License Agreement also requires that Shionogi pay us tiered royalties ranging from percentages in the low double-digits to high teens on net sales of Licensed Products, subject to certain deductions.</w:t>
      </w:r>
    </w:p>
    <w:p>
      <w:pPr>
        <w:spacing w:after="0" w:line="11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License Agreement will expire on a Licensed-Product by Licensed-Product and country-by-country basis upon the expiration of the royalty term for such Licensed Product, which will be the latest of the date when there are no remaining valid claims covering the applicable Licensed Product, the expiration of regulatory exclusivity for the applicable Licensed Product, or 11 years after the first commercial sale of the applicable Licensed Product, subject to earlier termination by the parties. Upon expiration of the License Agreement, the licenses granted to Shionogi will become fully paid-up, perpetual, irrevocable and royalty-free. Shionogi may terminate the License Agreement for convenience following a notice period and either party may terminate the License Agreement for bankruptcy or an uncured material breach. Upon termination of the License Agreement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5"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by Shionogi for convenience or by us for Shionogi’s bankruptcy or uncured material breach, Shionogi will grant us a non-exclusive, worldwide license under certain patent rights and know-how controlled by Shionogi as of the effective date of termination, solely as necessary to research, develop, manufacture and commercialize the Licensed Products in any field, and Shionogi will assign to us all regulatory materials and regulatory approvals relating to the Licensed Products. In consideration for these reversion rights, we would be required to pay to Shionogi certain reversion royalties on any sales of the Licensed Products.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Components of results of operations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2"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auto"/>
        </w:rPr>
        <w:t>Our operating expenses since inception have consisted solely of research and development expenses and general and administrative expenses.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2"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Our research and development expenses consist primarily of external and internal expenses incurred in connection with our research activities and preclinical and clinical development programs. These expenses include, but are not limited to:</w:t>
      </w:r>
    </w:p>
    <w:p>
      <w:pPr>
        <w:spacing w:after="0" w:line="86" w:lineRule="exact"/>
        <w:rPr>
          <w:sz w:val="20"/>
          <w:szCs w:val="20"/>
          <w:color w:val="auto"/>
        </w:rPr>
      </w:pPr>
    </w:p>
    <w:p>
      <w:pPr>
        <w:ind w:left="340" w:right="120" w:hanging="224"/>
        <w:spacing w:after="0" w:line="271"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salaries, benefits and other employee-related costs, including stock-based compensation expense, for personnel engaged in research and development functions;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paid to vendors that conduct certain research and development activities on our behalf;</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paid to CMOs in connection with the production of research products and clinical trial materials;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fees paid to CROs in connection with clinical trials as well as preclinical and toxicology studies;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expenses associated with laboratory supplies and other materials;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 and</w:t>
      </w:r>
    </w:p>
    <w:p>
      <w:pPr>
        <w:spacing w:after="0" w:line="144" w:lineRule="exact"/>
        <w:rPr>
          <w:rFonts w:ascii="Arial" w:cs="Arial" w:eastAsia="Arial" w:hAnsi="Arial"/>
          <w:sz w:val="18"/>
          <w:szCs w:val="18"/>
          <w:color w:val="auto"/>
        </w:rPr>
      </w:pPr>
    </w:p>
    <w:p>
      <w:pPr>
        <w:ind w:left="340" w:right="140" w:hanging="224"/>
        <w:spacing w:after="0" w:line="271"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and allocated expenses for rent and maintenance of facilities and other supplies.</w:t>
      </w:r>
    </w:p>
    <w:p>
      <w:pPr>
        <w:spacing w:after="0" w:line="86" w:lineRule="exact"/>
        <w:rPr>
          <w:sz w:val="20"/>
          <w:szCs w:val="20"/>
          <w:color w:val="auto"/>
        </w:rPr>
      </w:pPr>
    </w:p>
    <w:p>
      <w:pPr>
        <w:jc w:val="both"/>
        <w:ind w:left="120"/>
        <w:spacing w:after="0" w:line="255" w:lineRule="auto"/>
        <w:rPr>
          <w:sz w:val="20"/>
          <w:szCs w:val="20"/>
          <w:color w:val="auto"/>
        </w:rPr>
      </w:pPr>
      <w:r>
        <w:rPr>
          <w:rFonts w:ascii="Arial" w:cs="Arial" w:eastAsia="Arial" w:hAnsi="Arial"/>
          <w:sz w:val="17"/>
          <w:szCs w:val="17"/>
          <w:color w:val="auto"/>
        </w:rPr>
        <w:t>We recognize research and development expenses as they are incurred. Nonrefundable advance payments for goods or services that will be used or rendered for future research and development activities are capitalized and expensed as the goods are delivered or the related services are performed. We have not historically broken out our direct costs between our clinical programs and our preclinical programs.</w:t>
      </w:r>
    </w:p>
    <w:p>
      <w:pPr>
        <w:spacing w:after="0" w:line="2" w:lineRule="exact"/>
        <w:rPr>
          <w:sz w:val="20"/>
          <w:szCs w:val="20"/>
          <w:color w:val="auto"/>
        </w:rPr>
      </w:pPr>
    </w:p>
    <w:p>
      <w:pPr>
        <w:ind w:left="120" w:right="320"/>
        <w:spacing w:after="0" w:line="250" w:lineRule="auto"/>
        <w:rPr>
          <w:sz w:val="20"/>
          <w:szCs w:val="20"/>
          <w:color w:val="auto"/>
        </w:rPr>
      </w:pPr>
      <w:r>
        <w:rPr>
          <w:rFonts w:ascii="Arial" w:cs="Arial" w:eastAsia="Arial" w:hAnsi="Arial"/>
          <w:sz w:val="18"/>
          <w:szCs w:val="18"/>
          <w:color w:val="auto"/>
        </w:rPr>
        <w:t>Additionally, our internal costs, employees and infrastructure are not directly tied to any one program and are deployed across multiple programs. As such, we do not track indirect costs on a specific program basis.</w:t>
      </w:r>
    </w:p>
    <w:p>
      <w:pPr>
        <w:spacing w:after="0" w:line="91" w:lineRule="exact"/>
        <w:rPr>
          <w:sz w:val="20"/>
          <w:szCs w:val="20"/>
          <w:color w:val="auto"/>
        </w:rPr>
      </w:pPr>
    </w:p>
    <w:p>
      <w:pPr>
        <w:ind w:left="120" w:right="40"/>
        <w:spacing w:after="0" w:line="301"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and obtain regulatory approval for, MZE829, MZE782 and any of our other potential therapeutic candidates.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research and development expenses may vary significantly based on a variety of factors, such as:</w:t>
      </w:r>
    </w:p>
    <w:p>
      <w:pPr>
        <w:spacing w:after="0" w:line="144" w:lineRule="exact"/>
        <w:rPr>
          <w:sz w:val="20"/>
          <w:szCs w:val="20"/>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progress of clinical development activities for our therapeutic candidates;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progress of preclinical development activities;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hire clinical, regulatory, manufacturing, quality assurance and scientific personnel;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additional trials requested by regulatory agencies;</w:t>
      </w:r>
    </w:p>
    <w:p>
      <w:pPr>
        <w:spacing w:after="0" w:line="144" w:lineRule="exact"/>
        <w:rPr>
          <w:rFonts w:ascii="Arial" w:cs="Arial" w:eastAsia="Arial" w:hAnsi="Arial"/>
          <w:sz w:val="18"/>
          <w:szCs w:val="18"/>
          <w:color w:val="auto"/>
        </w:rPr>
      </w:pPr>
    </w:p>
    <w:p>
      <w:pPr>
        <w:ind w:left="340" w:right="340" w:hanging="224"/>
        <w:spacing w:after="0" w:line="271"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our products or technologies, including to maintain and expand our Compass platform;</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establish clinical manufacturing capabilities or secure adequate supply of product from third-party manufacturers;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extent to which we establish additional strategic collaborations or other arrangements;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w:t>
      </w:r>
    </w:p>
    <w:p>
      <w:pPr>
        <w:spacing w:after="0" w:line="144"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A change in the outcome of any of these and other variables with respect to the development of any of our therapeutic candidates could significantly change the costs and timing associated with the development of such therapeutic candidate. We expect that our research and development expenses will continue to increase substantially for the foreseeable future as we continue to identify and develop potential additional therapeutic candidates and as our existing therapeutic candidates, including MZE829 and MZE782, move into later stages of clinical development, which typically have higher development costs than those in earlier stages of clinical development or preclinical development due to the increased size and duration of later-stage clinical trials.</w:t>
      </w:r>
    </w:p>
    <w:p>
      <w:pPr>
        <w:spacing w:after="0" w:line="111"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The process of conducting the necessary preclinical and clinical research and development to obtain regulatory approval is costly and time-consuming and the successful development of our therapeutic candidates is highly uncertain. The actual probability of success for our therapeutic candidates may be affected by a variety of factors. We may never succeed in achieving regulatory approval for any of our therapeutic candidates. Further, a number of factors, including those outside of our control, could adversely impact the timing and duration of our therapeutic candidates’ development, which could increase our research and development expenses.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2"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bonuses, benefits, and stock-based compensation expense, for personnel in executive, finance, accounting, corporate development, and other administrative functions. General and administrative expenses also include legal fees, professional fees paid for accounting, auditing, consulting, tax, and investor relations services, insurance costs, and facility costs not otherwise included in research and development expenses, and following this offering will include public company expenses such as costs associated with compliance with the rules and regulations of the SEC and Nasdaq.</w:t>
      </w:r>
    </w:p>
    <w:p>
      <w:pPr>
        <w:spacing w:after="0" w:line="98" w:lineRule="exact"/>
        <w:rPr>
          <w:sz w:val="20"/>
          <w:szCs w:val="20"/>
          <w:color w:val="auto"/>
        </w:rPr>
      </w:pPr>
    </w:p>
    <w:p>
      <w:pPr>
        <w:jc w:val="both"/>
        <w:ind w:left="120" w:right="440"/>
        <w:spacing w:after="0" w:line="253" w:lineRule="auto"/>
        <w:rPr>
          <w:sz w:val="20"/>
          <w:szCs w:val="20"/>
          <w:color w:val="auto"/>
        </w:rPr>
      </w:pPr>
      <w:r>
        <w:rPr>
          <w:rFonts w:ascii="Arial" w:cs="Arial" w:eastAsia="Arial" w:hAnsi="Arial"/>
          <w:sz w:val="18"/>
          <w:szCs w:val="18"/>
          <w:color w:val="auto"/>
        </w:rPr>
        <w:t>We expect that our general and administrative expenses will continue to increase significantly in the foreseeable future as additional administrative personnel and services are required to manage these functions of a public company and as our pipeline of therapeutic candidates expands.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29" w:lineRule="exact"/>
        <w:rPr>
          <w:sz w:val="20"/>
          <w:szCs w:val="20"/>
          <w:color w:val="auto"/>
        </w:rPr>
      </w:pPr>
    </w:p>
    <w:p>
      <w:pPr>
        <w:ind w:left="120" w:right="280"/>
        <w:spacing w:after="0" w:line="244" w:lineRule="auto"/>
        <w:rPr>
          <w:sz w:val="20"/>
          <w:szCs w:val="20"/>
          <w:color w:val="auto"/>
        </w:rPr>
      </w:pPr>
      <w:r>
        <w:rPr>
          <w:rFonts w:ascii="Arial" w:cs="Arial" w:eastAsia="Arial" w:hAnsi="Arial"/>
          <w:sz w:val="18"/>
          <w:szCs w:val="18"/>
          <w:color w:val="auto"/>
        </w:rPr>
        <w:t>Interest and other income, net consists of interest income earned on our cash and cash equivalents, interest expense, foreign currency re-measurement and transaction gains and losses. We expect interest income to increase as a result of the one-time, nonrefundable upfront payments of $167.5 million in the aggregate that we received pursuant to the license agreements we entered into with several biotechnology companies in 2024, including the exclusive license agreement with Shionogi. However, interest income may vary each reporting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period depending on our average cash deposits, money market fund balances, and other investment balances during the period and prevailing market interest rates. We expect foreign currency gains and losses to vary each reporting period depending on the fluctuations in foreign currency exchange rates.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convertible promissory notes</w:t>
      </w:r>
    </w:p>
    <w:p>
      <w:pPr>
        <w:spacing w:after="0" w:line="129"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The convertible promissory notes issued from December 2023 through March 31, 2024 contain automatic conversion features that are triggered upon a qualified preferred stock financing or a qualified public offering. We elected to apply the fair value option, as per Accounting Standards Codification, or ASC, Section 825-10, to the outstanding convertible promissory notes issued. As such, the convertible promissory notes are recognized at fair value with changes in fair value recognized in the statements of operations and comprehensive loss. The fair value of the convertible promissory notes was $20.1 million as of December 31, 2023. We recorded a loss of $3.8 million, reflecting the change in the fair value of the convertible promissory notes in the statements of operations and comprehensive loss for the year ended December 31, 2023. The impact of interest expense on the convertible promissory notes is included within the changes in fair value. We expect the changes in fair value to vary each reporting period while the convertible promissory notes are outstanding.</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on impairment and dissolution of equity method investment and share in net loss of equity method investments</w:t>
      </w:r>
    </w:p>
    <w:p>
      <w:pPr>
        <w:spacing w:after="0" w:line="12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net loss on impairment and dissolution of equity method investment relates to the dissolution in October 2022 of Contour Therapeutics LLC, or Contour, an entity in which we had a 30% equity interest. We no longer record any carrying value or losses related to this investment because of its dissolution. Share in net loss of equity method investments consists of our proportionate share of the net earnings or losses and other comprehensive income or loss of our equity method investees based on our ownership percentage of common stock, common stock equivalents or preferred stock during the respective reporting period. Because we have no obligation to provide cash financing or other financial support to our other equity method investee, Broadwing, and the carrying value of that investment was reduced to zero in 2022, no additional losses were recorded in 2023.</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Comparisons of the years ended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1"/>
              <w:spacing w:after="0" w:line="183" w:lineRule="exact"/>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5"/>
          </w:tcPr>
          <w:p>
            <w:pPr>
              <w:jc w:val="right"/>
              <w:ind w:right="140"/>
              <w:spacing w:after="0" w:line="183"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88,192</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73,945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(14,247)</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22,834</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24,606</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7"/>
        </w:trPr>
        <w:tc>
          <w:tcPr>
            <w:tcW w:w="54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111,026</w:t>
            </w: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98,551</w:t>
            </w: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(12,475)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(111,026)</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(98,551)</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12,475</w:t>
            </w:r>
          </w:p>
        </w:tc>
        <w:tc>
          <w:tcPr>
            <w:tcW w:w="0" w:type="dxa"/>
            <w:vAlign w:val="bottom"/>
          </w:tcPr>
          <w:p>
            <w:pPr>
              <w:spacing w:after="0"/>
              <w:rPr>
                <w:sz w:val="1"/>
                <w:szCs w:val="1"/>
                <w:color w:val="auto"/>
              </w:rPr>
            </w:pPr>
          </w:p>
        </w:tc>
      </w:tr>
      <w:tr>
        <w:trPr>
          <w:trHeight w:val="202"/>
        </w:trPr>
        <w:tc>
          <w:tcPr>
            <w:tcW w:w="5400" w:type="dxa"/>
            <w:vAlign w:val="bottom"/>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2,028</w:t>
            </w:r>
          </w:p>
        </w:tc>
        <w:tc>
          <w:tcPr>
            <w:tcW w:w="36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1,966</w:t>
            </w:r>
          </w:p>
        </w:tc>
        <w:tc>
          <w:tcPr>
            <w:tcW w:w="2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convertible promissory notes</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(3,830)</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w w:val="99"/>
              </w:rPr>
              <w:t>Net loss on impairment and dissolution of equity method investment</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360" w:type="dxa"/>
            <w:vAlign w:val="bottom"/>
          </w:tcPr>
          <w:p>
            <w:pPr>
              <w:spacing w:after="0"/>
              <w:rPr>
                <w:sz w:val="17"/>
                <w:szCs w:val="17"/>
                <w:color w:val="auto"/>
              </w:rPr>
            </w:pP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in net loss of equity method investments</w:t>
            </w: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(3,542)</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32"/>
        </w:trPr>
        <w:tc>
          <w:tcPr>
            <w:tcW w:w="54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(114,940)</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8"/>
              </w:rPr>
              <w:t>(100,415)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4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5400" w:type="dxa"/>
            <w:vAlign w:val="bottom"/>
          </w:tcPr>
          <w:p>
            <w:pPr>
              <w:spacing w:after="0"/>
              <w:rPr>
                <w:sz w:val="24"/>
                <w:szCs w:val="24"/>
                <w:color w:val="auto"/>
              </w:rPr>
            </w:pPr>
          </w:p>
        </w:tc>
        <w:tc>
          <w:tcPr>
            <w:tcW w:w="2420" w:type="dxa"/>
            <w:vAlign w:val="bottom"/>
          </w:tcPr>
          <w:p>
            <w:pPr>
              <w:jc w:val="right"/>
              <w:ind w:right="2130"/>
              <w:spacing w:after="0"/>
              <w:rPr>
                <w:sz w:val="20"/>
                <w:szCs w:val="20"/>
                <w:color w:val="auto"/>
              </w:rPr>
            </w:pPr>
            <w:r>
              <w:rPr>
                <w:rFonts w:ascii="Arial" w:cs="Arial" w:eastAsia="Arial" w:hAnsi="Arial"/>
                <w:sz w:val="18"/>
                <w:szCs w:val="18"/>
                <w:color w:val="auto"/>
                <w:w w:val="89"/>
              </w:rPr>
              <w:t>95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42"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Research and development expenses were $88.2 million for the year ended December 31, 2022 compared to $73.9 million for the year ended December 31, 2023. The decrease of $14.2 million was primarily due to a decrease of $17.7 million in clinical trial, manufacturing and outside research and development services which were higher in fiscal year 2022 based on the progression of our preclinical programs and our Phase 1 clinical trial for MZE001 in healthy volunteers that we completed in 2022. The decrease was partially offset by an increase of personnel related costs of $2.8 million, including higher non-cash stock-based compensation expense of $1.6 million, based on an overall increase in headcount, as well as an increase in facilities, depreciation, and other expenses of $0.7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58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8"/>
        </w:trPr>
        <w:tc>
          <w:tcPr>
            <w:tcW w:w="58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33"/>
              <w:spacing w:after="0" w:line="168" w:lineRule="exact"/>
              <w:rPr>
                <w:sz w:val="20"/>
                <w:szCs w:val="20"/>
                <w:color w:val="auto"/>
              </w:rPr>
            </w:pPr>
            <w:r>
              <w:rPr>
                <w:rFonts w:ascii="Arial" w:cs="Arial" w:eastAsia="Arial" w:hAnsi="Arial"/>
                <w:sz w:val="16"/>
                <w:szCs w:val="16"/>
                <w:b w:val="1"/>
                <w:bCs w:val="1"/>
                <w:color w:val="auto"/>
              </w:rPr>
              <w:t xml:space="preserve">    </w:t>
            </w:r>
          </w:p>
        </w:tc>
        <w:tc>
          <w:tcPr>
            <w:tcW w:w="3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58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Change</w:t>
            </w:r>
          </w:p>
        </w:tc>
      </w:tr>
      <w:tr>
        <w:trPr>
          <w:trHeight w:val="183"/>
        </w:trPr>
        <w:tc>
          <w:tcPr>
            <w:tcW w:w="58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5"/>
          </w:tcPr>
          <w:p>
            <w:pPr>
              <w:jc w:val="right"/>
              <w:ind w:right="12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 trial expenses</w:t>
            </w:r>
          </w:p>
        </w:tc>
        <w:tc>
          <w:tcPr>
            <w:tcW w:w="2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9,612</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3,664</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(5,948)</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Manufacturing expenses</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9,101</w:t>
            </w:r>
          </w:p>
        </w:tc>
        <w:tc>
          <w:tcPr>
            <w:tcW w:w="38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4,061</w:t>
            </w:r>
          </w:p>
        </w:tc>
        <w:tc>
          <w:tcPr>
            <w:tcW w:w="3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(5,040)</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Outside research and development services</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w w:val="98"/>
              </w:rPr>
              <w:t>18,204</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11,455</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(6,749)</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Employee related expenses</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3"/>
              <w:spacing w:after="0" w:line="202" w:lineRule="exact"/>
              <w:rPr>
                <w:sz w:val="20"/>
                <w:szCs w:val="20"/>
                <w:color w:val="auto"/>
              </w:rPr>
            </w:pPr>
            <w:r>
              <w:rPr>
                <w:rFonts w:ascii="Arial" w:cs="Arial" w:eastAsia="Arial" w:hAnsi="Arial"/>
                <w:sz w:val="18"/>
                <w:szCs w:val="18"/>
                <w:color w:val="auto"/>
                <w:w w:val="98"/>
              </w:rPr>
              <w:t>31,357</w:t>
            </w:r>
          </w:p>
        </w:tc>
        <w:tc>
          <w:tcPr>
            <w:tcW w:w="38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34,140</w:t>
            </w:r>
          </w:p>
        </w:tc>
        <w:tc>
          <w:tcPr>
            <w:tcW w:w="3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2,783</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Facilities, depreciation, and other expenses</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w w:val="98"/>
              </w:rPr>
              <w:t>19,918</w:t>
            </w:r>
          </w:p>
        </w:tc>
        <w:tc>
          <w:tcPr>
            <w:tcW w:w="3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20,625</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707</w:t>
            </w:r>
          </w:p>
        </w:tc>
      </w:tr>
      <w:tr>
        <w:trPr>
          <w:trHeight w:val="232"/>
        </w:trPr>
        <w:tc>
          <w:tcPr>
            <w:tcW w:w="5820" w:type="dxa"/>
            <w:vAlign w:val="bottom"/>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226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8"/>
              </w:rPr>
              <w:t>88,192</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8"/>
              </w:rPr>
              <w:t>73,945</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(14,247)</w:t>
            </w:r>
          </w:p>
        </w:tc>
        <w:tc>
          <w:tcPr>
            <w:tcW w:w="120" w:type="dxa"/>
            <w:vAlign w:val="bottom"/>
          </w:tcPr>
          <w:p>
            <w:pPr>
              <w:spacing w:after="0"/>
              <w:rPr>
                <w:sz w:val="20"/>
                <w:szCs w:val="20"/>
                <w:color w:val="auto"/>
              </w:rPr>
            </w:pPr>
          </w:p>
        </w:tc>
      </w:tr>
      <w:tr>
        <w:trPr>
          <w:trHeight w:val="180"/>
        </w:trPr>
        <w:tc>
          <w:tcPr>
            <w:tcW w:w="58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bl>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2"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General and administrative expenses were $22.8 million for the year ended December 31, 2022, compared to $24.6 million for the year ended December 31, 2023. The increase of $1.8 million was primarily due to higher legal costs.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and other income, net</w:t>
      </w:r>
    </w:p>
    <w:p>
      <w:pPr>
        <w:spacing w:after="0" w:line="142"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Interest and other income, net was $2.0 million for each of the years ended December 31, 2022 and 2023, reflecting an immaterial change year over year.</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convertible promissory notes</w:t>
      </w:r>
    </w:p>
    <w:p>
      <w:pPr>
        <w:spacing w:after="0" w:line="14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convertible promissory notes issued in December 2023 contain automatic conversion features that are triggered upon a qualified preferred stock financing or a qualified public offering. We elected to apply the fair value option to the convertible promissory notes issued. As such, the convertible promissory notes are recorded at fair value at each reporting period with changes in fair value recognized in the statements of operations and comprehensive loss. For the year ended December 31, 2023, the change in fair value of the convertible promissory notes resulted in a loss of $3.8 million.</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on impairment and dissolution of equity method investment</w:t>
      </w:r>
    </w:p>
    <w:p>
      <w:pPr>
        <w:spacing w:after="0" w:line="142"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In December 2020, we and BridgeBio Pharma LLC, or BridgeBio, completed the formation of a joint venture entity, Contour, pursuant to which we and BridgeBio received a 30% and 70% equity interest in Contour, respectively. In May 2022, we and BridgeBio entered into an agreement wherein BridgeBio was formally released from providing any further cash to Contour under its commitment to the joint venture, and as a result, we were released from our commitment liability to provide in-kind services to Contour. Accordingly, in June 2022, we determined our investment in Contour was impaired and recorded a loss on impairment of</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auto"/>
        </w:rPr>
        <w:t>$5.4 million. Contour was dissolved in October 2022. As we were released from our commitment liability to provide in-kind services to Contour, we recorded a corresponding gain of $3.0 million for the year ended December 31, 2022, resulting in an overall net loss on impairment and dissolution of our equity method investment in Contour of $2.4 million.</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in net loss of equity method investments</w:t>
      </w:r>
    </w:p>
    <w:p>
      <w:pPr>
        <w:spacing w:after="0" w:line="129" w:lineRule="exact"/>
        <w:rPr>
          <w:sz w:val="20"/>
          <w:szCs w:val="20"/>
          <w:color w:val="auto"/>
        </w:rPr>
      </w:pPr>
    </w:p>
    <w:p>
      <w:pPr>
        <w:ind w:left="120" w:right="360"/>
        <w:spacing w:after="0" w:line="244" w:lineRule="auto"/>
        <w:rPr>
          <w:sz w:val="20"/>
          <w:szCs w:val="20"/>
          <w:color w:val="auto"/>
        </w:rPr>
      </w:pPr>
      <w:r>
        <w:rPr>
          <w:rFonts w:ascii="Arial" w:cs="Arial" w:eastAsia="Arial" w:hAnsi="Arial"/>
          <w:sz w:val="18"/>
          <w:szCs w:val="18"/>
          <w:color w:val="auto"/>
        </w:rPr>
        <w:t>Share in net loss of equity method investments was $3.5 million for the year ended December 31, 2022, which represents the proportionate share of the net losses of our equity method investees based on our percentage of common stock ownership during the respective reporting period. Our share of Broadwing’s losses exceeded the carrying amount of our equity investment during the year ended December 31, 2022. Accordingly, no additional losses under the equity method were recorded in the year ended December 31, 2023.</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Liquidity and capital resources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14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Since our inception, we have not generated any revenue from product sales and we do not expect to generate any revenue from commercial sales for the foreseeable future, if at all. We have incurred significant operating losses and negative cash flows from operations. We anticipate that we will continue to incur net losses for the foreseeable future. To date, we have financed our operations primarily through private placements of redeemable convertible preferred stock, one-time, nonrefundable upfront payments made to us in connection with our entry into license agreements and through private placements of convertible promissory notes. As of March 31, 2024, we had cash and cash equivalents of $    million and an accumulated deficit of $    million. Based on our current operating plan, we believe that our existing cash and cash equivalents, together with the estimated net proceeds from this offering, will enable us to fund our planned operating expenses and capital expenditure requirements through    . We have based this estimate on our current assumptions, which may prove to be wrong, and we may exhaust our available capital resources sooner than we expect.</w:t>
      </w:r>
    </w:p>
    <w:p>
      <w:pPr>
        <w:spacing w:after="0" w:line="116"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As of March 31, 2024, we had convertible promissory notes in an aggregate principal amount of $    million outstanding, and an aggregate amount of $    million of interest was accrued and unpaid. The notes have a stated interest rate of 8% on the principal amount and mature in December 2026. Upon the closing of the offering to which this prospectus relates, the aggregate principal amount of the convertible promissory notes, together with accrued and unpaid interest through the conversion date, will automatically convert into shares of common stock at a conversion price equal to 80% of the price per share paid by purchasers in this offering. The convertible promissory notes contain other conversion and settlement provisions if an initial public offering does not occur before the maturity date.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We do not expect to generate any meaningful future revenue unless and until we obtain regulatory approval and commercialize any of our current or future therapeutic candidates, including MZE829 and MZE782, or receive additional potential revenue from the achievement of milestones and royalties under our existing license agreements or potential additional partnerships, and we do not know when, or if at all, that will occur. We will continue to require additional capital to develop our therapeutic candidates and fund operations for the foreseeable future. Our primary uses of cash are to fund our operations, which consist primarily of research and development expenses related to our programs, and to a lesser extent, general and administrative expenses. We expect our expenses to continue to increase in connection with our ongoing activities as we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continue to develop MZE829, MZE782 and our other discovery and preclinical programs, seek to broaden the pipeline of our product candidates and further develop our Compass platform. In addition, upon the completion of this offering, we expect to incur additional costs associated with operating as a public company.</w:t>
      </w:r>
    </w:p>
    <w:p>
      <w:pPr>
        <w:spacing w:after="0" w:line="101"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We may seek to raise capital through private or public equity or debt financings, license and collaboration agreements or other arrangements,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109" w:lineRule="exact"/>
        <w:rPr>
          <w:sz w:val="20"/>
          <w:szCs w:val="20"/>
          <w:color w:val="auto"/>
        </w:rPr>
      </w:pPr>
    </w:p>
    <w:p>
      <w:pPr>
        <w:ind w:left="340" w:right="220" w:hanging="224"/>
        <w:spacing w:after="0" w:line="271"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associated with the type, scope, progress and results of research and discovery, preclinical development, laboratory testing and clinical trials for our current or future therapeutic candidates, including MZE829 and MZE782;</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therapeutic candidates or technologies;</w:t>
      </w:r>
    </w:p>
    <w:p>
      <w:pPr>
        <w:spacing w:after="0" w:line="144" w:lineRule="exact"/>
        <w:rPr>
          <w:rFonts w:ascii="Arial" w:cs="Arial" w:eastAsia="Arial" w:hAnsi="Arial"/>
          <w:sz w:val="18"/>
          <w:szCs w:val="18"/>
          <w:color w:val="auto"/>
        </w:rPr>
      </w:pPr>
    </w:p>
    <w:p>
      <w:pPr>
        <w:ind w:left="340" w:right="260" w:hanging="224"/>
        <w:spacing w:after="0" w:line="271"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and development requirements of other therapeutic candidates that we may pursue, and other indications for our current therapeutic candidates that we may pursue;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related to entering into partnerships or other arrangements with third parties;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therapeutic candidates we may pursue;</w:t>
      </w:r>
    </w:p>
    <w:p>
      <w:pPr>
        <w:spacing w:after="0" w:line="144" w:lineRule="exact"/>
        <w:rPr>
          <w:rFonts w:ascii="Arial" w:cs="Arial" w:eastAsia="Arial" w:hAnsi="Arial"/>
          <w:sz w:val="18"/>
          <w:szCs w:val="18"/>
          <w:color w:val="auto"/>
        </w:rPr>
      </w:pPr>
    </w:p>
    <w:p>
      <w:pPr>
        <w:ind w:left="340" w:right="360" w:hanging="224"/>
        <w:spacing w:after="0" w:line="271"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our products or technologies, including to maintain and expand our Compass platform;</w:t>
      </w:r>
    </w:p>
    <w:p>
      <w:pPr>
        <w:spacing w:after="0" w:line="86" w:lineRule="exact"/>
        <w:rPr>
          <w:rFonts w:ascii="Arial" w:cs="Arial" w:eastAsia="Arial" w:hAnsi="Arial"/>
          <w:sz w:val="18"/>
          <w:szCs w:val="18"/>
          <w:color w:val="auto"/>
        </w:rPr>
      </w:pPr>
    </w:p>
    <w:p>
      <w:pPr>
        <w:ind w:left="340" w:right="480" w:hanging="224"/>
        <w:spacing w:after="0" w:line="271"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for preclinical, clinical and commercial supplies of our current or future therapeutic candidates;</w:t>
      </w:r>
    </w:p>
    <w:p>
      <w:pPr>
        <w:spacing w:after="0" w:line="86" w:lineRule="exact"/>
        <w:rPr>
          <w:rFonts w:ascii="Arial" w:cs="Arial" w:eastAsia="Arial" w:hAnsi="Arial"/>
          <w:sz w:val="18"/>
          <w:szCs w:val="18"/>
          <w:color w:val="auto"/>
        </w:rPr>
      </w:pPr>
    </w:p>
    <w:p>
      <w:pPr>
        <w:ind w:left="340" w:right="560" w:hanging="224"/>
        <w:spacing w:after="0" w:line="271"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and costs involved in growing our organization to the size needed to allow for the research, development and potential commercialization of our current or future therapeutic candidates;</w:t>
      </w:r>
    </w:p>
    <w:p>
      <w:pPr>
        <w:spacing w:after="0" w:line="86"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therapeutic candidates, including establishing sales, marketing and distribution capabilities;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current or future therapeutic candidates, if any are approved;</w:t>
      </w:r>
    </w:p>
    <w:p>
      <w:pPr>
        <w:spacing w:after="0" w:line="144" w:lineRule="exact"/>
        <w:rPr>
          <w:rFonts w:ascii="Arial" w:cs="Arial" w:eastAsia="Arial" w:hAnsi="Arial"/>
          <w:sz w:val="18"/>
          <w:szCs w:val="18"/>
          <w:color w:val="auto"/>
        </w:rPr>
      </w:pPr>
    </w:p>
    <w:p>
      <w:pPr>
        <w:ind w:left="340" w:right="60" w:hanging="224"/>
        <w:spacing w:after="0" w:line="271"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associated with addressing any potential interruptions or delays resulting from factors related to overall global affairs, such as conflicts overseas;</w:t>
      </w:r>
    </w:p>
    <w:p>
      <w:pPr>
        <w:spacing w:after="0" w:line="86" w:lineRule="exact"/>
        <w:rPr>
          <w:rFonts w:ascii="Arial" w:cs="Arial" w:eastAsia="Arial" w:hAnsi="Arial"/>
          <w:sz w:val="18"/>
          <w:szCs w:val="18"/>
          <w:color w:val="auto"/>
        </w:rPr>
      </w:pPr>
    </w:p>
    <w:p>
      <w:pPr>
        <w:ind w:left="340" w:right="20" w:hanging="224"/>
        <w:spacing w:after="0" w:line="253"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defending and enforcing our intellectual property and proprietary rights and defending intellectual property-related claims that we may become subject to, including any litigation costs and the outcome of such litigation;</w:t>
      </w:r>
    </w:p>
    <w:p>
      <w:pPr>
        <w:spacing w:after="0" w:line="101" w:lineRule="exact"/>
        <w:rPr>
          <w:rFonts w:ascii="Arial" w:cs="Arial" w:eastAsia="Arial" w:hAnsi="Arial"/>
          <w:sz w:val="18"/>
          <w:szCs w:val="18"/>
          <w:color w:val="auto"/>
        </w:rPr>
      </w:pPr>
    </w:p>
    <w:p>
      <w:pPr>
        <w:ind w:left="340" w:right="160" w:hanging="224"/>
        <w:spacing w:after="0" w:line="271"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 and</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arrangements on favorable terms, if at all and the timing and amount of any milestone, royalty or other payments we are required to make or are eligible to receive under such collaborations, if any.</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06"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proprietary technology, future revenue streams, research programs or therapeutic candidates, including granting licenses to our proprietary technologies,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therapeutic candidates that we would otherwise prefer to develop and market ourselves.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42"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We have an operating lease for a facility in South San Francisco, California with office and laboratory space, which serves as our corporate headquarters. The lease terminates in November 2030 and provides for one option to extend the lease term for an additional period of eight years.</w:t>
      </w:r>
    </w:p>
    <w:p>
      <w:pPr>
        <w:spacing w:after="0" w:line="101"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We have entered into consortium agreements with the University of Helsinki and Queen Mary University to access genomic information from patient samples and genetic and paired clinical data. As of March 31, 2024, we are obligated to pay $  million under these agreements through the year ended December 31, 2027.</w:t>
      </w:r>
    </w:p>
    <w:p>
      <w:pPr>
        <w:spacing w:after="0" w:line="88"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We enter into contracts in the normal course of business with third-party contract organizations for preclinical trials, non-clinical trials and testing, and other services and products for operating purposes. These contracts generally provide for termination following a certain period after notice.</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Comparisons of the years ended December 31, 2022 and 2023</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primary sources and uses of cash, cash equivalents, and restricted cash for the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76"/>
        </w:trPr>
        <w:tc>
          <w:tcPr>
            <w:tcW w:w="7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2"/>
          </w:tcPr>
          <w:p>
            <w:pPr>
              <w:jc w:val="right"/>
              <w:ind w:right="39"/>
              <w:spacing w:after="0" w:line="176" w:lineRule="exact"/>
              <w:rPr>
                <w:sz w:val="20"/>
                <w:szCs w:val="20"/>
                <w:color w:val="auto"/>
              </w:rPr>
            </w:pPr>
            <w:r>
              <w:rPr>
                <w:rFonts w:ascii="Arial" w:cs="Arial" w:eastAsia="Arial" w:hAnsi="Arial"/>
                <w:sz w:val="16"/>
                <w:szCs w:val="16"/>
                <w:b w:val="1"/>
                <w:bCs w:val="1"/>
                <w:color w:val="auto"/>
              </w:rPr>
              <w:t>2022</w:t>
            </w:r>
          </w:p>
        </w:tc>
        <w:tc>
          <w:tcPr>
            <w:tcW w:w="940" w:type="dxa"/>
            <w:vAlign w:val="bottom"/>
            <w:tcBorders>
              <w:top w:val="single" w:sz="8" w:color="auto"/>
              <w:bottom w:val="single" w:sz="8" w:color="auto"/>
            </w:tcBorders>
            <w:gridSpan w:val="2"/>
          </w:tcPr>
          <w:p>
            <w:pPr>
              <w:jc w:val="right"/>
              <w:spacing w:after="0" w:line="176" w:lineRule="exact"/>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b w:val="1"/>
                <w:bCs w:val="1"/>
                <w:color w:val="auto"/>
              </w:rPr>
              <w:t>Change</w:t>
            </w:r>
          </w:p>
        </w:tc>
        <w:tc>
          <w:tcPr>
            <w:tcW w:w="60" w:type="dxa"/>
            <w:vAlign w:val="bottom"/>
            <w:tcBorders>
              <w:bottom w:val="single" w:sz="8" w:color="auto"/>
            </w:tcBorders>
          </w:tcPr>
          <w:p>
            <w:pPr>
              <w:spacing w:after="0"/>
              <w:rPr>
                <w:sz w:val="15"/>
                <w:szCs w:val="15"/>
                <w:color w:val="auto"/>
              </w:rPr>
            </w:pPr>
          </w:p>
        </w:tc>
      </w:tr>
      <w:tr>
        <w:trPr>
          <w:trHeight w:val="183"/>
        </w:trPr>
        <w:tc>
          <w:tcPr>
            <w:tcW w:w="7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right"/>
              <w:ind w:right="6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8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(99,203)</w:t>
            </w:r>
          </w:p>
        </w:tc>
        <w:tc>
          <w:tcPr>
            <w:tcW w:w="11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$(86,827)</w:t>
            </w:r>
          </w:p>
        </w:tc>
        <w:tc>
          <w:tcPr>
            <w:tcW w:w="8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$12,376</w:t>
            </w:r>
          </w:p>
        </w:tc>
      </w:tr>
      <w:tr>
        <w:trPr>
          <w:trHeight w:val="203"/>
        </w:trPr>
        <w:tc>
          <w:tcPr>
            <w:tcW w:w="806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(3,170)</w:t>
            </w:r>
          </w:p>
        </w:tc>
        <w:tc>
          <w:tcPr>
            <w:tcW w:w="11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(441)</w:t>
            </w:r>
          </w:p>
        </w:tc>
        <w:tc>
          <w:tcPr>
            <w:tcW w:w="8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2,729</w:t>
            </w:r>
          </w:p>
        </w:tc>
      </w:tr>
      <w:tr>
        <w:trPr>
          <w:trHeight w:val="203"/>
        </w:trPr>
        <w:tc>
          <w:tcPr>
            <w:tcW w:w="8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1,728</w:t>
            </w:r>
          </w:p>
        </w:tc>
        <w:tc>
          <w:tcPr>
            <w:tcW w:w="11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16,385</w:t>
            </w:r>
          </w:p>
        </w:tc>
        <w:tc>
          <w:tcPr>
            <w:tcW w:w="8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14,657</w:t>
            </w:r>
          </w:p>
        </w:tc>
      </w:tr>
      <w:tr>
        <w:trPr>
          <w:trHeight w:val="232"/>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Net decrease in cash, cash equivalents, and restricted cash</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(100,645)</w:t>
            </w:r>
          </w:p>
        </w:tc>
        <w:tc>
          <w:tcPr>
            <w:tcW w:w="114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$(70,883)</w:t>
            </w: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$29,762</w:t>
            </w:r>
          </w:p>
        </w:tc>
        <w:tc>
          <w:tcPr>
            <w:tcW w:w="60" w:type="dxa"/>
            <w:vAlign w:val="bottom"/>
          </w:tcPr>
          <w:p>
            <w:pPr>
              <w:spacing w:after="0"/>
              <w:rPr>
                <w:sz w:val="20"/>
                <w:szCs w:val="20"/>
                <w:color w:val="auto"/>
              </w:rPr>
            </w:pPr>
          </w:p>
        </w:tc>
      </w:tr>
      <w:tr>
        <w:trPr>
          <w:trHeight w:val="180"/>
        </w:trPr>
        <w:tc>
          <w:tcPr>
            <w:tcW w:w="7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bl>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42"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color w:val="auto"/>
        </w:rPr>
        <w:t>Net cash used in operating activities was $99.2 million and $86.8 million for the years ended December 31, 2022 and 2023, respectively. The net cash used in operating activities for the year ended December 31, 2022 was primarily due to our net loss of $114.9 million, a net change in our operating assets and liabilities of</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$3.2 million, offset by $19.0 million in non-cash charges such as depreciation, stock-based compensation, lease expense and losses related to our equity method investments. The net cash used in operating activities for the year ended December 31, 2023 was primarily due to our net loss of $100.4 million, a net change in our operating assets and liabilities of $6.3 million, offset by $19.9 million in non-cash charges such as depreciation, stock-based compensation, lease expense and the change in fair value of the convertible promissory notes.</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2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Cash used in investing activities for the year ended December 31, 2022 was $3.2 million, which consisted of $2.0 million used to purchase property and equipment and $1.2 million of contributions for our investments in equity method investees. Cash used in investing activities for the year ended December 31, 2023 was $0.4 million, which related to the purchase of property and equipment.</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29" w:lineRule="exact"/>
        <w:rPr>
          <w:sz w:val="20"/>
          <w:szCs w:val="20"/>
          <w:color w:val="auto"/>
        </w:rPr>
      </w:pPr>
    </w:p>
    <w:p>
      <w:pPr>
        <w:ind w:left="120" w:right="160"/>
        <w:spacing w:after="0" w:line="301" w:lineRule="auto"/>
        <w:rPr>
          <w:sz w:val="20"/>
          <w:szCs w:val="20"/>
          <w:color w:val="auto"/>
        </w:rPr>
      </w:pPr>
      <w:r>
        <w:rPr>
          <w:rFonts w:ascii="Arial" w:cs="Arial" w:eastAsia="Arial" w:hAnsi="Arial"/>
          <w:sz w:val="17"/>
          <w:szCs w:val="17"/>
          <w:color w:val="auto"/>
        </w:rPr>
        <w:t>For the year ended December 31, 2022, net cash provided by financing activities was $1.7 million, which consisted of proceeds from the issuance of our Series C Preferred Stock of $1.6 million and $0.1 million from the exercise of stock option awards, net of repurchases.</w:t>
      </w:r>
    </w:p>
    <w:p>
      <w:pPr>
        <w:spacing w:after="0" w:line="6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For the year ended December 31, 2023, net cash provided by financing activities was $16.4 million, which consisted of net proceeds from the issuance of convertible promissory notes of $16.2 million and $ 0.2 million from the exercise of stock option awards, net of repurchases.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Critical accounting policies, significant judgments and use of estimates</w:t>
      </w:r>
    </w:p>
    <w:p>
      <w:pPr>
        <w:spacing w:after="0" w:line="148"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Our financial statements have been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as of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w:t>
      </w:r>
    </w:p>
    <w:p>
      <w:pPr>
        <w:spacing w:after="0" w:line="111"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88"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included elsewhere in this prospectus, we believe that the following critical accounting policies are most important to the preparation of our financial statements and to understanding and evaluating our reported financial results.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9"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We expense all research and development expenses as incurred. Research and development expenses include personnel costs related to research and development activities, including salaries, benefits and stock-based compensation, costs related to research and preclinical studies, costs associated with the conduct of clinical trials, consulting fees, laboratory supplies, facility costs, and fees paid to other entities that conduct certain research and development activities on our behalf. Nonrefundable advance payments for goods or services that will be used or rendered for future research and development activities are capitalized and expensed as the goods are delivered or the related services are performed.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We estimate and accrue certain research and development expenses as part our process of preparing our financial statements. This process involves:</w:t>
      </w:r>
    </w:p>
    <w:p>
      <w:pPr>
        <w:spacing w:after="0" w:line="86" w:lineRule="exact"/>
        <w:rPr>
          <w:sz w:val="20"/>
          <w:szCs w:val="20"/>
          <w:color w:val="auto"/>
        </w:rPr>
      </w:pPr>
    </w:p>
    <w:p>
      <w:pPr>
        <w:ind w:left="340" w:right="480" w:hanging="224"/>
        <w:spacing w:after="0" w:line="271"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identifying services that have been performed on our behalf and estimating the level of service performed and the associated cost incurred for the service when we have not yet been invoiced or otherwise notified of actual cost;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estimating and accruing expenses as of each balance sheet date based on facts and circumstances known to us at the time;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service providers and making adjustments, if necessary.</w:t>
      </w:r>
    </w:p>
    <w:p>
      <w:pPr>
        <w:spacing w:after="0" w:line="14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base our expenses related to preclinical studies and clinical trials on our estimates of the services received and efforts expended pursuant to quotes and contracts with vendors that conduct and manage preclinical studies and clinical trials on our behalf. The financial terms of these agreements are subject to negotiation and vary from contract to contract, which may result in uneven payment flows. There may be instances in which payments made to our vendors will exceed the level of services provided and result in a prepayment of the expense. Payments under some of these contracts depend on factors such as the completion of scientific milestones. In accruing expenses,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could vary from actuals and result in us reporting amounts that are too high or too low in any particular period.</w:t>
      </w:r>
    </w:p>
    <w:p>
      <w:pPr>
        <w:spacing w:after="0" w:line="112"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For the periods presented, we have experienced no material changes in our estimates of accrued research and development expenses after a reporting period. However, due to the nature of estimates, there can be no assurance that we will not make changes to our estimates in the future as we become aware of additional information about the status or conduct of our clinical studies and other research and development activities.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2"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We account for stock-based compensation expense by measuring and recognizing compensation expense for all share-based awards made to employees and non-employees based on estimated grant date fair values. We use the straight-line method to allocate compensation cost to reporting periods over the requisite service period for service-based awards, which is generally the vesting period. We recognize actual forfeitures by reducing the stock-based compensation expense in the same period as the forfeitures occur.</w:t>
      </w:r>
    </w:p>
    <w:p>
      <w:pPr>
        <w:spacing w:after="0" w:line="93"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We use the estimated fair value of our common stock to determine the fair value of restricted stock awards, or RSAs, on the date of grant. We estimate the fair value of service-based options to employees and non-employees using the Black-Scholes option-pricing valuation model, or Black-Scholes model. The Black-Scholes model requires the input of subjective assumptions, including the fair value of common stock, expected term, expected volatility, risk-free interest rate, and expected dividend yield, which are described in greater detail below.</w:t>
      </w:r>
    </w:p>
    <w:p>
      <w:pPr>
        <w:spacing w:after="0" w:line="9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Estimating the fair value of service-based options as of the grant date using the Black-Scholes model is affected by assumptions regarding a number of complex variables. Changes in the assumptions can materially affect the fair value of common stock and ultimately how much stock-based compensation expense is recognized. These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inputs are subjective and generally require significant analysis and judgment to develop. These inputs are as follows:</w:t>
      </w:r>
    </w:p>
    <w:p>
      <w:pPr>
        <w:spacing w:after="0" w:line="144" w:lineRule="exact"/>
        <w:rPr>
          <w:sz w:val="20"/>
          <w:szCs w:val="20"/>
          <w:color w:val="auto"/>
        </w:rPr>
      </w:pPr>
    </w:p>
    <w:p>
      <w:pPr>
        <w:ind w:left="340" w:right="40" w:hanging="224"/>
        <w:spacing w:after="0" w:line="253"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—Historically, as there has been no public market for our common stock, the fair value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was determined by our board of directors based in part on valuations of our common stock prepared by a third-party valuation specialist. See the subsection entitled “Common stock valuations” below.</w:t>
      </w:r>
    </w:p>
    <w:p>
      <w:pPr>
        <w:spacing w:after="0" w:line="101" w:lineRule="exact"/>
        <w:rPr>
          <w:rFonts w:ascii="Arial" w:cs="Arial" w:eastAsia="Arial" w:hAnsi="Arial"/>
          <w:sz w:val="18"/>
          <w:szCs w:val="18"/>
          <w:color w:val="auto"/>
        </w:rPr>
      </w:pPr>
    </w:p>
    <w:p>
      <w:pPr>
        <w:ind w:left="340" w:right="40" w:hanging="224"/>
        <w:spacing w:after="0" w:line="24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 option grants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We have very limited historical information to develop reasonable expectations about future exercise patterns and post-vesting employment termination behavior for our stock option grants.</w:t>
      </w:r>
    </w:p>
    <w:p>
      <w:pPr>
        <w:spacing w:after="0" w:line="106" w:lineRule="exact"/>
        <w:rPr>
          <w:rFonts w:ascii="Arial" w:cs="Arial" w:eastAsia="Arial" w:hAnsi="Arial"/>
          <w:sz w:val="18"/>
          <w:szCs w:val="18"/>
          <w:color w:val="auto"/>
        </w:rPr>
      </w:pPr>
    </w:p>
    <w:p>
      <w:pPr>
        <w:ind w:left="340" w:right="260" w:hanging="224"/>
        <w:spacing w:after="0" w:line="24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are a privately-held company and do not have any trading history for our common stock,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was estimated based on the average volatility for comparable publicly traded biopharmaceutical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108" w:lineRule="exact"/>
        <w:rPr>
          <w:rFonts w:ascii="Arial" w:cs="Arial" w:eastAsia="Arial" w:hAnsi="Arial"/>
          <w:sz w:val="18"/>
          <w:szCs w:val="18"/>
          <w:color w:val="auto"/>
        </w:rPr>
      </w:pPr>
    </w:p>
    <w:p>
      <w:pPr>
        <w:ind w:left="340" w:right="380" w:hanging="224"/>
        <w:spacing w:after="0" w:line="271"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stock options.</w:t>
      </w:r>
    </w:p>
    <w:p>
      <w:pPr>
        <w:spacing w:after="0" w:line="86" w:lineRule="exact"/>
        <w:rPr>
          <w:rFonts w:ascii="Arial" w:cs="Arial" w:eastAsia="Arial" w:hAnsi="Arial"/>
          <w:sz w:val="18"/>
          <w:szCs w:val="18"/>
          <w:color w:val="auto"/>
        </w:rPr>
      </w:pPr>
    </w:p>
    <w:p>
      <w:pPr>
        <w:ind w:left="340" w:right="380" w:hanging="224"/>
        <w:spacing w:after="0" w:line="271"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never paid dividends on our common stock and have no plans to pay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Therefore, we used an expected dividend yield of zero.</w:t>
      </w:r>
    </w:p>
    <w:p>
      <w:pPr>
        <w:spacing w:after="0" w:line="86"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For stock options granted to non-employee consultants, the fair value of these stock options is also measured using the Black-Scholes model reflecting the same assumptions as applied to employee stock options in each of the reported periods, other than the expected term which is assumed to be the remaining contractual life of the stock option.</w:t>
      </w:r>
    </w:p>
    <w:p>
      <w:pPr>
        <w:spacing w:after="0" w:line="101"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We estimate the fair value of awards that contain market-based conditions using a Monte-Carlo option pricing model at the date of grant using similar input assumptions as the Black-Scholes model while incorporating Level 3 inputs related to probability estimates of the market conditions being satisfied. Compensation expense related to awards with a market-based condition is recognized regardless of whether the market condition is ultimately satisfied, and compensation expense is not reversed if the achievement of the market condition does not occur.</w:t>
      </w:r>
    </w:p>
    <w:p>
      <w:pPr>
        <w:spacing w:after="0" w:line="95"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We will continue to use judgment in evaluating the expected volatility, expected terms, and interest rates utilized for our stock-based compensation expense calculations on a prospective basis.</w:t>
      </w:r>
    </w:p>
    <w:p>
      <w:pPr>
        <w:spacing w:after="0" w:line="86"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Stock-based compensation expense for employees and non-employees is reflected in the statements of operations and comprehensive loss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45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450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5"/>
                <w:szCs w:val="15"/>
                <w:color w:val="auto"/>
              </w:rPr>
            </w:pPr>
          </w:p>
        </w:tc>
      </w:tr>
      <w:tr>
        <w:trPr>
          <w:trHeight w:val="183"/>
        </w:trPr>
        <w:tc>
          <w:tcPr>
            <w:tcW w:w="45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580" w:type="dxa"/>
            <w:vAlign w:val="bottom"/>
            <w:gridSpan w:val="3"/>
          </w:tcPr>
          <w:p>
            <w:pPr>
              <w:jc w:val="right"/>
              <w:ind w:right="6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5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$3,727</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$5,315</w:t>
            </w:r>
          </w:p>
        </w:tc>
      </w:tr>
      <w:tr>
        <w:trPr>
          <w:trHeight w:val="210"/>
        </w:trPr>
        <w:tc>
          <w:tcPr>
            <w:tcW w:w="45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494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3,009</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3,432</w:t>
            </w:r>
          </w:p>
        </w:tc>
        <w:tc>
          <w:tcPr>
            <w:tcW w:w="60" w:type="dxa"/>
            <w:vAlign w:val="bottom"/>
          </w:tcPr>
          <w:p>
            <w:pPr>
              <w:spacing w:after="0"/>
              <w:rPr>
                <w:sz w:val="18"/>
                <w:szCs w:val="18"/>
                <w:color w:val="auto"/>
              </w:rPr>
            </w:pPr>
          </w:p>
        </w:tc>
      </w:tr>
      <w:tr>
        <w:trPr>
          <w:trHeight w:val="203"/>
        </w:trPr>
        <w:tc>
          <w:tcPr>
            <w:tcW w:w="4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 expense</w:t>
            </w:r>
          </w:p>
        </w:tc>
        <w:tc>
          <w:tcPr>
            <w:tcW w:w="5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$6,736</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$8,747</w:t>
            </w:r>
          </w:p>
        </w:tc>
      </w:tr>
      <w:tr>
        <w:trPr>
          <w:trHeight w:val="203"/>
        </w:trPr>
        <w:tc>
          <w:tcPr>
            <w:tcW w:w="450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362"/>
        </w:trPr>
        <w:tc>
          <w:tcPr>
            <w:tcW w:w="4500" w:type="dxa"/>
            <w:vAlign w:val="bottom"/>
          </w:tcPr>
          <w:p>
            <w:pPr>
              <w:spacing w:after="0"/>
              <w:rPr>
                <w:sz w:val="24"/>
                <w:szCs w:val="24"/>
                <w:color w:val="auto"/>
              </w:rPr>
            </w:pPr>
          </w:p>
        </w:tc>
        <w:tc>
          <w:tcPr>
            <w:tcW w:w="4940" w:type="dxa"/>
            <w:vAlign w:val="bottom"/>
          </w:tcPr>
          <w:p>
            <w:pPr>
              <w:jc w:val="right"/>
              <w:ind w:right="3690"/>
              <w:spacing w:after="0"/>
              <w:rPr>
                <w:sz w:val="20"/>
                <w:szCs w:val="20"/>
                <w:color w:val="auto"/>
              </w:rPr>
            </w:pPr>
            <w:r>
              <w:rPr>
                <w:rFonts w:ascii="Arial" w:cs="Arial" w:eastAsia="Arial" w:hAnsi="Arial"/>
                <w:sz w:val="18"/>
                <w:szCs w:val="18"/>
                <w:color w:val="auto"/>
              </w:rPr>
              <w:t>102</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As of December 31, 2022 and 2023, there was $17.7 million and $16.4 million, respectively, of total unrecognized compensation cost related to unvested options and RSAs for which the cost was expected to be recognized over a weighted-average period of 2.87 years and 2.52 years, respectively.</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9"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 xml:space="preserve">The grant date fair value of our common stock has been determined by our board of directors with the assistance of management and an independent third-party valuation specialist. The grant date fair value of our common stock was determined using valuation methodologies which utilizes certain assumptions including probability weighting of events, volatility, time to liquidation, a risk-free interest rate, and an assumption for a discount for lack of marketability (Level 3 inputs). In determining the fair value of our common stock, the methodologies used to estimate our enterprise value were performed using methodologies, approaches, and assumptions consistent with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or the Practice Aid. The methodology to determine the fair value of our common stock included estimating the fair value of the enterprise using a market approach, which estimates the fair value of a company by including an estimation of the value of the business based on guideline public companies under a number of different scenarios. The assumptions used to determine the estimated fair value of our common stock are based on numerous objective and subjective factors, combined with management judgment, including external market conditions affecting the pharmaceutical and biotechnology industry and trends within the industry; our stage of development; the rights, preferences and privileges of our redeemable convertible preferred stock relative to those of our common stock; the prices at which we sold shares of our redeemable convertible preferred stock; our financial condition and operating results, including our levels of available capital resources; the progress of our research and development efforts and business strategy; equity market conditions affecting comparable public companies; general U.S. market conditions; and the lack of marketability of our common stock.</w:t>
      </w:r>
    </w:p>
    <w:p>
      <w:pPr>
        <w:spacing w:after="0" w:line="120"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01" w:lineRule="exact"/>
        <w:rPr>
          <w:sz w:val="20"/>
          <w:szCs w:val="20"/>
          <w:color w:val="auto"/>
        </w:rPr>
      </w:pPr>
    </w:p>
    <w:p>
      <w:pPr>
        <w:jc w:val="both"/>
        <w:ind w:left="340" w:right="180" w:hanging="224"/>
        <w:spacing w:after="0" w:line="25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Option Pricing Method. Under the Option Pricing Method, or OPM,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101" w:lineRule="exact"/>
        <w:rPr>
          <w:rFonts w:ascii="Arial" w:cs="Arial" w:eastAsia="Arial" w:hAnsi="Arial"/>
          <w:sz w:val="18"/>
          <w:szCs w:val="18"/>
          <w:color w:val="auto"/>
        </w:rPr>
      </w:pPr>
    </w:p>
    <w:p>
      <w:pPr>
        <w:ind w:left="340" w:hanging="224"/>
        <w:spacing w:after="0" w:line="24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Hybrid Method. The hybrid method is a Probability-Weighted Expected Return Method, or PWERM, where the equity value in one of the scenarios is calculated using the OPM. The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06"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Based on our early stage of development and other relevant factors, we determined that an OPM was the most appropriate method for allocating our enterprise value to determine the estimated fair value of our common stock for valuations prior to the fourth quarter of 2020. After this date, we used the hybrid method to determine the estimated fair value of our common stock. The hybrid method is appropriate for a company expecting a near-term liquidity event. In determining the estimated fair value of our common stock, we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98"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our expected future revenue, expenses, and cash flows,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at the time of the valuation,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11"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Once a public trading market for our common stock has been established in connection with the closing of this offering, it will no longer be necessary for our board of directors to estimate the fair value of our common stock in connection with our accounting for stock option grants and other such awards we may grant, as the fair value of our common stock will be determined based on the quoted market price of our common stock.</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42"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auto"/>
        </w:rPr>
        <w:t>From December 2023 through March 31, 2024, we issued convertible promissory notes to various existing investors. We elected the fair value option under ASC 825 and record these convertible promissory notes at fair value with changes in fair value recorded in the statements of operations and comprehensive loss each reporting period. We measure the fair value of the convertible promissory notes based on significant estimates, including volatility, discount yield, variables for the timing of the related conversion events and other probability estimates. The impact of interest expense on the convertible promissory notes is included with the changes in fair value.</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Emerging growth company status</w:t>
      </w:r>
    </w:p>
    <w:p>
      <w:pPr>
        <w:spacing w:after="0" w:line="14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are an EGC.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EGC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11" w:lineRule="exact"/>
        <w:rPr>
          <w:sz w:val="20"/>
          <w:szCs w:val="20"/>
          <w:color w:val="auto"/>
        </w:rPr>
      </w:pPr>
    </w:p>
    <w:p>
      <w:pPr>
        <w:ind w:left="120" w:right="300"/>
        <w:spacing w:after="0" w:line="259" w:lineRule="auto"/>
        <w:rPr>
          <w:sz w:val="20"/>
          <w:szCs w:val="20"/>
          <w:color w:val="auto"/>
        </w:rPr>
      </w:pPr>
      <w:r>
        <w:rPr>
          <w:rFonts w:ascii="Arial" w:cs="Arial" w:eastAsia="Arial" w:hAnsi="Arial"/>
          <w:sz w:val="17"/>
          <w:szCs w:val="17"/>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w:t>
      </w:r>
    </w:p>
    <w:p>
      <w:pPr>
        <w:ind w:left="320" w:hanging="204"/>
        <w:spacing w:after="0" w:line="236"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an auditor’s attestation report on our system of internal controls over financial reporting pursuant to Section 404(b) of the</w:t>
      </w:r>
    </w:p>
    <w:p>
      <w:pPr>
        <w:ind w:left="120" w:right="120"/>
        <w:spacing w:after="0" w:line="238" w:lineRule="auto"/>
        <w:rPr>
          <w:rFonts w:ascii="Arial" w:cs="Arial" w:eastAsia="Arial" w:hAnsi="Arial"/>
          <w:sz w:val="18"/>
          <w:szCs w:val="18"/>
          <w:color w:val="auto"/>
        </w:rPr>
      </w:pPr>
      <w:r>
        <w:rPr>
          <w:rFonts w:ascii="Arial" w:cs="Arial" w:eastAsia="Arial" w:hAnsi="Arial"/>
          <w:sz w:val="18"/>
          <w:szCs w:val="18"/>
          <w:color w:val="auto"/>
        </w:rPr>
        <w:t>Sarbanes-Oxley Act of 2002, as amended; (ii) provide all of the compensation disclosure that may be required of non-EGCs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00"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We will remain an EGC under the JOBS Act until the earliest of (i) the last date of our fiscal year in which we have total annual gross revenue of at least $1.235 billion, (ii) the date we qualify as a “large accelerated filer,” as defined under Rule 12b-2 of the Exchange Act, (iii) the date on which we have issued more than $1.0 billion in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non-convertible debt securities during the previous three years, or (iv) the last day of our first fiscal year following the fifth anniversary of the closing of this offering.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Recent accounting pronouncements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and also issued subsequent amendments to the initial guidance under ASU No. 2018-19, ASU No. 2019-04, ASU No. 2019-05, ASU No. 2019-11, and ASU No. 2020-02, or collectively Topic 326. This guidance requires that financial assets measured at amortized cost be presented at the net amount expected to be collected. The measurement of expected credit losses is based on historical experience, current conditions, and reasonable and supportable forecasts that affect collectability. Topic 326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We adopted this standard as of January 1, 2023, with no material impact to our financial statements and disclosures.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pronouncements—not yet adopted</w:t>
      </w:r>
    </w:p>
    <w:p>
      <w:pPr>
        <w:spacing w:after="0" w:line="142" w:lineRule="exact"/>
        <w:rPr>
          <w:sz w:val="20"/>
          <w:szCs w:val="20"/>
          <w:color w:val="auto"/>
        </w:rPr>
      </w:pPr>
    </w:p>
    <w:p>
      <w:pPr>
        <w:ind w:left="120" w:right="40"/>
        <w:spacing w:after="0" w:line="261" w:lineRule="auto"/>
        <w:rPr>
          <w:sz w:val="20"/>
          <w:szCs w:val="20"/>
          <w:color w:val="auto"/>
        </w:rPr>
      </w:pPr>
      <w:r>
        <w:rPr>
          <w:rFonts w:ascii="Arial" w:cs="Arial" w:eastAsia="Arial" w:hAnsi="Arial"/>
          <w:sz w:val="17"/>
          <w:szCs w:val="17"/>
          <w:color w:val="auto"/>
        </w:rPr>
        <w:t xml:space="preserve">In November 2023, the FASB issued ASU 2023-07, </w:t>
      </w:r>
      <w:r>
        <w:rPr>
          <w:rFonts w:ascii="Arial" w:cs="Arial" w:eastAsia="Arial" w:hAnsi="Arial"/>
          <w:sz w:val="17"/>
          <w:szCs w:val="17"/>
          <w:i w:val="1"/>
          <w:iCs w:val="1"/>
          <w:color w:val="auto"/>
        </w:rPr>
        <w:t>Improvements to Reportable Segment Disclosures</w:t>
      </w:r>
      <w:r>
        <w:rPr>
          <w:rFonts w:ascii="Arial" w:cs="Arial" w:eastAsia="Arial" w:hAnsi="Arial"/>
          <w:sz w:val="17"/>
          <w:szCs w:val="17"/>
          <w:color w:val="auto"/>
        </w:rPr>
        <w:t>, which will require disclosure of incremental segment information on an annual and interim basis for all public entities. The amendments do not change how a public entity identifies its operating segments, aggregates those operating segments, or applies the quantitative thresholds to determine its reportable segments. ASU 2023-07 is effective for annual reporting beginning with the fiscal year ending December 31, 2024, and for interim periods thereafter. We are currently evaluating the incremental disclosures that will be required in the footnotes to the financial statements.</w:t>
      </w:r>
    </w:p>
    <w:p>
      <w:pPr>
        <w:spacing w:after="0" w:line="98"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which will require incremental income tax disclosures on an annual basis for all public entities.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disclosure of income tax expense disaggregated by federal, state and foreign. ASU 2023-09 is effective for annual reporting beginning with the fiscal year ending December 31, 2025. We are currently evaluating the incremental disclosures that will be required in our financial statements.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9" w:lineRule="exact"/>
        <w:rPr>
          <w:sz w:val="20"/>
          <w:szCs w:val="20"/>
          <w:color w:val="auto"/>
        </w:rPr>
      </w:pPr>
    </w:p>
    <w:p>
      <w:pPr>
        <w:jc w:val="both"/>
        <w:ind w:left="120" w:right="340"/>
        <w:spacing w:after="0" w:line="253" w:lineRule="auto"/>
        <w:rPr>
          <w:sz w:val="20"/>
          <w:szCs w:val="20"/>
          <w:color w:val="auto"/>
        </w:rPr>
      </w:pPr>
      <w:r>
        <w:rPr>
          <w:rFonts w:ascii="Arial" w:cs="Arial" w:eastAsia="Arial" w:hAnsi="Arial"/>
          <w:sz w:val="18"/>
          <w:szCs w:val="18"/>
          <w:color w:val="auto"/>
        </w:rPr>
        <w:t>We are exposed to market risk related to changes in interest rates. As of March 31, 2024, we had cash and cash equivalents of $      million consisting of bank deposits and money market accounts. Due to the short-term duration of our cash equivalents, an immediate 10% change in interest rates would not have a material effect on their fair market value.</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29"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All of our employees and our operations are currently located in the United States and our expenses are generally denominated in U.S. dollars. However, we have entered into a limited number of contracts with</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vendors for research and development services that permit us to satisfy our payment obligations in U.S. dollars (at prevailing exchange rates) but have underlying payment obligations denominated in foreign currencies, primarily the Euro and British Pound. We are subject to foreign currency transaction gains or losses on our contracts denominated in foreign currencies. For the year ended December 31, 2023, we recorded an immaterial foreign currency transaction gain. For the three months ended March 31, 2024, we recorded a foreign currency transaction gain/loss of $    million. To date, foreign currency transaction gains and losses have not been material to our financial statements, and we have not had a formal hedging program with respect to foreign currency. We believe a hypothetical 1% increase or decrease in exchange rates during any of the periods presented would not have a material effect on our financial statements included elsewhere in this prospectus.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29"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Inflation generally affects us by increasing our cost of labor and other research and development costs. We believe that inflation has not had a material effect on our financial statements included elsewhere in this prospectus.</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Business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48"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are a clinical-stage biopharmaceutical company harnessing the power of human genetics to develop novel, small molecule precision medicines for patients living with common diseases, with a focus on renal, cardiovascular and related metabolic, or CVRM, diseases, including obesity. We are advancing a pipeline using our Compass platform, which allows us to identify and characterize genetic variants in disease and then link those variants to the biological pathways that drive disease in specific patient groups through a process we refer to as variant functionalization. Our Compass platform has been purpose-built to inform all phases of our drug discovery and development process through clinical trial design. We are currently advancing two wholly owned lead programs, MZE829 and MZE782, each of which represents a novel precision medicine-based approach for chronic kidney disease, or CKD. Our goal is to bring novel precision medicines to patients with common diseases, which is where we believe we can maximize our impact on human health.</w:t>
      </w:r>
    </w:p>
    <w:p>
      <w:pPr>
        <w:spacing w:after="0" w:line="99"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CKD is a serious, progressive condition that affects approximately 37 million patients in the United States, where it is expected to be the fifth most prevalent chronic disease by 2040. Current treatments for CKD consider patients as falling into clinical categories and focus on slowing the progression of disease, but do not target the underlying genetic drivers of disease. Our lead programs are designed to phenocopy, or mimic, the protective effects of certain genetic variants that are associated with reduced disease burden and improved kidney function in distinct groups of CKD patients.</w:t>
      </w:r>
    </w:p>
    <w:p>
      <w:pPr>
        <w:spacing w:after="0" w:line="1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Our most advanced lead program, MZE829, is an oral, small molecule inhibitor of apolipoprotein L1, or APOL1, for the treatment of patients with APOL1 kidney disease, or AKD, which is estimated to affect over one million patients in the United States alone. Although the link between APOL1 variants and renal dysfunction has been known for over a decade, we have identified a new protective variant that underpins our therapeutic approach for MZE829 and may ultimately allow us to address a broader population of AKD than has previously been possible in the clinical setting. We expect to initiate a Phase 2 trial of MZE829 in       .</w:t>
      </w:r>
    </w:p>
    <w:p>
      <w:pPr>
        <w:spacing w:after="0" w:line="109"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Our second lead program, MZE782, is a potentially first-in-class, oral, small molecule inhibitor of the solute transporter SLC6A19, a novel CKD target, with the potential to address approximately five million of the CKD patients in the United States with inadequate responses to currently available CKD therapies. Beyond its use as a potential standalone therapy, MZE782 may also provide a significant benefit to patients in combination with standard of care, including as a complementary treatment to current approved regimens or as an alternative option for those patients who do not adequately respond to today’s standard of care. We plan to submit an Investigational New Drug Application, or IND, to the United States Food and Drug Administration, or FDA, for MZE782 in      .</w:t>
      </w:r>
    </w:p>
    <w:p>
      <w:pPr>
        <w:spacing w:after="0" w:line="98"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Our Compass platform supports end-to-end variant identification and functionalization capabilities as well as advanced research tools and methodologies for drug development. We believe the process of variant functionalization, or understanding how genetic variants function to affect the course of disease, is a foundational aspect of precision medicine and one of the core capabilities that sets us apart from others in the field. Furthermore, we believe we are the first company to implement these workflow elements/methodologies at scale.</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pipeline</w:t>
      </w:r>
    </w:p>
    <w:p>
      <w:pPr>
        <w:spacing w:after="0" w:line="135"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Our wholly owned pipeline consists of small molecule precision medicines for patients living with common diseases, with a focus on CVRM diseases, including obesity. In areas outside of our focus, we have additional programs in development through partnership arrangements and other third-party relationships, including MZE001 in Pompe disease with Shionogi &amp; Co., Ltd., or Shionogi, and ATXN2 and UNC13A, each for amyotrophic</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lateral sclerosis, or ALS, with two separate biotechnology companies. Our pipeline is summarized in Figure 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103505</wp:posOffset>
            </wp:positionV>
            <wp:extent cx="4972050" cy="23145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7205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 Our pipeline</w:t>
      </w:r>
    </w:p>
    <w:p>
      <w:pPr>
        <w:spacing w:after="0" w:line="129"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 xml:space="preserve">Our most advanced lead program, MZE829, is an oral, small molecule inhibitor of APOL1 for the treatment of patients with AKD, a subset of CKD estimated to affect over one million patients in the United States alone. Although the link between APOL1 variants and renal dysfunction has been known for over a decade, we have identified a new protective variant of the APOL1 gene, N264K. MZE829 is designed to phenocopy N264K and mimic its protective characteristics. Through our preclinical work in AKD, we have demonstrated MZE829’s potential as a disease modifying treatment for patients suffering from this disease.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demonstrated MZE829’s significant potency in a model of APOL1-induced kidney injury, suggesting the ability to explore the potential for greater efficacy and ultimately address a broader population of AKD than has previously been possible in the clinical setting. Additionally, MZE829 has demonstrated the potential to stop or reverse critical features of kidney disease, specifically the breakdown of the kidney’s filtering system and loss of protein in urine, or proteinuria. We expect to initiate a Phase 2 trial of MZE829 in       .</w:t>
      </w:r>
    </w:p>
    <w:p>
      <w:pPr>
        <w:spacing w:after="0" w:line="11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second most advanced lead program, MZE782, is a potentially first-in-class, oral, small molecule that targets the solute transporter, SLC6A19, with the potential to address approximately five million of the CKD patients in the United States with inadequate responses to currently available CKD therapies. Beyond its use as a potential standalone therapy, MZE782 may also provide a significant benefit to patients in combination with standard of care, including as a complementary treatment to current approved regimens or as an alternative option for those patients who do not adequately respond to today’s standard of care. We identified SLC6A19 using non-public sets of matched, genetic and longitudinal clinical data and discovered a bidirectional allelic series with variants that either improve or worsen renal function. We then applied variant functionalization techniques to understand the characteristics of the naturally occurring protective variants and designed our proprietary small molecule to mimic their inhibitory effects. We plan to apply a non-invasive biomarker strategy in our Phase 1 trial to establish proof of mechanism and to select doses for a Phase 2 trial. We expect to submit an IND to the FDA for MZE782 in   .</w:t>
      </w:r>
    </w:p>
    <w:p>
      <w:pPr>
        <w:spacing w:after="0" w:line="8"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In addition to our two lead programs in CKD, our Compass platform has also produced a pipeline across other therapeutic areas and modalities, including MZE001, our first clinical program developed for the treatment of patients with Pompe disease. Within approximately three years, MZE001 progressed from discovery to the clinic</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and demonstrated proof of mechanism in a Phase 1 trial, suggesting its potential as an oral therapy for the treatment of patients with Pompe disease and demonstrating the potential of our Compass platform. Given our focus on common diseases, where we believe we can maximize our impact on human health, we strategically enter into partnerships with third parties to advance programs that address diseases outside of our core focus areas. In March 2024, following the completion of our Phase 1 trial, we exclusively licensed MZE001 to Shionogi for an upfront payment of $150 million and the potential for additional milestones and royalties. We have also exclusively licensed our ATXN2 and UNC13A programs for the treatment of ALS to other biotechnology companies. Additionally, we formed a spin-out company, Broadwing Bio LLC, or Broadwing, to develop therapeutic candidates treating ophthalmic diseases. We believe these collaborations validate the potential of our Compass platform and our ability to generate new targets and assets of therapeutic interest across a wide range of indications and therapeutic areas.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approach to precision medicine: Compass platform</w:t>
      </w:r>
    </w:p>
    <w:p>
      <w:pPr>
        <w:spacing w:after="0" w:line="13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Our Compass platform and its associated methodologies give us the ability to aggregate matched, genetic, and longitudinal clinical data at scale to identify genes associated with disease, utilizing a combination of private and publicly-available paired clinical data. More importantly, this process uncovers genetic variants of these genes that provide insight into a therapeutic approach to the applicable target. Using machine learning and statistical modeling, variant functionalization tools, and traditional and computational drug discovery technologies, targets are then prioritized based on their roles in biological pathways, their roles as potential drivers of disease, and their structural properties. These insights ultimately inform our clinical development and patient selection strategies, which we believe have the potential to improve the overall likelihood of technical, regulatory and commercial success of our precision medicine candidates. The power of our Compass platform and its methodologies is best exhibited through our clinical and preclinical programs and multiple contributions to the scientific community over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5186045" cy="21170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2: The three phases of our Compass platform and key differentiating features</w:t>
      </w:r>
    </w:p>
    <w:p>
      <w:pPr>
        <w:spacing w:after="0" w:line="142"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Our Compass platform follows a sequential, three phase workflow consisting of: (1) variant discovery, in which we analyze multiple large-scale genetic databases to identify relevant genetic variants; (2) variant function identification, in which we attempt to understand the linkage between genetic variants identified and the biology underpinning disease; and (3) translation into therapy, in which we develop the assays, models, molecules and data necessary to support advancing our programs into clinical development. This workflow creates an iterative learning loop that improves as we onboard, analyze and generate additional data.</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 new era of precision medicine: Maze’s opportunity in common diseases</w:t>
      </w:r>
    </w:p>
    <w:p>
      <w:pPr>
        <w:spacing w:after="0" w:line="148"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Over the past 20 years, significant advances in human genetics and in the understanding of the biological processes underpinning disease have opened the door to a multitude of potentially new therapeutic targets and treatment approaches, which we believe presents a unique opportunity for a new approach to precision medicine. More recently, the availability of matched, genetic, and longitudinal clinical data and advanced computational methods to analyze these data has enabled the characterization of genetic variants that are strongly correlated with disease susceptibility and severity. Advancements in functional genomics have also provided new tools to help unravel how genetic variants impact disease progression from a mechanistic perspective. Nevertheless, the process of successfully translating genetic insights into effective precision medicines is a challenge that has inspired our mission as a company as well as our name, Maze Therapeutics.</w:t>
      </w:r>
    </w:p>
    <w:p>
      <w:pPr>
        <w:spacing w:after="0" w:line="101"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Based on insights from our Compass platform, we design our therapeutic candidates to modulate the target of interest, either by mimicking the beneficial effects of certain protective variants or by blocking the unwanted activity associated with toxic variants, to address the underlying biological drivers of disease. Our process of designing precision medicines that take into account the genetic drivers of disease in defined patient groups parallels many of the foundational principles of precision oncology, which has revolutionized the treatment landscape in cancer, and, we believe, may help streamline our development efforts and increase our odds of clinical success.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team and investors</w:t>
      </w:r>
    </w:p>
    <w:p>
      <w:pPr>
        <w:spacing w:after="0" w:line="14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leadership team and board of directors have significant experience discovering, developing and commercializing therapies. Our syndicate of investors has renowned life sciences experience and a shared, dedicated goal of transforming the lives of patients by creating a leading precision medicine company in the CVRM disease spaces.</w:t>
      </w:r>
    </w:p>
    <w:p>
      <w:pPr>
        <w:spacing w:after="0" w:line="88" w:lineRule="exact"/>
        <w:rPr>
          <w:sz w:val="20"/>
          <w:szCs w:val="20"/>
          <w:color w:val="auto"/>
        </w:rPr>
      </w:pPr>
    </w:p>
    <w:p>
      <w:pPr>
        <w:jc w:val="both"/>
        <w:ind w:left="120" w:right="200"/>
        <w:spacing w:after="0" w:line="253" w:lineRule="auto"/>
        <w:rPr>
          <w:sz w:val="20"/>
          <w:szCs w:val="20"/>
          <w:color w:val="auto"/>
        </w:rPr>
      </w:pPr>
      <w:r>
        <w:rPr>
          <w:rFonts w:ascii="Arial" w:cs="Arial" w:eastAsia="Arial" w:hAnsi="Arial"/>
          <w:sz w:val="18"/>
          <w:szCs w:val="18"/>
          <w:b w:val="1"/>
          <w:bCs w:val="1"/>
          <w:i w:val="1"/>
          <w:iCs w:val="1"/>
          <w:color w:val="auto"/>
        </w:rPr>
        <w:t xml:space="preserve">Jason Coloma, Ph.D., M.P.H., </w:t>
      </w:r>
      <w:r>
        <w:rPr>
          <w:rFonts w:ascii="Arial" w:cs="Arial" w:eastAsia="Arial" w:hAnsi="Arial"/>
          <w:sz w:val="18"/>
          <w:szCs w:val="18"/>
          <w:color w:val="auto"/>
        </w:rPr>
        <w:t>our Chief Executive Officer, brings over 20 years of life science leadership experience. He most recently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operated as a venture partner at Third Rock Ventures, LLC, or Third Rock Ventures, during which time he served as the Chief Operating Officer of Maze before being appointed CEO.</w:t>
      </w:r>
    </w:p>
    <w:p>
      <w:pPr>
        <w:spacing w:after="0" w:line="101"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b w:val="1"/>
          <w:bCs w:val="1"/>
          <w:i w:val="1"/>
          <w:iCs w:val="1"/>
          <w:color w:val="auto"/>
        </w:rPr>
        <w:t xml:space="preserve">Harold Bernstein, M.D., Ph.D., </w:t>
      </w:r>
      <w:r>
        <w:rPr>
          <w:rFonts w:ascii="Arial" w:cs="Arial" w:eastAsia="Arial" w:hAnsi="Arial"/>
          <w:sz w:val="18"/>
          <w:szCs w:val="18"/>
          <w:color w:val="auto"/>
        </w:rPr>
        <w:t>our President, Research &amp; Development and Chief Medical Officer, brings over 30 years of experience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scientific research, translational medicine and clinical development. Dr. Bernstein most recently was Chief Medical Officer and Head of Global Clinical Development at BioMarin Pharmaceuticals Inc. He previously served as Head of Translational Medicine at Vertex Pharmaceuticals Incorporated, or Vertex, and held roles of increasing responsibility at Merck and Co., Inc., including Head of Early Development for Cardiometabolic Diseases.</w:t>
      </w:r>
    </w:p>
    <w:p>
      <w:pPr>
        <w:spacing w:after="0" w:line="109"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8"/>
          <w:szCs w:val="18"/>
          <w:b w:val="1"/>
          <w:bCs w:val="1"/>
          <w:i w:val="1"/>
          <w:iCs w:val="1"/>
          <w:color w:val="auto"/>
        </w:rPr>
        <w:t xml:space="preserve">Atul Dandekar, </w:t>
      </w:r>
      <w:r>
        <w:rPr>
          <w:rFonts w:ascii="Arial" w:cs="Arial" w:eastAsia="Arial" w:hAnsi="Arial"/>
          <w:sz w:val="18"/>
          <w:szCs w:val="18"/>
          <w:color w:val="auto"/>
        </w:rPr>
        <w:t>our Chief Strategy Officer, brings over 20 years of experience in strategy, clinical development and commercialization.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Dandekar most recently was VP, Global Franchise Head for Ophthalmology at Genentech, Inc., or Genentech, and F. Hoffmann-La Roche AG, or Roche, and previously served as Senior Global Program Head in Neuroscience at Novartis AG.</w:t>
      </w:r>
    </w:p>
    <w:p>
      <w:pPr>
        <w:spacing w:after="0" w:line="88"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Since our inception, we have raised approximately $424.0 million from leading life science investors, including our 5% or greater stockholders, Third Rock Ventures, ARCH Venture Partners, Matrix Capital Management and Google Ventures. Prospective investors should not rely on the investment decisions of our existing investors, as these investors may have different risk tolerances and strategies and purchased their shares in prior offerings at prices lower than the price offered to the public in this offering. In addition, some of these investors may not be subject to reporting requirements under Section 16 of the Securities Exchange Act of 1934, as amended, or the Exchange Act, and, thus, prospective investors may not necessarily know the total amount of investment by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each of our existing investors and if and when our existing investors may decide to sell any of their shares. See the sections titled “Certain relationships and related person transactions” and “Principal stockholders” for more information on prior purchases by and current holdings of these stockholders.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strategy</w:t>
      </w:r>
    </w:p>
    <w:p>
      <w:pPr>
        <w:spacing w:after="0" w:line="13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leverage our Compass platform to discover and develop precision medicines in subsets of common diseases to achieve improved treatment outcomes for patients. Our focus on common CVRM diseases, including obesity, is driven in part by the emerging understanding of the interconnectivity of these diseases. By focusing on these common diseases, we believe we can maximize our impact on human health.</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core elements of our business strategy are to:</w:t>
      </w:r>
    </w:p>
    <w:p>
      <w:pPr>
        <w:spacing w:after="0" w:line="146" w:lineRule="exact"/>
        <w:rPr>
          <w:sz w:val="20"/>
          <w:szCs w:val="20"/>
          <w:color w:val="auto"/>
        </w:rPr>
      </w:pPr>
    </w:p>
    <w:p>
      <w:pPr>
        <w:ind w:left="340" w:right="120" w:hanging="224"/>
        <w:spacing w:after="0" w:line="251"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the clinical development of MZE829 and MZE782 for the treatment of CKD, a disease affecting a large patient population with high unmet need. </w:t>
      </w:r>
      <w:r>
        <w:rPr>
          <w:rFonts w:ascii="Arial" w:cs="Arial" w:eastAsia="Arial" w:hAnsi="Arial"/>
          <w:sz w:val="17"/>
          <w:szCs w:val="17"/>
          <w:color w:val="auto"/>
        </w:rPr>
        <w:t>We are currently advancing our two lead proprietary programs, MZE829 and MZE782, both novel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approaches to treating CKD, which affects approximately 37 million patients in the United States alone. MZE829 is an oral, small molecule inhibitor of APOL1 for the treatment of patients with AKD. We expect to initiate a Phase 2 trial of MZE829 in       . MZE782 is a potentially first-in-class, oral, small molecule inhibitor of SLC6A19 with the potential to be used as an option for those patients who do not adequately respond to today’s standard of care, or as a complementary treatment to current approved regimens. We expect to</w:t>
      </w:r>
    </w:p>
    <w:p>
      <w:pPr>
        <w:spacing w:after="0" w:line="4" w:lineRule="exact"/>
        <w:rPr>
          <w:sz w:val="20"/>
          <w:szCs w:val="20"/>
          <w:color w:val="auto"/>
        </w:rPr>
      </w:pPr>
    </w:p>
    <w:p>
      <w:pPr>
        <w:ind w:left="340"/>
        <w:spacing w:after="0"/>
        <w:tabs>
          <w:tab w:leader="none" w:pos="4140" w:val="left"/>
        </w:tabs>
        <w:rPr>
          <w:sz w:val="20"/>
          <w:szCs w:val="20"/>
          <w:color w:val="auto"/>
        </w:rPr>
      </w:pPr>
      <w:r>
        <w:rPr>
          <w:rFonts w:ascii="Arial" w:cs="Arial" w:eastAsia="Arial" w:hAnsi="Arial"/>
          <w:sz w:val="18"/>
          <w:szCs w:val="18"/>
          <w:color w:val="auto"/>
        </w:rPr>
        <w:t xml:space="preserve">submit an IND to the FDA for MZE782 in       </w:t>
      </w:r>
      <w:r>
        <w:rPr>
          <w:sz w:val="20"/>
          <w:szCs w:val="20"/>
          <w:color w:val="auto"/>
        </w:rPr>
        <w:tab/>
      </w:r>
      <w:r>
        <w:rPr>
          <w:rFonts w:ascii="Arial" w:cs="Arial" w:eastAsia="Arial" w:hAnsi="Arial"/>
          <w:sz w:val="13"/>
          <w:szCs w:val="13"/>
          <w:color w:val="auto"/>
        </w:rPr>
        <w:t>.</w:t>
      </w:r>
    </w:p>
    <w:p>
      <w:pPr>
        <w:spacing w:after="0" w:line="126" w:lineRule="exact"/>
        <w:rPr>
          <w:sz w:val="20"/>
          <w:szCs w:val="20"/>
          <w:color w:val="auto"/>
        </w:rPr>
      </w:pPr>
    </w:p>
    <w:p>
      <w:pPr>
        <w:ind w:left="340" w:right="8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proprietary Compass platform to expand our pipeline of precision medicine candidates. </w:t>
      </w:r>
      <w:r>
        <w:rPr>
          <w:rFonts w:ascii="Arial" w:cs="Arial" w:eastAsia="Arial" w:hAnsi="Arial"/>
          <w:sz w:val="18"/>
          <w:szCs w:val="18"/>
          <w:color w:val="auto"/>
        </w:rPr>
        <w:t>We plan to add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into our pipeline by applying our Compass platform to identify novel drug targets in subsets of common diseases with significant unmet need within CVRM therapeutic areas. Our Compass platform aims to leverage new genetic insights to identify well-validated targets and discover therapeutic agents designed to mimic the activity of protective genetic variants, correct the effects of toxic genetic variants, or target genetic modifiers and ultimately guide the development of these potential new medicines. We will continue evaluating strategic partnering opportunities that can complement our internal capabilities. Our goal is to bring novel precision medicines to patients with common diseases, which is where we believe we can maximize our impact on human health.</w:t>
      </w:r>
    </w:p>
    <w:p>
      <w:pPr>
        <w:spacing w:after="0" w:line="117" w:lineRule="exact"/>
        <w:rPr>
          <w:rFonts w:ascii="Arial" w:cs="Arial" w:eastAsia="Arial" w:hAnsi="Arial"/>
          <w:sz w:val="18"/>
          <w:szCs w:val="18"/>
          <w:color w:val="auto"/>
        </w:rPr>
      </w:pPr>
    </w:p>
    <w:p>
      <w:pPr>
        <w:ind w:left="340" w:right="60" w:hanging="224"/>
        <w:spacing w:after="0" w:line="242"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our Compass platform and methodology. </w:t>
      </w:r>
      <w:r>
        <w:rPr>
          <w:rFonts w:ascii="Arial" w:cs="Arial" w:eastAsia="Arial" w:hAnsi="Arial"/>
          <w:sz w:val="18"/>
          <w:szCs w:val="18"/>
          <w:color w:val="auto"/>
        </w:rPr>
        <w:t>We continue to make investments in our Compass platform and improve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 development process through access to non-public, matched, genetic and longitudinal clinical data, development of variant functionalization tools, and application of cutting edge computational and experimental drug discovery tools (e.g., Cryogenic electron microscopy, or Cryo-EM, virtual screening and machine learning DNA encoded libraries). We plan to enhance our Compass platform to remain at the forefront of genetically informed drug development and continue to access relevant biobanks and other repositories of genetic and clinical data.</w:t>
      </w:r>
    </w:p>
    <w:p>
      <w:pPr>
        <w:spacing w:after="0" w:line="111" w:lineRule="exact"/>
        <w:rPr>
          <w:rFonts w:ascii="Arial" w:cs="Arial" w:eastAsia="Arial" w:hAnsi="Arial"/>
          <w:sz w:val="18"/>
          <w:szCs w:val="18"/>
          <w:color w:val="auto"/>
        </w:rPr>
      </w:pPr>
    </w:p>
    <w:p>
      <w:pPr>
        <w:ind w:left="340" w:right="160" w:hanging="224"/>
        <w:spacing w:after="0" w:line="244"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Maximize the commercial potential of our pipeline</w:t>
      </w:r>
      <w:r>
        <w:rPr>
          <w:rFonts w:ascii="Arial" w:cs="Arial" w:eastAsia="Arial" w:hAnsi="Arial"/>
          <w:sz w:val="18"/>
          <w:szCs w:val="18"/>
          <w:color w:val="auto"/>
        </w:rPr>
        <w:t>. We plan to independently advance MZE829 and MZE782 towards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in geographies where we believe we can ultimately be successful on our own. We intend to build a highly targeted sales forces in these geographies to support the adoption of these treatments. Given the magnitude of the global market opportunity, we will maximize the value of these programs by partnering with third parties on therapeutic candidates in geographies we believe are better served by the resources and expertise of other biopharmaceutical companies.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Background</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precision medicine</w:t>
      </w:r>
    </w:p>
    <w:p>
      <w:pPr>
        <w:spacing w:after="0" w:line="14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Human evolution has given rise to significant genetic diversity worldwide. Because of population migrations and mixing, genetic drift, and founder effects, different populations carry distinct genetic variants. Certain of these variants increase an individual’s susceptibility to disease, while other variants can protect individuals from disease. Using the tools of modern human genetics, the scientific community is learning how variations in different genes may impact disease at an unprecedented pace.</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Therapeutic targets supported by human genetic evidence are more likely to yield treatments that provide clinical benefit to patients. Precision medicine holds the promise of therapeutics specifically tailored to address the particular drivers of an individual patient’s disease state to optimize treatment outcome, but the realization of this promise through clinical implementation has proven elusive. Although more than 100,000 associations between particular genomic regions and specific diseases have been identified, developing medicines to target the drivers of a disease remains challenging. This is due to difficulties in selecting the most pharmacologically relevant genomic associations, difficulties in identifying the mechanism by which these genomic associations cause diseases and challenges in developing therapeutics for newly identified targets.</w:t>
      </w:r>
    </w:p>
    <w:p>
      <w:pPr>
        <w:spacing w:after="0" w:line="117"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Addressing differences in response to treatment requires a more advanced understanding of and appreciation for the molecular complexity of disease. This is particularly true for common diseases, the complexity of which can be vast. A disease may involve thousands of genes across multiple cell types in different parts of the body. Because current clinical diagnostic technologies do not have the capability to assess change at such scale, current translational research or clinical practice cannot address disease complexity at this level.</w:t>
      </w:r>
    </w:p>
    <w:p>
      <w:pPr>
        <w:spacing w:after="0" w:line="1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 believe that we are pioneering the effort to translate genetic insights into therapeutic innovations by leveraging the technological convergence between biological sciences and information technology, and that our approach to drug discovery and development significantly mitigates its inherent risks with the key feature of variant functionalization. We leverage our Compass platform to discover and develop precision medicines in subsets of common diseases to achieve improved treatment outcomes for patients. Our focus on CVRM diseases, including obesity, is driven in part by the emerging understanding of the interconnectivity of these diseases.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chronic kidney disease (CKD)</w:t>
      </w:r>
    </w:p>
    <w:p>
      <w:pPr>
        <w:spacing w:after="0" w:line="142"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CKD is a serious, progressive condition characterized by the gradual loss of kidney function over time, posing significant health risks and economic burdens. CKD affects approximately 37 million patients in the United States, where it is expected to be the fifth most prevalent chronic disease by 2040, and an estimated 700 million patients worldwide. CKD manifests through various stages, culminating in end-stage renal disease, or ESRD, necessitating dialysis or kidney transplantation for survival. Current treatments for CKD consider patients as falling into clinical categories and focus on slowing disease progression, but do not target the underlying genetic drivers of disease.</w:t>
      </w:r>
    </w:p>
    <w:p>
      <w:pPr>
        <w:spacing w:after="0" w:line="98"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In the early stages of CKD, most patients may not have symptoms. However, as kidney function gradually diminishes over time, health problems such as high blood pressure, anemia, muscle weakness and nerve damage, kidney failure and cardiovascular, or CV, disease may develop, leading to premature death. Once the disease progresses to ESRD, the only definitive treatment is kidney transplant, with dialysis serving as a bridge to transplant. As of 2018, the five-year survival rate for all people in the United States who started dialysis was under 50%, presenting a significant and urgent need for alternative treatments for CKD. In addition to the significant impacts on patients and their families, this disease has put a significant burden on the healthcare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color w:val="auto"/>
        </w:rPr>
        <w:t>system in the United States, with more than 550,000 patients requiring dialysis and approximately 230,000 patients living with a kidney transplant. An estimated 14% of the United States population has CKD, with the Medicare program spending an outsized amount, more than 24% or $130 billion of total yearly expenditures, on patients with CKD.</w:t>
      </w:r>
    </w:p>
    <w:p>
      <w:pPr>
        <w:spacing w:after="0" w:line="101" w:lineRule="exact"/>
        <w:rPr>
          <w:sz w:val="20"/>
          <w:szCs w:val="20"/>
          <w:color w:val="auto"/>
        </w:rPr>
      </w:pPr>
    </w:p>
    <w:p>
      <w:pPr>
        <w:ind w:left="120" w:right="120"/>
        <w:spacing w:after="0" w:line="266" w:lineRule="auto"/>
        <w:rPr>
          <w:sz w:val="20"/>
          <w:szCs w:val="20"/>
          <w:color w:val="auto"/>
        </w:rPr>
      </w:pPr>
      <w:r>
        <w:rPr>
          <w:rFonts w:ascii="Arial" w:cs="Arial" w:eastAsia="Arial" w:hAnsi="Arial"/>
          <w:sz w:val="17"/>
          <w:szCs w:val="17"/>
          <w:color w:val="auto"/>
        </w:rPr>
        <w:t>Individuals of African ancestry are at significantly greater risk of developing ESRD than individuals of European ancestry, and account for approximately 33% of patients who experience kidney failure in the United States. The cumulative risk of ESRD is approximately 7.5% of Americans with African ancestry as compared to approximately 2% of Americans with European ancestry. Understanding the genetic drivers of this difference in CKD progression may accelerate the development of treatment strategies and reduce the excess burden.</w:t>
      </w:r>
    </w:p>
    <w:p>
      <w:pPr>
        <w:spacing w:after="0" w:line="92"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CKD can also increase the risk of CV diseases, such as heart failure, or HF. Depending on the stage of CKD and the age of the patient, up to 50% of patients diagnosed with CKD will also experience HF. CKD patients who are more likely to develop HF typically have similar risk factors including diabetes, obesity, and hypertension. If CKD is identified and addressed early enough, treatment can help slow disease progression, preserve renal function and reduce CV complications, including HF.</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current CKD therapies</w:t>
      </w:r>
    </w:p>
    <w:p>
      <w:pPr>
        <w:spacing w:after="0" w:line="142"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Despite advances in medical science, current treatments for CKD consider patients as falling into clinical categories and focus on slowing disease progression but do not target the underlying genetic drivers of disease.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lifestyle modifications, the standard of care for CKD includes three main categories of treatment:</w:t>
      </w:r>
    </w:p>
    <w:p>
      <w:pPr>
        <w:spacing w:after="0" w:line="144" w:lineRule="exact"/>
        <w:rPr>
          <w:sz w:val="20"/>
          <w:szCs w:val="20"/>
          <w:color w:val="auto"/>
        </w:rPr>
      </w:pPr>
    </w:p>
    <w:p>
      <w:pPr>
        <w:ind w:left="340" w:right="820" w:hanging="224"/>
        <w:spacing w:after="0" w:line="271"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Established therapies that slow progression: renin-angiotensin-aldosterone system, or RAAS, inhibitors, SGLT2 inhibitors and glucagon-like peptide 1, or GLP-1 agonists.</w:t>
      </w:r>
    </w:p>
    <w:p>
      <w:pPr>
        <w:spacing w:after="0" w:line="86"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Medications that mitigate the effects of CKD: medicines to control blood pressure, blood glucose levels, anemia, bone and mineral disorders, fluid overload, and levels of cholesterol and other lipids.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Dialysis and kidney transplantation: the typical final treatment option for ERSD patients.</w:t>
      </w:r>
    </w:p>
    <w:p>
      <w:pPr>
        <w:spacing w:after="0" w:line="144"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Only 50% to 70% of CKD patients respond to lifestyle modification and standard of care treatment, and ultimately almost all CKD patients progress to ESRD. Furthermore, existing therapies are associated with adverse side effects and patients experience substantial healthcare costs. Given the escalating prevalence of CKD, and its profound impact on patient well-being and healthcare systems, there exists a critical and pressing need for innovative treatments capable of halting or reversing disease progression, improving patient outcomes, and mitigating the socioeconomic burden associated with CKD.</w:t>
      </w:r>
    </w:p>
    <w:p>
      <w:pPr>
        <w:spacing w:after="0" w:line="1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Our two lead wholly owned programs, MZE829 and MZE782, are novel precision medicine-based approaches for CKD that inhibit APOL1 and SLC6A19, respectively. Our CKD programs are designed to modulate these targets directly, either by mimicking the beneficial effects of certain protective variants or by blocking the unwanted activity associated with toxic variants, to address the underlying biological drivers of disease. We believe this approach has the potential to be disease modifying and ultimately lead to better treatment outcomes for patients living with CKD.</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 of APOL1 kidney disease (AKD)</w:t>
      </w:r>
    </w:p>
    <w:p>
      <w:pPr>
        <w:spacing w:after="0" w:line="142"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color w:val="auto"/>
        </w:rPr>
        <w:t>AKD is a life threatening, genetically driven form of CKD. People who have high-risk coding variants in both copies of the APOL1 gene have a heightened risk of developing CKD. Patients who develop AKD have one or both</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color w:val="auto"/>
        </w:rPr>
        <w:t>of the two high-risk variants of the APOL1 gene, G1 and G2, in both copies of their APOL1 gene, which can lead to kidney injury and interference with the kidney’s ability to filter harmful substances from the 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66675</wp:posOffset>
            </wp:positionV>
            <wp:extent cx="5160645" cy="2922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606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3: Prevalence of AKD and associated risk factors</w:t>
      </w:r>
    </w:p>
    <w:p>
      <w:pPr>
        <w:spacing w:after="0" w:line="142"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The high-risk APOL1 gene variants are most prevalent in people of West African ancestry, including many who identify as Black, African American, Afro-Caribbean and Latina/Latino. These high-risk APOL1 gene variants likely evolved to protect individuals from Human African trypanosomiasis, or HAT, which causes sleeping sickness. HAT is endemic in sub-Saharan Africa and caused by protozoan parasites transmitted by infected tsetse fly bites. Without treatment, HAT is usually fatal.</w:t>
      </w:r>
    </w:p>
    <w:p>
      <w:pPr>
        <w:spacing w:after="0" w:line="9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the United States, approximately six million, or 13%, of African Americans have mutations of both copies of the high-risk APOL1 gene variants, and are at risk for developing AKD. It is currently estimated that approximately 20%, or over one million, of those individuals have AKD.</w:t>
      </w:r>
    </w:p>
    <w:p>
      <w:pPr>
        <w:spacing w:after="0" w:line="101"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APOL1 is a channel-forming innate immunity protein found in circulating high-density lipoproteins in humans and certain primates. In addition to circulating forms, APOL1 is also found locally in kidney endothelial cells and podocytes. Circulating APOL1 mediates resistance to infection from the parasite Trypanosoma brucei. The high-density lipoprotein particle binds to the cell membrane of the parasite, allowing for the uptake of APOL1, which forms a pH-gated cation channel in the membrane of the lysosome. The lysosome then swells and ruptures into the body of the parasite, resulting in its demise. The G1 and G2 variants of APOL1 evolved in response to parasites that became resistant to normal APOL1. However, individuals with two copies of the G1 and/or G2 variants were found to be at higher risk for developing CKD and progressing to ESRD.</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Rare individuals lacking APOL1 altogether appear to have no higher risk of developing CKD than the general population, suggesting that AKD is the result of toxicity associated with the risk variants, rather than APOL1 inactivation. This observation also suggests that it may be safe to inhibit APOL1 activity to reduce the risk and progression of AKD.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AKD has various clinical presentations, including focal segmental glomerulosclerosis, or FSGS, hypertension-associated kidney disease, HIV-associated nephropathy and lupus nephritis. Published third-party studies and internal analysis also suggest that AKD may be responsible for increasing the likelihood of progression to ESRD in individuals with diabetes.</w:t>
      </w:r>
    </w:p>
    <w:p>
      <w:pPr>
        <w:spacing w:after="0" w:line="101"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AKD represents a significant unmet medical need, as there are currently no approved therapies that address its underlying genetic causes or efficacious treatment options for individuals with high-risk APOL1 gene variants.</w:t>
      </w:r>
    </w:p>
    <w:p>
      <w:pPr>
        <w:spacing w:after="0" w:line="86"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Third-party clinical trials evaluating the use of a small molecule APOL1 inhibitor have demonstrated a statistically significant and clinically meaningful reduction in proteinuria at 13 weeks compared to baseline in APOL1-mediated FSGS patients. All clinical trials to date have been limited to AKD patients in the nephrotic or sub-nephrotic range, who represents a small percentage of the AKD population, and have excluded patients with hypertensive kidney disease and diabetes, who make up the majority of AKD patients.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Role of SLC6A19 in kidney disease</w:t>
      </w:r>
    </w:p>
    <w:p>
      <w:pPr>
        <w:spacing w:after="0" w:line="14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SLC6A19 encodes the protein BoAT1, a sodium-dependent neutral amino acid transporter expressed primarily in the proximal tubule of the kidney and on the brush border of the small intestine. In the kidney, SLC6A19 plays a role in minimizing the excretion of amino acids in urine by transporting these key nutrients from the urine back into the bloodstream. We identified SLC6A19 as a potentially novel therapeutic target for CKD based the finding that loss-of-function variants in SLC6A19 were associated with improved renal function and protection from CKD.</w:t>
      </w:r>
    </w:p>
    <w:p>
      <w:pPr>
        <w:spacing w:after="0" w:line="9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As shown in Figure 4 below, while treatment strategies for patients with CKD have evolved with the use of RAAS inhibitors and more recently SGLT2 inhibitors and GLP-1 agonists, of the approximately 14 million CKD patients in the United States with clinical symptoms requiring treatment, only approximately 7 million are receiving treatment. Of these, we estimate that up to five million patients may have an inadequate response and could benefit from novel treatments. Additionally, we believe there is potential for SLC6A19-based therapies to be used either alone or in combination with other available treatment options in an even larger group of CKD patients.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208280</wp:posOffset>
            </wp:positionV>
            <wp:extent cx="3703320" cy="3703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70332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4: Initial target populations for MZE782 in the United States</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lead programs for CKD: MZE829 and MZE782</w:t>
      </w:r>
    </w:p>
    <w:p>
      <w:pPr>
        <w:spacing w:after="0" w:line="148"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Our wholly owned pipeline consists of small molecule precision medicines for patients living with common diseases, with a focus on CVRM diseases, including obesity. Our two lead wholly owned programs, MZE829 and MZE782, are novel precision medicine-based approaches for CKD that inhibit APOL1 and SLC6A19, respectively.</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MZE829 for APOL1 kidney disease (AKD)</w:t>
      </w:r>
    </w:p>
    <w:p>
      <w:pPr>
        <w:spacing w:after="0" w:line="142"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Our most advanced lead program, MZE829, is an oral, small molecule inhibitor of APOL1 that seeks to treat patients with AKD, a subset of CKD estimated to affect over one million patients in the United States alone. Our approach to treating AKD aims to block the ability of APOL1 to conduct current at the cell membrane. Based on compelling human genetics and functional genomics data derived from our Compass platform linking the role of the G1 and G2 APOL1 risk variants to CKD, along with a further understanding of APOL1’s function and clinical observation of its localization, we believe a pore-blocking strategy will reduce ion conductance in podocytes and thus reduce APOL1-associated renal toxicity.</w:t>
      </w:r>
    </w:p>
    <w:p>
      <w:pPr>
        <w:spacing w:after="0" w:line="111"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While the genetic link between APOL1 and kidney disease has been well established, the mechanism by which it induces kidney injury remained unclear for over a decade. Through our Compass platform and the research we have conducted with our partners, we have identified the mechanism of a naturally occurring genetic variant of APOL1, called N264K. When present, this variant has been shown to reduce the conductance of ions through the APOL1 pore in the presence of the high-risk G1 and G2 APOL1 alleles, thereby suppressing the toxicity of APOL1 in kidney cells and reducing disease progression.</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60"/>
          </w:cols>
          <w:pgMar w:left="320" w:top="455" w:right="6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genesis of our therapeutic hypothesis was based upon human genetics involving an individual from Ghana who developed an atypical trypanosome infection. Under normal circumstances, protections afforded by APOL1 would have prevented infection from this particular trypanosome. However, a third party’s sequencing of the APOL1 gene from this individual revealed that the genetic mutation responsible for N264K occurred in a separate part of the APOL1 gene from where the disease-driving mutations occur and established that the mutation resulted in the inability of APOL1 to direct the elimination of trypanosomes. This led us to consider whether the mechanism by which APOL1 promoted trypanosome lysis may also have a causal connection to toxicity in kidney disease. We tested the consequences of the N264K variant in cultured kidney cells, in which expression of the G1 and G2 APOL1 risk variants are toxic. When the risk variant of APOL1 was altered to contain the N264K variant, its toxicity in kidney cells was substantially reduced.</w:t>
      </w:r>
    </w:p>
    <w:p>
      <w:pPr>
        <w:spacing w:after="0" w:line="11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To further validate the finding, we conducted a cross-sectional analysis of 121,492 participants of African ancestry from the Million Veteran Program, or MVP, to determine if the presence of N264K modified the association between the G1 and G2 risk variants and CKD and ESRD. As depicted in Figure 5 below, the results showed a strong association between N264K and a statistically significant risk reduction (p &lt; 0.001) of CKD (left) and ESRD (right) among carriers of the G1 and G2 risk variants. The results were further replicated by research from the Vanderbilt University Medical Center’s Biobank (BioVU; n= 14,386) and the National Institute of Health’s All of Us program (All of Us; n= 14,704), also reflected in Figure 5 below. A meta-analysis across all cohorts demonstrated a 57% reduced risk of CKD and an 81% reduced risk of ESRD in APOL1 high-risk patients carrying the N264K protective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86360</wp:posOffset>
            </wp:positionV>
            <wp:extent cx="4989195" cy="2177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8919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5: APOL1 N264K variant shown to protect against AKD (CKD) and ESRD</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then used human kidney cell models to demonstrate that the N264K mutation blocked APOL1 pore-forming function and ion conductance, and reduced toxicity of the APOL1 high-risk mutations (the G2 variant shown in Figure 6 below). We generated kidney cell lines in which expression of the toxic G2 APOL1 protein was induced with doxycycline. We then measured calcium ion flow into these cells using a calcium sensitive fluorescent protein. As demonstrated in the left panel below, an increase in calcium uptake occurred in cells where expression of the G2 variant was induced (G2, +Dox) but not in cells in which G2 was not expressed (G2, -Dox). This demonstrated that the G2 APOL1 variant can form an ion permeable pore in the plasma membrane of these cells. As shown in the right panel below, cells designed to express a version of toxic G2 APOL1 with the N264K mutation (G2 N264K) did not show evidence of increased ion flux in the presence of doxycycline. This demonstrated that the protective APOL1 variant N264K blocked G2 APOL1 dependent ion flux in a cell model as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measured by calcium uptake, demonstrating that N264K acts by impairing APOL1 pore function. These data informed our therapeutic hypothesis for the treatment of AKD by phenocopying the effects of the N264K variant and blocking the unregulated ion flow that occurs in the presence of the high risk APOL1 variants, G1 and 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76200</wp:posOffset>
            </wp:positionV>
            <wp:extent cx="4697730" cy="21602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69773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right="3620"/>
        <w:spacing w:after="0" w:line="398" w:lineRule="auto"/>
        <w:rPr>
          <w:sz w:val="20"/>
          <w:szCs w:val="20"/>
          <w:color w:val="auto"/>
        </w:rPr>
      </w:pPr>
      <w:r>
        <w:rPr>
          <w:rFonts w:ascii="Arial" w:cs="Arial" w:eastAsia="Arial" w:hAnsi="Arial"/>
          <w:sz w:val="18"/>
          <w:szCs w:val="18"/>
          <w:i w:val="1"/>
          <w:iCs w:val="1"/>
          <w:color w:val="auto"/>
        </w:rPr>
        <w:t xml:space="preserve">Figure 6: Protective N264K variant corrected ungated ion flux that occurs with G2 risk variant </w:t>
      </w:r>
      <w:r>
        <w:rPr>
          <w:rFonts w:ascii="Arial" w:cs="Arial" w:eastAsia="Arial" w:hAnsi="Arial"/>
          <w:sz w:val="18"/>
          <w:szCs w:val="18"/>
          <w:u w:val="single" w:color="auto"/>
          <w:color w:val="auto"/>
        </w:rPr>
        <w:t>Discovery of MZE829</w:t>
      </w:r>
    </w:p>
    <w:p>
      <w:pPr>
        <w:ind w:left="120"/>
        <w:spacing w:after="0" w:line="244" w:lineRule="auto"/>
        <w:rPr>
          <w:sz w:val="20"/>
          <w:szCs w:val="20"/>
          <w:color w:val="auto"/>
        </w:rPr>
      </w:pPr>
      <w:r>
        <w:rPr>
          <w:rFonts w:ascii="Arial" w:cs="Arial" w:eastAsia="Arial" w:hAnsi="Arial"/>
          <w:sz w:val="18"/>
          <w:szCs w:val="18"/>
          <w:color w:val="auto"/>
        </w:rPr>
        <w:t>In order to validate the assertion that inhibition of pore function would limit toxicity, we conducted several small molecule screening campaigns. These screens resulted in our identification of several chemical series that were capable of blocking the influx of ions through APOL1. Kidney cells expressing APOL1 were exposed to pore-blocking molecules from our lead series at a range of concentrations at two different resting membrane potentials. Measurement of the current flowing through the APOL1 pore showed that these molecules inhibited the flow of current in a dose dependent manner.</w:t>
      </w:r>
    </w:p>
    <w:p>
      <w:pPr>
        <w:spacing w:after="0" w:line="10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Further, in studies to assess the ability of our lead compounds to protect against APOL1-mediated toxicity, human kidney cells expressing the G1 and G2 APOL1 risk variants were cultured in the presence and absence of our lead compounds. As the concentration of our lead series APOL1 inhibitor increased, the rate of kidney cell toxicity decreased and kidney cell viability percentage increased in a dose dependent manner.</w:t>
      </w:r>
    </w:p>
    <w:p>
      <w:pPr>
        <w:spacing w:after="0" w:line="106"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 xml:space="preserve">Conducting the various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cell-based assays allowed us to evaluate potency and effect of APOL1 compounds. While these assays are informative, they are limited, artificially constructed systems, and often provide incomplete data on how the compounds may interact in a human setting. Because of these complexities, we believe a humanized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mouse model measuring proteinuria reduction is the preferred surrogate for patient improvement. We conducted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 with our development candidate, MZE829, using a transgenic mouse model that simulates human disease with two copies of high-risk APOL1 alleles that drive high levels of proteinuria in response to an inflammatory stimulus driven by expression of interferon gamma.</w:t>
      </w:r>
    </w:p>
    <w:p>
      <w:pPr>
        <w:spacing w:after="0" w:line="98" w:lineRule="exact"/>
        <w:rPr>
          <w:sz w:val="20"/>
          <w:szCs w:val="20"/>
          <w:color w:val="auto"/>
        </w:rPr>
      </w:pPr>
    </w:p>
    <w:p>
      <w:pPr>
        <w:ind w:left="120" w:right="40"/>
        <w:spacing w:after="0" w:line="266" w:lineRule="auto"/>
        <w:rPr>
          <w:sz w:val="20"/>
          <w:szCs w:val="20"/>
          <w:color w:val="auto"/>
        </w:rPr>
      </w:pPr>
      <w:r>
        <w:rPr>
          <w:rFonts w:ascii="Arial" w:cs="Arial" w:eastAsia="Arial" w:hAnsi="Arial"/>
          <w:sz w:val="17"/>
          <w:szCs w:val="17"/>
          <w:color w:val="auto"/>
        </w:rPr>
        <w:t>Findings from this study demonstrated the potential of MZE829 to ameliorate disease manifestations of AKD, specifically proteinuria and the histopathological manifestations of kidney damage. In this study, we treated mice homozygous for a bacterial artificial chromosome, or BAC, transgene expressing the G2 APOL1 variant with interferon gamma to induce APOL1 expression in the kidney. This treatment led to G2 APOL1 upregulation and kidney injury that could be monitored by urinary albumin excretion or urinary albumin-creatinine ratio, or</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uACR. Mice were treated with interferon gamma and MZE829, and urine was collected from 24 through 48 hours after treatment. As shown in Figure 7 below, MZE829 dose dependently blocked APOL1 induced kidney injury in this translationally relevant G2 APOL1 BAC transgenic mouse model as measured by decreases in uACR.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76200</wp:posOffset>
            </wp:positionV>
            <wp:extent cx="3291840" cy="2100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9184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7: MZE829 inhibited APOL1 dependent proteinuria, as measured by uACR, in a model of AKD</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also compared MZE829 to an independently synthesized sample of the publicly disclosed structure of inaxaplin, or VX-147, in this mouse model of AKD. Different doses of MZE829 and the synthesis of inaxaplin were given to mice treated with interferon gamma. uACR and free plasma drug concentrations were determined for each dose group, and the exposure-response relationships for both compounds was analyzed as shown in Figure 8 below. The free plasma drug concentrations associated with a 50% reduction in uACR was approximately 100 times lower for MZE829 compared to the synthesis of inaxaplin. These data demonstrated that MZE829 was substantially more potent than our synthesis of inaxaplin in a translationally relevant animal model, and suggest that meaningful efficacy in the clinic may be achievable at lower levels of free drug. Therefore, we believe MZE829 may be more suitable for clinical exploration in a broader range of patients, with lower risk of off-target safety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83185</wp:posOffset>
            </wp:positionV>
            <wp:extent cx="4457700" cy="20148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45770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40"/>
        <w:spacing w:after="0" w:line="441" w:lineRule="auto"/>
        <w:rPr>
          <w:sz w:val="20"/>
          <w:szCs w:val="20"/>
          <w:color w:val="auto"/>
        </w:rPr>
      </w:pPr>
      <w:r>
        <w:rPr>
          <w:rFonts w:ascii="Arial" w:cs="Arial" w:eastAsia="Arial" w:hAnsi="Arial"/>
          <w:sz w:val="18"/>
          <w:szCs w:val="18"/>
          <w:i w:val="1"/>
          <w:iCs w:val="1"/>
          <w:color w:val="auto"/>
        </w:rPr>
        <w:t xml:space="preserve">Figure 8: MZE829 was approximately 100 times more potent than an independently synthesized sample of inaxaplin in a model of AKD </w:t>
      </w:r>
      <w:r>
        <w:rPr>
          <w:rFonts w:ascii="Arial" w:cs="Arial" w:eastAsia="Arial" w:hAnsi="Arial"/>
          <w:sz w:val="18"/>
          <w:szCs w:val="18"/>
          <w:color w:val="auto"/>
        </w:rPr>
        <w:t>119</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While the mouse model of AKD described above simulated acute onset and treatment of disease, we also developed additional models that more closely resemble chronic disease. In these models, mice harboring BAC transgenes with one copy each of both G1 and G2 were exposed to an adeno-associated virus chronically expressing interferon gamma to produce the manifestations of AKD in humans. Treatment after seven days of continuing interferon expression with a mouse-tool compound (MZ-302) with similar pharmacochemical characteristics to MZE829 demonstrated the ability to significantly reduce uACR in a dose-dependent manner, as shown in Figure 9 below, with almost complete reversal after three weeks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4114800" cy="2100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11480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right="240"/>
        <w:spacing w:after="0" w:line="269" w:lineRule="auto"/>
        <w:rPr>
          <w:sz w:val="20"/>
          <w:szCs w:val="20"/>
          <w:color w:val="auto"/>
        </w:rPr>
      </w:pPr>
      <w:r>
        <w:rPr>
          <w:rFonts w:ascii="Arial" w:cs="Arial" w:eastAsia="Arial" w:hAnsi="Arial"/>
          <w:sz w:val="18"/>
          <w:szCs w:val="18"/>
          <w:i w:val="1"/>
          <w:iCs w:val="1"/>
          <w:color w:val="auto"/>
        </w:rPr>
        <w:t>Figure 9: Reversal of established proteinuria, as measured by uACR, by a Maze APOL1 inhibitor (MZ-302) in a chronic mouse model of AKD</w:t>
      </w:r>
    </w:p>
    <w:p>
      <w:pPr>
        <w:spacing w:after="0" w:line="74"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Treatment also was shown to resolve kidney tissue abnormalities (disruption of glomeruli, or glomerulosclerosis as shown in insets) within the same time frame, as reflected in Figure 10 below. This demonstrated that in both acute and chronic mouse models of AKD, our specific and potent APOL1 inhibitors were able to both arrest and reverse disease, providing further validation of our therapeutic hypothesis.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79375</wp:posOffset>
            </wp:positionV>
            <wp:extent cx="5023485" cy="13373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2348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10: Treatment with MZ-302, a Maze APOL1 inhibitor, significantly reduced glomerular scarring in a chronic mouse model of AKD</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MZE829 clinical trials</w:t>
      </w:r>
    </w:p>
    <w:p>
      <w:pPr>
        <w:spacing w:after="0" w:line="144"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We are currently evaluating MZE829 in a Phase 1 randomized, placebo-controlled clinical trial in healthy volunteers with single ascending and multiple ascending dose cohorts. The objective of the Phase 1 trial is to</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assess the safety, tolerability, and pharmacokinetics of MZE829 in healthy volunteers and select doses for a potential Phase 2 trial in AKD patients. As a part of the Phase 1 program, we are also investigating potential drug-drug interactions to guide the use of standard-of care medicines in Phase 2.</w:t>
      </w:r>
    </w:p>
    <w:p>
      <w:pPr>
        <w:spacing w:after="0" w:line="10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Based on the Phase 1 trial results, we plan to initiate a Phase 2 clinical trial in patients with AKD to determine which patients may derive a clinically significant benefit from MZE829. We expect the Phase 2 clinical trial to be a basket design, including AKD patients carrying the two high-risk APOL1 alleles (G1, G2), stratified by clinical phenotype and level of proteinuria, as well as patients who have type 2 diabetes. We intend to enroll patients with a wide array of characteristics to reflect the full range of AKD. The trial will include patients from the more severe patient population with nephrotic range proteinuria, as in FSGS, patients with lower levels of proteinuria and hypertensive nephropathy, and patients with proteinuria and diabetic kidney disease, a subpopulation that genetic analyses of the N264K protective variant suggest could benefit from an APOL1-directed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86360</wp:posOffset>
            </wp:positionV>
            <wp:extent cx="4337685" cy="26485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3768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11: Maze plans to explore an expanded population of AKD patients in the United States in clinical trials</w:t>
      </w:r>
    </w:p>
    <w:p>
      <w:pPr>
        <w:spacing w:after="0" w:line="12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Our Phase 2 evaluation of MZE829 clinical development will aim to address a larger population than current third-party clinical trials, which are limited to patients in the nephrotic or sub-nephrotic range only, comprised of non-diabetic patients with FSGS and a small portion of patients with hypertensive nephropathy and heavy proteinuria.</w:t>
      </w:r>
    </w:p>
    <w:p>
      <w:pPr>
        <w:spacing w:after="0" w:line="101"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Data from Phase 2 are intended to demonstrate proof of concept and provide appropriate criteria for selection of patient populations and dose range in a subsequent pivotal clinical program.</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Phase 2 endpoints</w:t>
      </w:r>
    </w:p>
    <w:p>
      <w:pPr>
        <w:spacing w:after="0" w:line="144"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We intend to use reduction of proteinuria, as measured by the percentage of subjects with a 30% or greater reduction from baseline in uACR at week 12, as a primary endpoint for the Phase 2 trial. uACR is a sensitive measure of proteinuria in earlier stages of glomerular kidney disease, particularly in hypertension and diabetes, and has been used to assess risk of CV disease.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Patient identification and selection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expect to use clinical genotyping to identify individuals who carry the APOL1 G1 and G2 mutations in connection with enrollment of our Phase 2 clinical trial. Additionally, the APOL1 G1 and G2 variants are included in most currently used standard genetic screening panels for kidney disease. We do not intend to genotype participants for the N264K variant as this is a rare finding and these individuals are unlikely to meet the criteria for AKD as they are relatively protected. We are currently exploring the development of an APOL1 G1/G2 companion diagnostic for commercialization. Various sponsors, including kidney societies, patient advocacy groups, academic programs and other biopharmaceutical companies, are currently conducting global genotyping efforts. These are promoted by the Kidney Health Initiative, a public-private partnership among the FDA, the American Society of Nephrology, and other member organizations, including us. We believe that these genotyping efforts will increase as additional positive data and potential therapies become available.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MZE782 for CKD, targeting SLC6A19</w:t>
      </w:r>
    </w:p>
    <w:p>
      <w:pPr>
        <w:spacing w:after="0" w:line="14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believe that MZE782 is a potentially first-in-class, oral, small molecule targeting the solute transporter, SLC6A19, with the potential to address approximately five million of the CKD patients in the United States who have inadequate responses to currently available CKD therapies. Beyond its use as a potential standalone therapy, MZE782 may also provide a significant benefit to patients in combination with standard of care, including as a complementary treatment to current approved regimens, or as an alternative option for those patients who do not adequately respond to the current standard of care. We plan to apply a non-invasive biomarker strategy in our Phase 1 trial in healthy volunteers to establish proof of mechanism and select doses for a Phase 2 trial in CKD patients. We expect to submit an IND to the FDA for MZE782 in      .</w:t>
      </w:r>
    </w:p>
    <w:p>
      <w:pPr>
        <w:spacing w:after="0" w:line="117"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Using our Compass platform, we identified SLC6A19 as a target through genetic association with a bidirectional allelic series that included genetic variants that either improve or worsen renal function. We then applied variant functionalization techniques to understand the characteristics of the naturally occurring protective variants, and designed a small molecule inhibitor to mimic those protective characteristics. Using computational tools integrated with established small molecule screening methods, we were able to identify a lead compound series. Cryo-EM structural analysis revealed a novel allosteric binding site that allowed for further optimization toward a lead compound. This approach facilitated the identification of our development candidate, MZE782, with a 250-fold increase in potency relative to earlier compounds in development.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Identification of SLC6A19 as a therapeutic target using our Compass platform</w:t>
      </w:r>
    </w:p>
    <w:p>
      <w:pPr>
        <w:spacing w:after="0" w:line="144" w:lineRule="exact"/>
        <w:rPr>
          <w:sz w:val="20"/>
          <w:szCs w:val="20"/>
          <w:color w:val="auto"/>
        </w:rPr>
      </w:pPr>
    </w:p>
    <w:p>
      <w:pPr>
        <w:ind w:left="120" w:right="20"/>
        <w:spacing w:after="0" w:line="225" w:lineRule="auto"/>
        <w:rPr>
          <w:sz w:val="20"/>
          <w:szCs w:val="20"/>
          <w:color w:val="auto"/>
        </w:rPr>
      </w:pPr>
      <w:r>
        <w:rPr>
          <w:rFonts w:ascii="Arial" w:cs="Arial" w:eastAsia="Arial" w:hAnsi="Arial"/>
          <w:sz w:val="18"/>
          <w:szCs w:val="18"/>
          <w:color w:val="auto"/>
        </w:rPr>
        <w:t>SLC6A19 emerged as a novel therapeutic target for the treatment of CKD based on our analyses of independent sets of human genetic data matched with longitudinal clinical data for kidney health. Through these analyses, we identified a link between loss-of-function variants in SLC6A19 with improved renal function and protection from CKD. As illustrated in Figure 12 below, SLC6A19 variants plotted by allele frequency on the X-axis were statistically significantly associated (p&lt; 5x10</w:t>
      </w:r>
      <w:r>
        <w:rPr>
          <w:rFonts w:ascii="Arial" w:cs="Arial" w:eastAsia="Arial" w:hAnsi="Arial"/>
          <w:sz w:val="26"/>
          <w:szCs w:val="26"/>
          <w:color w:val="auto"/>
          <w:vertAlign w:val="superscript"/>
        </w:rPr>
        <w:t>-8</w:t>
      </w:r>
      <w:r>
        <w:rPr>
          <w:rFonts w:ascii="Arial" w:cs="Arial" w:eastAsia="Arial" w:hAnsi="Arial"/>
          <w:sz w:val="18"/>
          <w:szCs w:val="18"/>
          <w:color w:val="auto"/>
        </w:rPr>
        <w:t xml:space="preserve"> ) with improvement in kidney function (as measured by decreases in serum creatinine) on the Y-axis. One loss-of-function missense variant (D173N) had the largest beneficial effect on kidney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83820</wp:posOffset>
            </wp:positionV>
            <wp:extent cx="3429000" cy="17919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0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12: Analysis of matched clinical-genetic data from the UK Biobank prioritized novel CKD target SLC6A19</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Analysis of the D173N loss-of-function variant and gain-of-function Expression Quantitative Trait Loci, or eQTLs, across the UK Biobank data set established a bidirectional allelic series (both protective and risk alleles) for kidney function. As shown in Figure 13 below, loss-of-function D173N variant was associated with decreased levels of serum creatinine and cystatin C, as well as increased eGFR, consistent with better kidney function. An eQTL that leads to higher levels of SLC6A19 expression was associated with increased levels of serum creatinine and cystatin C and lower eGFR, consistent with worse kidney function. Missense variants that decrease SLC6A19 activity and eQTLs that increase SLC6A19 activity have directionally opposite effects across multiple distinct biomarkers of kidney function supporting the model that loss of function in SLC6A19 protects from CKD.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86360</wp:posOffset>
            </wp:positionV>
            <wp:extent cx="4389120" cy="2040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8912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13: SLC6A19 variants had bidirectional and consistent effects across biomarkers of renal function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Preclinical models of SLC6A19 inhibition</w:t>
      </w:r>
    </w:p>
    <w:p>
      <w:pPr>
        <w:spacing w:after="0" w:line="131"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To gain further confidence in SLC6A19 as a relevant therapeutic target for improving kidney health, we generated a preclinical knockout mouse model to recapitulate the effects of the loss-of-function protective variants. As demonstrated in the histopathological images in Figure 14 below, the kidney from a representative wild type mouse (far left) showed marked damage, as indicated by vacuolization (excessive white spaces) in the kidney parenchyma along with breakdown of the normal architecture of glomeruli (the filtration units in the kidney) in response to treatment with the proximal tubule toxin, aristolochic acid, or AAI. In contrast, the kidney from a representative SLC6A19 knockout mouse (inner left) showed normal kidney parenchyma with healthy glomeruli in response to AAI treatment. This demonstrated protection of the kidney from AAI damage in mice that did not express SLC6A19.</w:t>
      </w:r>
    </w:p>
    <w:p>
      <w:pPr>
        <w:spacing w:after="0" w:line="117"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 xml:space="preserve">Further, complete knockout of SLC6A19 in this model was well tolerated with normal kidney parenchyma (far right), and no impact on body weight, eGFR or other measures of kidney health, or function of other organs. In addition, Hartnup syndrome, a genetic disorder in which individuals are homozygous for loss-of-function mutations in SLC6A19, is characterized by benign loss of amino acids in urine. Patients with Hartnup syndrome can live healthy lives with appropriate dietary supplementation. Heterozygous Hartnup carriers are clinically normal without intervention. Together, these observations provide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evidence that pharmacologic inhibition of SLC6A19 function could be well tolerated in patients with CKD and protect the kidney from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82550</wp:posOffset>
            </wp:positionV>
            <wp:extent cx="3634740" cy="19716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63474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14: Targeted genetic knockout of SLC6A19 in a preclinical model protected against AAI-induced kidney injury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Correlation of SLC6A19 inhibition with clinically meaningful effect</w:t>
      </w:r>
    </w:p>
    <w:p>
      <w:pPr>
        <w:spacing w:after="0" w:line="13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Individuals with one copy of the D173N variant displayed clinically meaningful protection of kidney function in the UK Biobank data set. Functionalization of this variant enabled us to estimate the degree of inhibition required for a clinically significant effect. SCL6A19 harboring the protective D173N variant and other variants associated with SLC6A19 loss-of-function were expressed in a Xenopus oocyte system. Introduction of the D173N mutation resulted in an approximately 50% decrease in transporter activity as measured by uptake of the neutral amino acid, leucine, a natural cargo for the transporter, compared to wild type SLC6A19. Because a protective effect on kidney function is seen in the presence of a single copy of the D173N variant, these data suggest that a clinically meaningful effect could be seen with as little as 50% inhibition of the target.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Discovery of MZE782</w:t>
      </w:r>
    </w:p>
    <w:p>
      <w:pPr>
        <w:spacing w:after="0" w:line="144" w:lineRule="exact"/>
        <w:rPr>
          <w:sz w:val="20"/>
          <w:szCs w:val="20"/>
          <w:color w:val="auto"/>
        </w:rPr>
      </w:pPr>
    </w:p>
    <w:p>
      <w:pPr>
        <w:jc w:val="both"/>
        <w:ind w:left="120"/>
        <w:spacing w:after="0" w:line="255" w:lineRule="auto"/>
        <w:rPr>
          <w:sz w:val="20"/>
          <w:szCs w:val="20"/>
          <w:color w:val="auto"/>
        </w:rPr>
      </w:pPr>
      <w:r>
        <w:rPr>
          <w:rFonts w:ascii="Arial" w:cs="Arial" w:eastAsia="Arial" w:hAnsi="Arial"/>
          <w:sz w:val="17"/>
          <w:szCs w:val="17"/>
          <w:color w:val="auto"/>
        </w:rPr>
        <w:t>Based on our genetic analyses, loss-of-function variants were protective against kidney dysfunction in human beings against kidney injury in the preclinical AAI treatment model. As a result, we launched a drug discovery program to identify small molecule inhibitors of SLC6A19 function. Inhibitors of SLC6A19 were identified in a screen of 200,000 compounds in a cellular fluorometric membrane potential assay.</w:t>
      </w:r>
    </w:p>
    <w:p>
      <w:pPr>
        <w:spacing w:after="0" w:line="2" w:lineRule="exact"/>
        <w:rPr>
          <w:sz w:val="20"/>
          <w:szCs w:val="20"/>
          <w:color w:val="auto"/>
        </w:rPr>
      </w:pPr>
    </w:p>
    <w:p>
      <w:pPr>
        <w:ind w:left="120" w:right="200"/>
        <w:spacing w:after="0" w:line="256" w:lineRule="auto"/>
        <w:rPr>
          <w:sz w:val="20"/>
          <w:szCs w:val="20"/>
          <w:color w:val="auto"/>
        </w:rPr>
      </w:pPr>
      <w:r>
        <w:rPr>
          <w:rFonts w:ascii="Arial" w:cs="Arial" w:eastAsia="Arial" w:hAnsi="Arial"/>
          <w:sz w:val="17"/>
          <w:szCs w:val="17"/>
          <w:color w:val="auto"/>
        </w:rPr>
        <w:t xml:space="preserve">Several hit series were identified (potencies &lt;10 µM), and the acquisition of dozens of Cryo-EM protein-ligand complex structures revealed that all compounds bound in a specific, cryptic allosteric pocket. Structurally enabled hybridization of the hit series and further optimization using a cellular radiometric leucine uptake assay produced compounds with potencies &lt;500 nM. Further lead optimization benefited from the introduction of polarity which allowed for the best balance of potency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pharmacokinetic performance. Ultimately, our efforts resulted in MZE782, with an IC</w:t>
      </w:r>
      <w:r>
        <w:rPr>
          <w:rFonts w:ascii="Arial" w:cs="Arial" w:eastAsia="Arial" w:hAnsi="Arial"/>
          <w:sz w:val="12"/>
          <w:szCs w:val="12"/>
          <w:color w:val="auto"/>
        </w:rPr>
        <w:t>50</w:t>
      </w:r>
      <w:r>
        <w:rPr>
          <w:rFonts w:ascii="Arial" w:cs="Arial" w:eastAsia="Arial" w:hAnsi="Arial"/>
          <w:sz w:val="17"/>
          <w:szCs w:val="17"/>
          <w:color w:val="auto"/>
        </w:rPr>
        <w:t xml:space="preserve"> &lt; 300 nM reflecting a ten-fold improvement in potency compared to the initial hit.</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Development of translational biomarkers of SLC6A19 inhibition</w:t>
      </w:r>
    </w:p>
    <w:p>
      <w:pPr>
        <w:spacing w:after="0" w:line="144"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Because SLC6A19 transports (and therefore, reabsorbs) neutral amino acids from the urine back into the bloodstream, the excretion of neutral amino acids in the urine should allow for the measure of SLC6A19 inhibition in the kidney. A mouse tool compound, MZ-401, was dosed at 100, 300 and 1000 milligrams per kilogram in a mouse model of phenylketonuria, Pahenu2, in which circulating levels of phenylalanine, or Phe, are elevated. Urine was collected for eight hours post-dose and urinary levels of Phe, glutamine, or Gln, and creatinine were determined by an LC-MS assay. As depicted in Figure 15 below, we observed dose dependent increases in urinary Phe (left) and Gln (right) normalized to creatinine. Although the levels of circulating Phe, but not Gln, are elevated in this specific mouse strain, we believe these data still confirm the utility of urinary excretion of neutral amino acids as a relevant pharmacodynamic measure with which to establish an exposure-response with SLC6A19 inhibition. MZ-401 induced dose dependent increases in urinary phenylalanine and glutamine, consistent with &gt;50% target engagement based on genetic analysis of humans and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85725</wp:posOffset>
            </wp:positionV>
            <wp:extent cx="3754755" cy="17741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75475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right="80"/>
        <w:spacing w:after="0" w:line="269" w:lineRule="auto"/>
        <w:rPr>
          <w:sz w:val="20"/>
          <w:szCs w:val="20"/>
          <w:color w:val="auto"/>
        </w:rPr>
      </w:pPr>
      <w:r>
        <w:rPr>
          <w:rFonts w:ascii="Arial" w:cs="Arial" w:eastAsia="Arial" w:hAnsi="Arial"/>
          <w:sz w:val="18"/>
          <w:szCs w:val="18"/>
          <w:i w:val="1"/>
          <w:iCs w:val="1"/>
          <w:color w:val="auto"/>
        </w:rPr>
        <w:t>Figure 15: A Maze SLC6A19 inhibitor (MZ-401) achieved a response consistent with &gt;50% target engagement based on dose dependent increases in urinary neutral amino acids</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MZE782 clinical development plans</w:t>
      </w:r>
    </w:p>
    <w:p>
      <w:pPr>
        <w:spacing w:after="0" w:line="131"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We expect our first-in-human Phase 1 clinical trial for MZE782 to be a randomized, double-blind, placebo-controlled single and multiple ascending dose study in healthy volunteers that will evaluate safety, tolerability, pharmacokinetics and pharmacodynamics as measured by urinary excretion of known SLC6A19 cargo, e.g., neutral amino acids. We expect the Phase 1 trial to demonstrate clinical proof of mechanism and inform our approach to dose selection for subsequent Phase 2 trials in CKD patients. We expect to submit an IND to the FDA for MZE782 in     .</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5" w:right="4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Based on supporting data from Phase 1, our current plan is for Phase 2 to focus on CKD patients with inadequate response to the current standard of care. Our ongoing analysis of matched genetic-clinical-metabolomic data in CKD cohorts and exploration of metabolite profiles in these data sets as well as in our Phase 1 cohort may lead to potential approaches to further stratify patient sub-populations for our Phase 2 program.</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development opportunities including small molecule research in CVRM</w:t>
      </w:r>
    </w:p>
    <w:p>
      <w:pPr>
        <w:spacing w:after="0" w:line="135"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In addition to our two lead programs in CKD, we have research and development efforts underway for our next-generation programs in common diseases. We are focusing our early research efforts and evaluating genetic targets in CVRM diseases, including obesity, driven in part by the emerging understanding of the interconnectivity of these common diseases.</w:t>
      </w:r>
    </w:p>
    <w:p>
      <w:pPr>
        <w:spacing w:after="0" w:line="101" w:lineRule="exact"/>
        <w:rPr>
          <w:sz w:val="20"/>
          <w:szCs w:val="20"/>
          <w:color w:val="auto"/>
        </w:rPr>
      </w:pPr>
    </w:p>
    <w:p>
      <w:pPr>
        <w:ind w:left="120" w:right="1160"/>
        <w:spacing w:after="0" w:line="271" w:lineRule="auto"/>
        <w:rPr>
          <w:sz w:val="20"/>
          <w:szCs w:val="20"/>
          <w:color w:val="auto"/>
        </w:rPr>
      </w:pPr>
      <w:r>
        <w:rPr>
          <w:rFonts w:ascii="Arial" w:cs="Arial" w:eastAsia="Arial" w:hAnsi="Arial"/>
          <w:sz w:val="18"/>
          <w:szCs w:val="18"/>
          <w:color w:val="auto"/>
        </w:rPr>
        <w:t>For kidney disease, we plan to continue to explore the multiple targets that we have identified, and apply the knowledge and methodologies built from the development of MZE829 and MZE782 to explore additional indications and targets.</w:t>
      </w:r>
    </w:p>
    <w:p>
      <w:pPr>
        <w:spacing w:after="0" w:line="8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Patients who are more likely to develop CKD and other diseases such as HF typically have similar comorbidities, including obesity, and we believe our precision medicine approach through our Compass platform will allow for additional targets in these therapeutic areas. We aspire to ultimately guide the development of new medicines utilizing new genetic insights to identify valid targets and discover therapeutic agents designed to mimic the activity of protective genetic variants or correct the effects of toxic genetic variants. We expect that our commitment to a pragmatic development approach will improve the likelihood of success and patient impact.</w:t>
      </w:r>
    </w:p>
    <w:p>
      <w:pPr>
        <w:spacing w:after="0" w:line="95"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In metabolism, we have identified a key set of potential targets to address obesity and are utilizing our statistical, computational and functional genomics research engine to explore non-central nervous system-driven mechanisms that affect body mass index and weight distribution. With our programs, we will look to complement the existing CKD therapy of GLP-1 agonists, which are primarily driven by a central nervous system mechanism of action, and potentially address the unmet needs of patients who do not respond or cannot tolerate the current therapeutic options, or seek a maintenance option for ongoing weight control.</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partnered programs</w:t>
      </w:r>
    </w:p>
    <w:p>
      <w:pPr>
        <w:spacing w:after="0" w:line="135" w:lineRule="exact"/>
        <w:rPr>
          <w:sz w:val="20"/>
          <w:szCs w:val="20"/>
          <w:color w:val="auto"/>
        </w:rPr>
      </w:pPr>
    </w:p>
    <w:p>
      <w:pPr>
        <w:ind w:left="120" w:right="380"/>
        <w:spacing w:after="0" w:line="247" w:lineRule="auto"/>
        <w:rPr>
          <w:sz w:val="20"/>
          <w:szCs w:val="20"/>
          <w:color w:val="auto"/>
        </w:rPr>
      </w:pPr>
      <w:r>
        <w:rPr>
          <w:rFonts w:ascii="Arial" w:cs="Arial" w:eastAsia="Arial" w:hAnsi="Arial"/>
          <w:sz w:val="18"/>
          <w:szCs w:val="18"/>
          <w:color w:val="auto"/>
        </w:rPr>
        <w:t>Using our Compass platform, we have validated targets and new therapeutic approaches targeting diseases outside of our core focus areas, including neurology, ophthalmology and rare diseases. We have entered into partnership arrangements with third parties with respect to several of these targets. These programs are not only sources of revenue, but also demonstrate the power of our Compass platform.</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MZE001 for Pompe disease</w:t>
      </w:r>
    </w:p>
    <w:p>
      <w:pPr>
        <w:spacing w:after="0" w:line="129"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Our first program to enter the clinic, MZE001, has the potential to be a novel therapeutic approach to treating Pompe disease. MZE001 is an investigational oral, small molecule inhibitor of muscle-specific glycogen synthase, or glycogen synthase 1, which is encoded by the gene glycogen synthase 1, aimed at reducing the glycogen concentration in muscles.</w:t>
      </w:r>
    </w:p>
    <w:p>
      <w:pPr>
        <w:spacing w:after="0" w:line="101"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Pompe disease is a rare, inherited lysosomal storage disorder caused by mutations in the gene coding for acid alpha-glucosidase that can lead to the buildup of glycogen, a complex sugar, in skeletal, respiratory and cardiac muscle resulting in progressive weakness, HF and respiratory compromise. Shionogi, the licensee for this program, estimates that approximately 50,000 patients are living with Pompe disease worldwide.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 Compass platform enabled Maze to progress a therapeutic candidate, MZE001, from discovery to the clinic within approximately three years. Our first-in-human trial, which was completed in December 2022, demonstrated proof of mechanism in healthy volunteers, suggesting MZE001’s potential as an oral therapy for the treatment of patients with Pompe disease. MZE001 has the potential to be used either as a monotherapy or as an add-on to enzyme replacement therapy, the current standard of care.</w:t>
      </w:r>
    </w:p>
    <w:p>
      <w:pPr>
        <w:spacing w:after="0" w:line="106"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In March 2024, we exclusively licensed MZE001 to Shionogi for the rights to develop and commercialize MZE001. Under the terms of the agreement, Shionogi acquired an exclusive, worldwide, sublicensable license to research, develop, manufacture and commercialize MZE001 as well as related compounds, know-how and intellectual property. Shionogi paid an upfront fee of $150 million, and we will be eligible to receive milestone payments based on development, regulatory and commercial achievements plus tiered royalties based upon future net sales.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Application of our Compass platform to advance MZE001</w:t>
      </w:r>
    </w:p>
    <w:p>
      <w:pPr>
        <w:spacing w:after="0" w:line="144" w:lineRule="exact"/>
        <w:rPr>
          <w:sz w:val="20"/>
          <w:szCs w:val="20"/>
          <w:color w:val="auto"/>
        </w:rPr>
      </w:pPr>
    </w:p>
    <w:p>
      <w:pPr>
        <w:jc w:val="both"/>
        <w:ind w:left="120" w:right="340"/>
        <w:spacing w:after="0" w:line="247" w:lineRule="auto"/>
        <w:rPr>
          <w:sz w:val="20"/>
          <w:szCs w:val="20"/>
          <w:color w:val="auto"/>
        </w:rPr>
      </w:pPr>
      <w:r>
        <w:rPr>
          <w:rFonts w:ascii="Arial" w:cs="Arial" w:eastAsia="Arial" w:hAnsi="Arial"/>
          <w:sz w:val="18"/>
          <w:szCs w:val="18"/>
          <w:color w:val="auto"/>
        </w:rPr>
        <w:t>The buildup of glycogen in skeletal, respiratory and cardiac muscle tissues is the primary driver of disease progression in patients with Pompe disease. While enzyme replacement therapy, the current standard of care, has brought significant benefit to patients, glycogen accumulation in muscle continues to allow the disease to progress, specifically impacting ambulation and respiratory function, and has been only partially effective at clearing toxic glycogen accumulation in these tissues.</w:t>
      </w:r>
    </w:p>
    <w:p>
      <w:pPr>
        <w:spacing w:after="0" w:line="106"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Inhibition of muscle glycogen synthase is a form of substrate reduction therapy, which has the potential to decrease muscle glycogen synthesis and its subsequent accumulation. By leveraging large sources of matched, genetic and longitudinal clinical data with our Compass platform, we sought to address longstanding questions around safety and efficacy that previously precluded the development of a substrate reduction therapy, and designed MZE001 to address the therapeutic gap in current standard of care.</w:t>
      </w:r>
    </w:p>
    <w:p>
      <w:pPr>
        <w:spacing w:after="0" w:line="93"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While glycogen synthase 1 has long been a therapeutic target of interest, there were two main challenges to previous drug targeting efforts. First, there were concerns about the unknown clinical safety implications of chronically lowering muscle glycogen levels. Second, glycogen synthase 1 is a complex protein, closely related to liver-specific glycogen synthase 2, which plays an important role in glucose control. While both enzymes are tetramers made up of two asymmetric dimers, their molecular structures were unknown. As a result, efforts to target glycogen synthase 1 without inhibiting glycogen synthase 2 had proven difficult. Through the use of our Compass platform, we were able to overcome both of these challenges.</w:t>
      </w:r>
    </w:p>
    <w:p>
      <w:pPr>
        <w:spacing w:after="0" w:line="11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First, our Compass platform provided insight into the impact of chronic reduction in muscle glycogen levels and identified a likely therapeutic window. PPP1R3A, a gene that encodes the protein phosphatase 1 regulatory subunit 3A, is a key regulatory protein in the glycogen metabolic pathway. A common variant in the PPP1R3A gene involving a frameshift mutation predicted to lead to a truncated form of the protein was previously identified in healthy European individuals. In a study using magnetic resonance spectroscopy in individuals with this PPP1R3A gene variant, those heterozygous for the mutation were found to have chronically lower levels of muscle glycogen, by as much as 65%. These individuals were not found to have any associated clinical abnormalities. We were able to confirm and expand on this finding using our Compass platform by analyzing a much larger data set of individuals with the PPP1R3A gene variant, including a small number of individuals homozygous for the PPP1R3A frameshift mutation. In both heterozygous and homozygous states, no clinically relevant differences in exercise capacity, cardiac function or glucose levels could be detected compared to reference control populations. These findings provided reassurance that a wide therapeutic index would support substrate reduction therapy for Pompe disease.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color w:val="auto"/>
        </w:rPr>
        <w:t>Second, our Compass platform used both novel chemical matter and advanced molecular visualization technologies, including Cryo-EM, to solve the molecular structure of glycogen synthase 1. This identified a previously cryptic allosteric binding site that ultimately informed the development of a potent and selective small molecule inhibitor, MZE001.</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Neurology portfolio: ATXN2 and UNC13A</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Overview of ALS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ALS is a progressive and fatal neurodegenerative disease primarily affecting the upper and lower motor neurons, ultimately resulting in the loss of muscle control. Gradual onset of progressive muscle weakness is the most common initial symptom, which leads to difficulty in speaking, chewing, swallowing and breathing. The time from first symptom to diagnosis is approximately 12 months with death, typically from neuromuscular respiratory failure, occurring within three to five years of symptom onset. Up to 50% of patients with ALS develop cognitive impairment associated with frontotemporal dementia, or FTD. The cumulative lifetime risk of ALS is about 1 in 400 and the incidence is one to two per 100,000 people per year, equating to about 5,760 to 6,400 new diagnoses annually. The total number of cases is approximately five per 100,000 people and the Center for Disease Control and Prevention estimates the prevalence of ALS in the United States is approximately 16,000 patients.</w:t>
      </w:r>
    </w:p>
    <w:p>
      <w:pPr>
        <w:spacing w:after="0" w:line="113"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While many of the genetic drivers underlying ALS are known, a high variability in disease phenotype is observed. A small number of ALS patients live well beyond the three to five-year life expectancy. With differences in life expectancy not explained by the underlying mutations, genetic modifiers are likely present.</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ATXN2 program</w:t>
      </w:r>
    </w:p>
    <w:p>
      <w:pPr>
        <w:spacing w:after="0" w:line="144" w:lineRule="exact"/>
        <w:rPr>
          <w:sz w:val="20"/>
          <w:szCs w:val="20"/>
          <w:color w:val="auto"/>
        </w:rPr>
      </w:pPr>
    </w:p>
    <w:p>
      <w:pPr>
        <w:jc w:val="both"/>
        <w:ind w:left="120" w:right="40"/>
        <w:spacing w:after="0" w:line="247" w:lineRule="auto"/>
        <w:rPr>
          <w:sz w:val="20"/>
          <w:szCs w:val="20"/>
          <w:color w:val="auto"/>
        </w:rPr>
      </w:pPr>
      <w:r>
        <w:rPr>
          <w:rFonts w:ascii="Arial" w:cs="Arial" w:eastAsia="Arial" w:hAnsi="Arial"/>
          <w:sz w:val="18"/>
          <w:szCs w:val="18"/>
          <w:color w:val="auto"/>
        </w:rPr>
        <w:t>In earlier studies of model organisms, we identified ATXN2 as a genetic modifier whereby the inhibition was shown to limit the toxicity of a protein, TDP-43, found to be pathologically aggregated in up to 97% of all ALS patients. We subsequently validated the function of ATXN2 as a genetic modifier using our Compass platform. We utilized our functional genomics and human genetics tools to develop a microRNA gene therapy that targets ATXN2 to reduce aggregation of TDP-43.</w:t>
      </w:r>
    </w:p>
    <w:p>
      <w:pPr>
        <w:spacing w:after="0" w:line="93"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In May 2024, we exclusively licensed our ATXN2 program to a biotechnology company. As consideration for such license, we received upfront payment, and we will be eligible to receive milestone payments upon the completion of certain regulatory, development and commercial achievements, as well as royalties based upon future annual net sales.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UNC13A program</w:t>
      </w:r>
    </w:p>
    <w:p>
      <w:pPr>
        <w:spacing w:after="0" w:line="131"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 xml:space="preserve">Genome-wide association studies have established that single genetic traits, or variants, in the UNC13A gene are associated with ALS and FTD in humans, but how those variants increase the risk for disease was previously unknown. Maze and its partners uncovered a connection between genetic variation in UNC13A, a gene critical to the function of the nervous system, and the abnormal build-up of TDP-43, a hallmark molecular characteristic of ALS and FTD. These findings were published in </w:t>
      </w:r>
      <w:r>
        <w:rPr>
          <w:rFonts w:ascii="Arial" w:cs="Arial" w:eastAsia="Arial" w:hAnsi="Arial"/>
          <w:sz w:val="18"/>
          <w:szCs w:val="18"/>
          <w:i w:val="1"/>
          <w:iCs w:val="1"/>
          <w:color w:val="auto"/>
        </w:rPr>
        <w:t>Nature</w:t>
      </w:r>
      <w:r>
        <w:rPr>
          <w:rFonts w:ascii="Arial" w:cs="Arial" w:eastAsia="Arial" w:hAnsi="Arial"/>
          <w:sz w:val="18"/>
          <w:szCs w:val="18"/>
          <w:color w:val="auto"/>
        </w:rPr>
        <w:t xml:space="preserve">, and fill a long-standing gap in the understanding of how ALS and FTD, two serious neurodegenerative diseases that have no known cures or broadly effective treatments, develop. These findings were further validated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models that showed that removal of TDP-43 from the nucleus causes cryptic exons to form in UNC13A which, in turn, decreased the levels of the UNC13A protein. We built our Compass platform with the aim of finding genetic insights like this, which is a key step in translating such genetic insights into therapies for patients.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75" w:lineRule="auto"/>
        <w:rPr>
          <w:sz w:val="20"/>
          <w:szCs w:val="20"/>
          <w:color w:val="auto"/>
        </w:rPr>
      </w:pPr>
      <w:r>
        <w:rPr>
          <w:rFonts w:ascii="Arial" w:cs="Arial" w:eastAsia="Arial" w:hAnsi="Arial"/>
          <w:sz w:val="17"/>
          <w:szCs w:val="17"/>
          <w:color w:val="auto"/>
        </w:rPr>
        <w:t>In April 2024, we exclusively licensed our UNC13A program to a biotechnology company focused on neurogenerative diseases. As consideration for such license, we received an upfront payment, and we will be eligible to receive milestone payments upon the completion of certain development, regulatory and commercial achievements, as well as royalties based upon future annual net sales.</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Ophthalmology portfolio</w:t>
      </w:r>
    </w:p>
    <w:p>
      <w:pPr>
        <w:spacing w:after="0" w:line="12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work in ophthalmology is another example of the application of our Compass platform and variant functionalization at work, where we identified and characterized the genetic relevance of ANGPTL7 as a potential drug target for certain ophthalmic diseases like glaucoma. We identified certain genetic variants that enabled us to derive insight into how natural human genetic diversity correlates with the clinical diagnosis of glaucoma and with enhanced elevated or diminished reduced intraocular pressure, a risk factor for glaucoma and glaucoma risk. Next, we identified targets for therapeutic intervention with an established role in human biology. Out of these targets, we found multiple rare protein-altering variants in one putative target, the gene ANGPTL7, that were associated with lower IOP and reduced risk for glaucoma. In November 2020, together with Alloy Therapeutics, Inc., or Alloy, we created Broadwing, a spin-out company to develop antibody therapies for ANGPTL7 and another undisclosed target in ophthalmic disease for geographic atrophy, targets that were genetically validated by our Compass platform. We made an initial cash and in-kind contributions, including facilities and operational services, to Broadwing in exchange for a 50% equity interest. Alloy contributed cash and its antibody discovery services for the other 50% equity interest.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Compass platform</w:t>
      </w:r>
    </w:p>
    <w:p>
      <w:pPr>
        <w:spacing w:after="0" w:line="135" w:lineRule="exact"/>
        <w:rPr>
          <w:sz w:val="20"/>
          <w:szCs w:val="20"/>
          <w:color w:val="auto"/>
        </w:rPr>
      </w:pPr>
    </w:p>
    <w:p>
      <w:pPr>
        <w:ind w:left="120" w:right="260"/>
        <w:spacing w:after="0" w:line="244" w:lineRule="auto"/>
        <w:rPr>
          <w:sz w:val="20"/>
          <w:szCs w:val="20"/>
          <w:color w:val="auto"/>
        </w:rPr>
      </w:pPr>
      <w:r>
        <w:rPr>
          <w:rFonts w:ascii="Arial" w:cs="Arial" w:eastAsia="Arial" w:hAnsi="Arial"/>
          <w:sz w:val="18"/>
          <w:szCs w:val="18"/>
          <w:color w:val="auto"/>
        </w:rPr>
        <w:t>Our pipeline of precision medicine candidates is built upon our Compass platform. Our Compass platform supports end-to-end variant identification and functionalization capabilities and methodologies for drug development, and has been purpose-built to inform different phases of our drug discovery and development process through clinical trial design. We believe we are the first company to implement these elements at scale, which may provide us with an advantage in successfully developing precision medicines across a range of indications.</w:t>
      </w:r>
    </w:p>
    <w:p>
      <w:pPr>
        <w:spacing w:after="0" w:line="10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We believe variant functionalization, the process of understanding how genetic variants affect the function of a target protein, is a foundational aspect of precision medicine. Variant functionalization through our Compass platform allows us to elevate drug discovery tractability considerations as a component of target selection. Our approach to developing new, transformational therapies for common diseases is premised on understanding how genetic variants impact the function of target proteins, which in turn provides insight into how best to modulate the identified target variant and an understanding of patient populations that will benefit. We believe this approach enables highly predictive identification and validation of those genetically supported targets that are most likely to have clinical relevance and actionability, thereby increasing the probability for clinical success and accelerating the expansion of our candidate pipeline.</w:t>
      </w:r>
    </w:p>
    <w:p>
      <w:pPr>
        <w:spacing w:after="0" w:line="117" w:lineRule="exact"/>
        <w:rPr>
          <w:sz w:val="20"/>
          <w:szCs w:val="20"/>
          <w:color w:val="auto"/>
        </w:rPr>
      </w:pPr>
    </w:p>
    <w:p>
      <w:pPr>
        <w:ind w:left="120" w:right="120"/>
        <w:spacing w:after="0" w:line="256" w:lineRule="auto"/>
        <w:rPr>
          <w:sz w:val="20"/>
          <w:szCs w:val="20"/>
          <w:color w:val="auto"/>
        </w:rPr>
      </w:pPr>
      <w:r>
        <w:rPr>
          <w:rFonts w:ascii="Arial" w:cs="Arial" w:eastAsia="Arial" w:hAnsi="Arial"/>
          <w:sz w:val="17"/>
          <w:szCs w:val="17"/>
          <w:color w:val="auto"/>
        </w:rPr>
        <w:t>In addition to variant functionalization, our Compass platform and its associated methodologies give us the ability to aggregate matched, genetic and longitudinal clinical datasets at scale to identify genes associated with disease, but more importantly, to determine how genetic variants of these genes provide insight into a therapeutic approach to the applicable target. Targets are then prioritized based on their roles in biological pathways, their roles as potential drivers of disease, and their structural properties, using machine learning and statistical modeling, variant functionalization tools, and traditional and computational drug discovery technologies. These insights ultimately inform our clinical development and patient selection strategies, which we believe have the potential to improve the overall likelihood of technical, regulatory and commercial success of our medicines. The power of our platform and its methodologies is best exhibited through our clinical and preclinical programs, and multiple contributions to the scientific community over the past five years.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455" w:right="5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We have built and utilized the Compass platform upon the confluence of three ongoing advancements to gain an understanding of the relationship between genes, the protein products encoded by these genes, and specific, observable human characteristics, or traits and to translate these insights into innovative therapeutics. These trends are: the increasing availability of human genetic data paired with clinical data; the rapid evolution of experimental functional genomic technologies that can probe gene function and interactions between genes in parallel; and advances in computational power and speed that enable the integration and analysis of vast amounts of data.</w:t>
      </w:r>
    </w:p>
    <w:p>
      <w:pPr>
        <w:spacing w:after="0" w:line="109"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In summary, the Compass platform provides us with a differentiated ability to: analyze and visualize the vast and proliferating volume of patient-level genetic data and paired clinical data worldwide with efficiency and speed, augmented with advanced data science tools and technologies; experimentally validate and characterize the linkages between specific genes and diseases identified through our data mining activities and the strategic application of advanced functional genomic technologies; and apply insights derived through variant functionalization and structure-based design to develop an optimal therapy for the intended target.</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Competition</w:t>
      </w:r>
    </w:p>
    <w:p>
      <w:pPr>
        <w:spacing w:after="0" w:line="148"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The pharmaceutical and biotechnology industries are characterized by rapidly advancing technologies, intense competition and a strong emphasis on intellectual property. While we believe that our Compass platform and our knowledge, experience and scientific resources provide us with competitive advantages, we face potential competition from major pharmaceutical and biotechnology companies, academic institutions, government agencies and private and public research institutions, among others.</w:t>
      </w:r>
    </w:p>
    <w:p>
      <w:pPr>
        <w:spacing w:after="0" w:line="106"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Any therapeutic candidates that we or our partners successfully develop and commercialize may compete with existing therapies and new therapies that may become available in the future that are approved to treat the same indications for which we or our partners may obtain approval for our or their therapeutic candidates. It is also possible that we or our partners may face competition from other pharmaceutical approaches as well as other types of therapies. The key competitive factors affecting the success of all our programs, if approved, include, but are not limited to be their efficacy, safety, convenience, adoption by prescribers, price, level of generic competition, and availability of reimbursement.</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face competition from companies developing therapies for CKD and related nephropathies, including but not limited to:</w:t>
      </w:r>
    </w:p>
    <w:p>
      <w:pPr>
        <w:spacing w:after="0" w:line="144" w:lineRule="exact"/>
        <w:rPr>
          <w:sz w:val="20"/>
          <w:szCs w:val="20"/>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Established therapies: including RAAS inhibitors, SGLT2 inhibitors and GLP-1 agonists.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Novel mechanisms: various companies developing therapies targeting different pathways implicated in CKD progression.</w:t>
      </w:r>
    </w:p>
    <w:p>
      <w:pPr>
        <w:spacing w:after="0" w:line="144"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While there are currently no approved therapies for AKD, we are aware of companies advancing therapeutic candidates in clinical trials that target APOL1.</w:t>
      </w:r>
    </w:p>
    <w:p>
      <w:pPr>
        <w:spacing w:after="0" w:line="86"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Our second most advanced lead program, MZE782, is a small molecule targeting SLC6A19, a novel target in CKD. While there are no currently approved therapies directly modulating SLC6A19, we may face competition from other companies pursuing programs targeting SLC6A19 or alternative approaches for renal indications.</w:t>
      </w:r>
    </w:p>
    <w:p>
      <w:pPr>
        <w:spacing w:after="0" w:line="88"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biopharmaceutical industries may result in even more resources being concentrated among a smaller number of our competitors. Smaller or early-stage companies may also prove to be significant competitors, particularly through partnership arrangements with large and established companies.</w:t>
      </w:r>
    </w:p>
    <w:p>
      <w:pPr>
        <w:spacing w:after="0" w:line="109" w:lineRule="exact"/>
        <w:rPr>
          <w:sz w:val="20"/>
          <w:szCs w:val="20"/>
          <w:color w:val="auto"/>
        </w:rPr>
      </w:pPr>
    </w:p>
    <w:p>
      <w:pPr>
        <w:jc w:val="both"/>
        <w:ind w:left="120" w:right="300"/>
        <w:spacing w:after="0" w:line="242" w:lineRule="auto"/>
        <w:rPr>
          <w:sz w:val="20"/>
          <w:szCs w:val="20"/>
          <w:color w:val="auto"/>
        </w:rPr>
      </w:pPr>
      <w:r>
        <w:rPr>
          <w:rFonts w:ascii="Arial" w:cs="Arial" w:eastAsia="Arial" w:hAnsi="Arial"/>
          <w:sz w:val="18"/>
          <w:szCs w:val="18"/>
          <w:color w:val="auto"/>
        </w:rPr>
        <w:t>Further, precision medicine is a rapidly developing field, with increasing usage within the pharmaceutical and biotechnology industry of machine learning and AI technologies to analyze genetic data. While we believe our Compass platform has advantages over potential competitors based on our experience in variant functionalization, our access to genetic databases, and the length of time that we have been engaged in developing precision medicine, other companies may have greater resources or the ability to acquire more advanced technology to identify targets and may acquire access to the same genetic data that we utilize. We may not be able to keep up with the pace of innovation that is occurring in our field, and we may face increasing competition in developing precision medicines.</w:t>
      </w:r>
    </w:p>
    <w:p>
      <w:pPr>
        <w:spacing w:after="0" w:line="111"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Intellectual property</w:t>
      </w:r>
    </w:p>
    <w:p>
      <w:pPr>
        <w:spacing w:after="0" w:line="148" w:lineRule="exact"/>
        <w:rPr>
          <w:sz w:val="20"/>
          <w:szCs w:val="20"/>
          <w:color w:val="auto"/>
        </w:rPr>
      </w:pPr>
    </w:p>
    <w:p>
      <w:pPr>
        <w:ind w:left="120" w:right="120"/>
        <w:spacing w:after="0" w:line="266" w:lineRule="auto"/>
        <w:rPr>
          <w:sz w:val="20"/>
          <w:szCs w:val="20"/>
          <w:color w:val="auto"/>
        </w:rPr>
      </w:pPr>
      <w:r>
        <w:rPr>
          <w:rFonts w:ascii="Arial" w:cs="Arial" w:eastAsia="Arial" w:hAnsi="Arial"/>
          <w:sz w:val="17"/>
          <w:szCs w:val="17"/>
          <w:color w:val="auto"/>
        </w:rPr>
        <w:t>Intellectual property is of vital importance in our field and in biotechnology generally. We seek to protect and enhance proprietary technologies, inventions, and improvements that are commercially important to the development of our business by seeking, maintaining, and defending intellectual property rights, including patent rights. We may also seek to rely on regulatory protection afforded through inclusion in expedited development and review, data exclusivity, market exclusivity and/or patent term extensions where available.</w:t>
      </w:r>
    </w:p>
    <w:p>
      <w:pPr>
        <w:spacing w:after="0" w:line="78"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Our commercial success will depend in part on obtaining and maintaining patent protection of our current and future therapeutic candidates and the methods used to develop and manufacture them, as well as successfully defending our patents against third-party challenges, and operating without infringing on, misappropriating or otherwise violating the intellectual property and proprietary rights of others. The development of our therapeutic candidates is at a relatively early stage and as a consequence, our patent portfolio is also at an early stage. We cannot be sure that patents will be granted based on our currently pending patent applications or patent applications we may file in the future. Nor can we be sure that any of our granted patents or patents that may be granted to us in the future will be commercially useful in protecting our therapeutic candidates, technologies and processes. In addition, any patents that we may hold, whether owned or licensed, may be challenged, circumvented or invalidated by third parties.</w:t>
      </w:r>
    </w:p>
    <w:p>
      <w:pPr>
        <w:spacing w:after="0" w:line="113" w:lineRule="exact"/>
        <w:rPr>
          <w:sz w:val="20"/>
          <w:szCs w:val="20"/>
          <w:color w:val="auto"/>
        </w:rPr>
      </w:pPr>
    </w:p>
    <w:p>
      <w:pPr>
        <w:jc w:val="both"/>
        <w:ind w:left="120" w:right="240"/>
        <w:spacing w:after="0" w:line="242" w:lineRule="auto"/>
        <w:rPr>
          <w:sz w:val="20"/>
          <w:szCs w:val="20"/>
          <w:color w:val="auto"/>
        </w:rPr>
      </w:pPr>
      <w:r>
        <w:rPr>
          <w:rFonts w:ascii="Arial" w:cs="Arial" w:eastAsia="Arial" w:hAnsi="Arial"/>
          <w:sz w:val="18"/>
          <w:szCs w:val="18"/>
          <w:color w:val="auto"/>
        </w:rPr>
        <w:t>The term of individual patents depends upon the law in the countries in which they are obtained. In most countries, including the United States, the term of a patent is 20 years from the earliest date of filing a non-provisional patent application, unless otherwise extended or adjusted. U.S. non-provisional applications and/or Patent Cooperation Treaty, or PCT, applications may be filed that claim priority to an earlier-filed patent application, provided that the earlier-filed patent application was filed within 12 months of the U.S. non-provisional or PCT filing date. The PCT system allows for the designation of PCT member states in which national or regional patent applications may later be pursued. A PCT application cannot mature into a patent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until, among other things, one or more national or regional stage patent applications are filed within the applicable time limit, which is generally 30 or 31 months from the PCT application’s earliest priority date, depending on the jurisdiction.</w:t>
      </w:r>
    </w:p>
    <w:p>
      <w:pPr>
        <w:spacing w:after="0" w:line="86"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ability to obtain patent protection and the degree of such protection depends on several factors, including whether an invention is directed to patentable subject matter, the novelty and non-obviousness of the claimed invention, and the ability to satisfy the requirements of applicable patent laws, such as enablement and written description, in addition to other administrative requirements for obtaining a patent. In addition, the claim scope in a patent application may be significantly narrowed before a patent is issued, and the scope of issued claims can be reinterpreted or further altered even after patent issuance. Consequently, we may not obtain or maintain adequate patent protection for any of our proprietary technologies or current or future therapeutic candidates.</w:t>
      </w:r>
    </w:p>
    <w:p>
      <w:pPr>
        <w:spacing w:after="0" w:line="11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addition to patent protection, we also rely on trade secrets, know-how, other proprietary information and continuing technological innovation to develop and maintain our competitive position. We seek to protect and maintain the confidentiality of trade secrets and other proprietary information to protect aspects of our business that are not amenable to, or that we do not consider appropriate for, patent protection. For example, we seek to preserve the integrity and confidentiality of our data and trade secrets by maintaining physical security of our premises and physical and electronic security of our information technology systems. However, such security measures may be breached and we may not have adequate remedies for such breaches. We also seek to protect our proprietary information and trade secrets by entering into confidentiality and invention assignment agreements with our employees, consultants and other parties who have access to such information. These agreements generally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generally provide that all inventions conceived by the employee in the course of employment with us or from the employee’s use of our confidential information are our exclusive property. However, we cannot guarantee that we have entered into such agreements with each party that has or may have had access to our trade secrets or other proprietary information or has been involved in the development of intellectual property. Additionally, these agreements can be breached and we may not have adequate remedies for any such breach. Moreover, our trade secrets may otherwise become known or be independently discovered by competitors, and to the extent that our employees, consultants, contractors or partners use intellectual property or proprietary information owned by others in their work for us, disputes may arise as to our intellectual property rights. For all of these reasons, we may not be able to adequately protect proprietary information, trade secrets, know-how and inventions important to the development of our business.</w:t>
      </w:r>
    </w:p>
    <w:p>
      <w:pPr>
        <w:spacing w:after="0" w:line="101"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The intellectual property positions of biotechnology companies like ours are generally uncertain and involve complex legal, scientific and factual questions. Our commercial success will also depend in part on avoiding infringing upon, misappropriating or otherwise violating the intellectual property and proprietary rights of third parties. Third-party patents could require us to alter our development or commercial strategies, or our products or processes, obtain licenses or cease certain activities. Our breach of any license agreements or our failure to obtain a license to proprietary rights required to develop or commercialize our future products may have a material adverse impact on us. For more information regarding the risks related to intellectual property, see “Risk factors—Risks related to intellectual property.”</w:t>
      </w:r>
    </w:p>
    <w:p>
      <w:pPr>
        <w:spacing w:after="0" w:line="111"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Our policy is to seek patent protection for the technologies, inventions and improvements that we develop and that we consider important to the advancement of our business. As of June 5, 2024, we have two issued U.S. patents, including a patent covering MZE001, which expires in 2042 unless extended or otherwise adjusted, and a patent covering MZE829, which expires in 2043 unless extended or otherwise adjusted. We have eight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20"/>
        <w:spacing w:after="0" w:line="271" w:lineRule="auto"/>
        <w:rPr>
          <w:sz w:val="20"/>
          <w:szCs w:val="20"/>
          <w:color w:val="auto"/>
        </w:rPr>
      </w:pPr>
      <w:r>
        <w:rPr>
          <w:rFonts w:ascii="Arial" w:cs="Arial" w:eastAsia="Arial" w:hAnsi="Arial"/>
          <w:sz w:val="18"/>
          <w:szCs w:val="18"/>
          <w:color w:val="auto"/>
        </w:rPr>
        <w:t>pending U.S. provisional patent applications, ten pending PCT patent applications, seven pending U.S. non-provisional patent applications, and over fifty pending foreign patent applications.</w:t>
      </w:r>
    </w:p>
    <w:p>
      <w:pPr>
        <w:spacing w:after="0" w:line="86"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We have exclusively licensed our GYS1 patent portfolio to Shionogi. We have exclusively licensed our patent portfolios relating to ATXN2 gene therapy and UNC13A ASOs to other biotechnology companies. Pursuant to these agreements, we no longer have control of the prosecution of the issued patents and pending patent applications in each of these portfolios. We cannot guarantee that our licensees will successfully develop, obtain marketing authorization for, or commercialize products that would result in our receiving royalties pursuant to such license agreements.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Manufacturing</w:t>
      </w:r>
    </w:p>
    <w:p>
      <w:pPr>
        <w:spacing w:after="0" w:line="14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We do not have any clinical manufacturing facilities. We currently rely, and expect to continue to rely, on third party contract manufacturing organizations, or CMOs, including foreign CMOs, for clinical manufacturing of MZE829, MZE782 and our future therapeutic candidates, as well as for commercial manufacturing if our therapeutic candidates receive marketing approval.</w:t>
      </w:r>
    </w:p>
    <w:p>
      <w:pPr>
        <w:spacing w:after="0" w:line="101"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 use multiple CMOs, including foreign CMOs, to manufacture our clinical-stage therapeutic candidates to conduct our clinical trials. As part of our strategy, we seek to develop or advance therapeutic candidates that can be produced cost-effectively at contract manufacturing facilities without the need for unusual manufacturing equipment. All of our current therapeutic candidates are small molecule drug products that we believe will require between 12 and 14 months to manufacture from initiation of drug substance manufacturing to completion of drug product, assuming we are able to obtain manufacturing slots with the appropriate CMOs.</w:t>
      </w:r>
    </w:p>
    <w:p>
      <w:pPr>
        <w:spacing w:after="0" w:line="95"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We expect to enter into commercial supply agreements with commercial manufacturers prior to any potential approval of any of our therapeutic candidates. We believe our current CMOs are able to adequately support manufacturing for our current and planned clinical trials and additional CMOs may be onboarded at later stages of clinical development and commercialization.</w:t>
      </w:r>
    </w:p>
    <w:p>
      <w:pPr>
        <w:spacing w:after="0" w:line="101"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To the extent any of our therapeutic candidates require companion diagnostics, which are assays or tests to identify an appropriate patient population, we generally rely, and expect to continue to rely, on third parties to manufacture such assays or tests.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Governmental regulation and product approval</w:t>
      </w:r>
    </w:p>
    <w:p>
      <w:pPr>
        <w:spacing w:after="0" w:line="148"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42"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In the United States, pharmaceutical products are subject to extensive regulation by the FDA. The Federal Food, Drug, and Cosmetic Act, or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Pharmaceutical products—such as small molecule drugs and biological products, or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biologics—used for the prevention, treatment, or cure of a disease or condition of a human being are subject to regulation under the FDCA. Failure to comply with applicable United States requirements may subject a company to a variety of administrative or judicial sanctions, such as clinical hold, FDA refusal to approve pending new drug applications, or NDAs, warning or untitled letters, product recalls, product seizures, total or partial suspension of production or distribution, injunctions, fines, civil penalties, and criminal prosecution.</w:t>
      </w:r>
    </w:p>
    <w:p>
      <w:pPr>
        <w:spacing w:after="0" w:line="92"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Pharmaceutical product development for a new product or certain changes to an approved product in the United States typically involves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09"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Long-term nonclinical tests, such as tests of reproductive toxicity and carcinogenicity in animals,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drug to healthy volunteers or patients under the supervision of a qualified investigator.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regulations or presents an unacceptable risk to the clinical trial patients. Imposition of a clinical hold may be full or partial. The study protocol and informed consent information for patients in clinical trials must also be submitted to an Institutional Review Board, or IRB, for approval. The IRB will also monitor the clinical trial until completed. The IRB may also require the clinical trial at the site to be halted, either temporarily or permanently, for failure to comply with the IRB’s requirements, or may impose other conditions.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1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overlap. In Phase 1, the initial introduction of the drug into healthy human subjects or patients, the product is tested to assess safety, dosage tolerance, metabolism, pharmacokinetics, pharmacological actions, side effects associated with drug exposure, and to obtain early evidence of a treatment effect if possible. Phase 2 usually involves trials in a limited patient population to determine the effectiveness of the drug for a particular indication, determine optimal dose and regimen, and to identify common adverse effects and safety risks. If a compound demonstrates evidence of effectiveness and an acceptable safety profile in Phase 2 evaluations, Phase 3 trials are undertaken to obtain additional information about clinical effects and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confirm efficacy and safety in a larger number of patients, typically at geographically dispersed clinical trial sites, to permit the FDA to evaluate the overall benefit-risk relationship of the drug and to provide adequate information for the labeling of the product. In most cases, the FDA requires two adequate and well-controlled Phase 3 clinical trials to demonstrate the safety and efficacy of the drug. In rare instances, a single Phase 3 trial may be sufficient when either (1)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the single trial is supported by other confirmatory evidence. Approval on the basis of a single trial may be subject to a requirement for additional post-approval studies.</w:t>
      </w:r>
    </w:p>
    <w:p>
      <w:pPr>
        <w:spacing w:after="0" w:line="11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In addition, the manufacturer of an investigational drug in a Phase 2 or Phase 3 clinical trial for a serious or life-threatening disease is required to make available, such as by posting on its website, its policy on evaluating and responding to requests for expanded access to such investigational drug.</w:t>
      </w:r>
    </w:p>
    <w:p>
      <w:pPr>
        <w:spacing w:after="0" w:line="10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After completion of the required clinical testing, an NDA is prepared and submitted to the FDA. FDA approval of the NDA is required before marketing and distribution of the product may begin in the United States. The NDA must include the results of all preclinical, clinical, and other testing and a compilation of data relating to the product’s pharmacology, chemistry, manufacture, and controls. The cost of preparing and submitting an NDA is substantial. The submission of most NDAs is additionally subject to a substantial application user fee. Under an approved NDA, the applicant is also subject to an annual program fee. These fees typically increase annually. The FDA has 60 days from its receipt of an NDA to determine whether the application will be filed based on the FDA’s determination that it is adequately organized and sufficiently complete to permit substantive review. Once the submission is filed, the FDA begins an in-depth review. The FDA has agreed to certain performance goals to complete the review of NDAs. Most applications are classified as Standard Review products that are reviewed within ten months of the date the FDA files the NDA; applications classified as Priority Review are reviewed within six months of the date the FDA files the NDA. An NDA can be classified for Priority Review when the FDA determines the drug has the potential to treat a serious or life-threatening condition and, if approved, would be a significant improvement in safety or effectiveness compared to available therapies. The review process for both standard and priority reviews may be extended by the FDA for three or more additional months to consider certain late-submitted information, or information intended to clarify information already provided in the NDA submission.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FDA may also refer applications for novel drugs, as well as drugs products that present difficult questions of safety or efficacy, to be reviewed by an advisory committee—typically a panel that includes clinicians, statisticians and other experts—for review, evaluation, and a recommendation as to whether the NDA should be approved. The FDA is not bound by the recommendation of an advisory committee, but generally follows such recommendations. Before approving an NDA, the FDA will typically inspect one or more clinical sites to assure compliance with GCP. Additionally, the FDA will inspect the facility or the facilities at which the drug product is manufactured. The FDA will not approve the product unless compliance with current good manufacturing practices, or cGMPs, is satisfactory and the NDA contains data that provide substantial evidence that the drug is safe and effective in the claimed indication.</w:t>
      </w:r>
    </w:p>
    <w:p>
      <w:pPr>
        <w:spacing w:after="0" w:line="117"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After the FDA evaluates the NDA and completes any clinical and manufacturing site inspections, it issues either an approval letter or a complete response letter. A complete response letter generally outlines the deficiencies in the NDA submission and may require substantial additional testing, or information, in order for the FDA to reconsider the application for approval. If, or when, those deficiencies have been addressed to the FDA’s satisfaction in a resubmission of the NDA, the FDA will issue an approval letter. The FDA has committed to reviewing such resubmissions in two or six months depending on the type of information included. An approval letter authorizes commercial marketing and distribution of the drug with specific prescribing information for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specific indications. As a condition of NDA approval, the FDA may require a Risk Evaluation and Mitigation Strategy, or REMS, to help ensure that the benefits of the drug outweigh the potential risks to patients. A REMS can include medication guides, communication plans for healthcare professionals, and elements to assure a product’s safe use, or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117"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NDA, including changes in indications, product labeling, manufacturing processes or facilities, require submission and FDA approval of a new NDA, or supplement to an approved NDA, before the change can be implemented. An NDA supplement for a new indication typically requires clinical data similar to that in the original application, and the FDA uses the same procedures and actions in reviewing NDA supplements as it does in reviewing original NDAs.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Fast track designation and priority review</w:t>
      </w:r>
    </w:p>
    <w:p>
      <w:pPr>
        <w:spacing w:after="0" w:line="14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FDA is required to facilitate the development, and expedite the review, of drugs that are intended for the treatment of a serious or life-threatening disease or condition for which there is no effective treatment and which demonstrate the potential to address unmet medical needs for the condition. 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Any product submitted to FDA for marketing, including under a fast track program, may be eligible for other types of FDA programs intended to expedite development and review, such as priority review.</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Priority review may be granted for products that are intended to treat a serious or life-threatening condition and, if approved, would provide a significant improvement in safety and effectiveness compared to available therapies. FDA will attempt to direct additional resources to the evaluation of an application designated for priority review in an effort to facilitate the review.</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Accelerated approval</w:t>
      </w:r>
    </w:p>
    <w:p>
      <w:pPr>
        <w:spacing w:after="0" w:line="14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 FDA must specify conditions for the post-approval study which may include details regarding enrollment targets, the study protocol and study milestones. These confirmatory trials must be completed with due diligence and the FDA may require that the trial be designed, initiated, and/or fully enrolled prior to submission of the application or approval. Sponsors are also required to submit regular reports regarding the progress of conducting these post-approval studies. Failure to conduct required post-approval studies in accordance with FDA’s conditions and with due diligence, or submit the progress reports as well as failure to confirm a clinical benefit during post-marketing studies, would allow the FDA to undertake enforcement action or withdraw the product from the market on an expedited basis. All promotional materials for product candidates approved under accelerated approval regulations are subject to prior review by the FDA.</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2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Sponsors of clinical trials of FDA-regulated products, including drugs, are required to register and disclose certain clinical trial information on the website www.clinicaltrials.gov.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w:t>
      </w:r>
    </w:p>
    <w:p>
      <w:pPr>
        <w:spacing w:after="0" w:line="2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29"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 Unless otherwise required by regulation, PREA does not apply to any drug with orphan product designation except a product with a new active ingredient that is a molecularly targeted cancer product intended for the treatment of an adult cancer and directed at a molecular target determined by FDA to be substantially relevant to the growth or progression of a pediatric cancer that is subject to an NDA submitted on or after August 18, 2020.</w:t>
      </w:r>
    </w:p>
    <w:p>
      <w:pPr>
        <w:spacing w:after="0" w:line="117"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The Best Pharmaceuticals for Children Act, or BPCA, provides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42"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labeling.</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Adverse event reporting and submission of periodic safety summary reports are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Drugs manufacturers and certain of their subcontractors are required to register their establishments with the FDA and certain state agencies. Registration with the FDA subjects entities to periodic unannounced inspections by the FDA, during which the agency inspects a drug’s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required regulatory standards, if it encounters problems following initial marketing, or if previously unrecognized problems are subsequently discovered.</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Hatch-Waxman amendments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Orange book listing</w:t>
      </w:r>
    </w:p>
    <w:p>
      <w:pPr>
        <w:spacing w:after="0" w:line="14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Under the Drug Price Competition and Patent Term Restoration Act of 1984, commonly referred to as the Hatch Waxman Amendments, NDA applicants are required to identify to FDA each patent whose claims cover the applicant’s drug or approved method of using the drug. Upon approval of a drug, the applicant must update its listing of patents to the FDA in timely fashion and each of the patents listed in the application for the drug is then published in the FDA’s Approved Drug Products with Therapeutic Equivalence Evaluations, commonly known as the Orange Book.</w:t>
      </w:r>
    </w:p>
    <w:p>
      <w:pPr>
        <w:spacing w:after="0" w:line="1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Drugs listed in the Orange Book can, in turn, be cited by potential generic competitors in support of approval of an abbreviated NDA, or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99"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7"/>
          <w:szCs w:val="17"/>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w:t>
      </w:r>
    </w:p>
    <w:p>
      <w:pPr>
        <w:spacing w:after="0" w:line="1" w:lineRule="exact"/>
        <w:rPr>
          <w:sz w:val="20"/>
          <w:szCs w:val="20"/>
          <w:color w:val="auto"/>
        </w:rPr>
      </w:pPr>
    </w:p>
    <w:p>
      <w:pPr>
        <w:ind w:left="120" w:right="20" w:hanging="4"/>
        <w:spacing w:after="0" w:line="236" w:lineRule="auto"/>
        <w:tabs>
          <w:tab w:leader="none" w:pos="3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listed patent has expired; (iii) the listed patent has not expired but will expire on a particular date and approval is sought after patent expiration; or (iv) the listed patent is invalid, unenforceable or will not be infringed by the new product. A certification that the new product will not infringe the already approved product’s listed patents, or that such patents are invalid or unenforceable, is called a Paragraph IV certification. For patents listed that claim an approved method of use, under certain circumstances the ANDA applicant may also elect to submit a statement certifying that its proposed ANDA label does not contain (or carves out) any language regarding the patented method-of-use rather than certify to a listed method-of-use patent, which is called a Section VIII statement.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10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FDA permits, the omission of such exclusivity-protected information from the ANDA prescribing information.</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Exclusivity</w:t>
      </w:r>
    </w:p>
    <w:p>
      <w:pPr>
        <w:spacing w:after="0" w:line="142" w:lineRule="exact"/>
        <w:rPr>
          <w:sz w:val="20"/>
          <w:szCs w:val="20"/>
          <w:color w:val="auto"/>
        </w:rPr>
      </w:pPr>
    </w:p>
    <w:p>
      <w:pPr>
        <w:ind w:left="120" w:right="220"/>
        <w:spacing w:after="0" w:line="261" w:lineRule="auto"/>
        <w:rPr>
          <w:sz w:val="20"/>
          <w:szCs w:val="20"/>
          <w:color w:val="auto"/>
        </w:rPr>
      </w:pPr>
      <w:r>
        <w:rPr>
          <w:rFonts w:ascii="Arial" w:cs="Arial" w:eastAsia="Arial" w:hAnsi="Arial"/>
          <w:sz w:val="17"/>
          <w:szCs w:val="17"/>
          <w:color w:val="auto"/>
        </w:rPr>
        <w:t>Upon NDA approval of a new chemical entity, or NCE, which is a drug that contains no active moiety that has been approved by FDA in any other NDA, that drug receives five years of marketing exclusivity during which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9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Certain changes to an approved drug, such as the approval of a new indication, the approval of a new strength, and the approval of a new condition of use, are associated with a three-year period of exclusivity from the date of approval during which FDA cannot approve an ANDA for a generic drug that includes the change. In some instances, an ANDA applicant may receive approval prior to expiration of the three-year exclusivity if the applicant seeks, and FDA permits, the omission of such exclusivity-protected information from the ANDA package insert.</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Patent term extension</w:t>
      </w:r>
    </w:p>
    <w:p>
      <w:pPr>
        <w:spacing w:after="0" w:line="14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depends on a number of factors and is on a case by case basis, generally calculated as half of the drug’s testing phase (the time between IND application and NDA submission) and all of the review phase (the time between NDA submission and approval) that occurs after patent issuance up to a maximum of five years and subject to the 14 year cap. The time can be reduced for any time FDA determines that the applicant did not pursue approval with due diligence.</w:t>
      </w:r>
    </w:p>
    <w:p>
      <w:pPr>
        <w:spacing w:after="0" w:line="104" w:lineRule="exact"/>
        <w:rPr>
          <w:sz w:val="20"/>
          <w:szCs w:val="20"/>
          <w:color w:val="auto"/>
        </w:rPr>
      </w:pPr>
    </w:p>
    <w:p>
      <w:pPr>
        <w:ind w:left="120" w:right="260"/>
        <w:spacing w:after="0" w:line="244" w:lineRule="auto"/>
        <w:rPr>
          <w:sz w:val="20"/>
          <w:szCs w:val="20"/>
          <w:color w:val="auto"/>
        </w:rPr>
      </w:pPr>
      <w:r>
        <w:rPr>
          <w:rFonts w:ascii="Arial" w:cs="Arial" w:eastAsia="Arial" w:hAnsi="Arial"/>
          <w:sz w:val="18"/>
          <w:szCs w:val="18"/>
          <w:color w:val="auto"/>
        </w:rPr>
        <w:t>The United States Patent and Trademark Office, or USPTO, in consultation with the FDA, reviews and approves the application for any patent term extension or restoration. However, the USPTO may not grant an extension because of, for example, an applicant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 total patent term after the extension may not extend the remaining term of a patent beyond a total of 14 years from the date of product approval, only one patent may be extended and only those claims covering the approved drug, a method for using it, or a method for manufacturing it may be enforced during the extension period. The application for the extension must be submitted prior to the expiration of the patent, and for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patents that might expire during the application phase, the patent owner may request an interim patent extension. An interim patent extension increases the patent term by up to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approval and regulation of companion diagnostics</w:t>
      </w:r>
    </w:p>
    <w:p>
      <w:pPr>
        <w:spacing w:after="0" w:line="129"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 xml:space="preserve">If safe and effective use of a therapeutic product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then the FDA generally will require approval or clearance of that diagnostic, known as a companion diagnostic, before or at the same time that the FDA approves the product. In August 2014, the FDA issued final guidance clarifying the requirements that will apply to approval of therapeutic products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According to the guidance, if FDA determines that a companion diagnostic device is essential to the safe and effective use of a new therapeutic product or indication, FDA generally will not approve the therapeutic product or new therapeutic product indication if the companion diagnostic device is not approved or cleared for that indication.</w:t>
      </w:r>
    </w:p>
    <w:p>
      <w:pPr>
        <w:spacing w:after="0" w:line="111"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 xml:space="preserve">Approval or clearance of the companion diagnostic device will ensure that the device has been adequately evaluated and has adequate performance characteristics in the intended population. The review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in conjunction with the review of a therapeutic product will, therefore, likely involve coordination of review by CDER and the FDA’s Office of In Vitro Diagnostics and Radiological Health.</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Under the FDCA,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The vast majority of companion diagnostics require PMA approval.</w:t>
      </w:r>
    </w:p>
    <w:p>
      <w:pPr>
        <w:spacing w:after="0" w:line="104"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16"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PMA approval is not guaranteed, and the FDA may ultimately issue a not approvable letter to a PMA submission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16"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register their establishments and list their devices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and foreign facility records and manufacturing processes are subject to periodic unscheduled inspections by the FDA.</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4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In the United States, pharmaceutical and biotechnology company activities are potentially subject to regulation by various federal, state and local authorities in addition to the FDA, including but not limited to, the Centers for Medicare &amp; Medicaid Services, or CMS, other divisions of the U.S. Department of Health and Human Services, or HHS, (e.g., the Office of Inspector General and the Office for Civil Rights), the U.S. Department of Justice, or DOJ, and individual U.S. Attorney offices within the DOJ, and state and local governments. For example, sales, marketing and scientific/educational grant programs, may have to comply with the anti-fraud and abuse provisions of the Social Security Act, the federal false claims laws, the privacy and security provisions of the federal Health Insurance Portability and Accountability Act of 1996, or HIPAA, and similar state laws, each as amended, as applicable.</w:t>
      </w:r>
    </w:p>
    <w:p>
      <w:pPr>
        <w:spacing w:after="0" w:line="117"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recommending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and/or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Practices may not in all cases meet all of the criteria for protection under a statutory exception or regulatory safe harbor. In addition, the statutory exceptions and regulatory safe harbors are subject to change.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06"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01"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Federal false claims laws, including the federal civil False Claims Act, prohibit,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In addition, manufacturers can be held liable under the civil False Claims Act even when they do not submit claims directly to government payors if they are deemed to “cause” the submission of false or fraudulent claims.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and purportedly concealing price concessions in the pricing information submitted to the government for government price reporting purposes.</w:t>
      </w:r>
    </w:p>
    <w:p>
      <w:pPr>
        <w:spacing w:after="0" w:line="105" w:lineRule="exact"/>
        <w:rPr>
          <w:sz w:val="20"/>
          <w:szCs w:val="20"/>
          <w:color w:val="auto"/>
        </w:rPr>
      </w:pPr>
    </w:p>
    <w:p>
      <w:pPr>
        <w:ind w:left="120" w:right="220"/>
        <w:spacing w:after="0" w:line="259" w:lineRule="auto"/>
        <w:rPr>
          <w:sz w:val="20"/>
          <w:szCs w:val="20"/>
          <w:color w:val="auto"/>
        </w:rPr>
      </w:pPr>
      <w:r>
        <w:rPr>
          <w:rFonts w:ascii="Arial" w:cs="Arial" w:eastAsia="Arial" w:hAnsi="Arial"/>
          <w:sz w:val="17"/>
          <w:szCs w:val="17"/>
          <w:color w:val="auto"/>
        </w:rPr>
        <w:t>HIPAA created additional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Anti-Kickback Statute, a person or entity does not need to have actual knowledge of the statute or specific intent to violate it in order to have committed a violation.</w:t>
      </w:r>
    </w:p>
    <w:p>
      <w:pPr>
        <w:spacing w:after="0" w:line="98"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w:t>
      </w:r>
    </w:p>
    <w:p>
      <w:pPr>
        <w:spacing w:after="0" w:line="8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Data privacy and security regulations by both the federal government and the states in which business is conducted may also be applicable. HIPAA, as amended by the Health Information Technology for Economic and Clinical Health Act, or HITECH, and its implementing regulations, imposes among other things, certain requirements relating to the privacy, security, transmission and breach of individually identifiable health information. HIPAA requires covered entities to limit the use and disclosure of protected health information to specifically authorized situations, and requires covered entities to implement security measures to protect health information that they maintain in electronic form. Among other things, HITECH made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addition, certain states have also adopted data privacy and security laws and regulations, which govern the processing of health-related and other personal information. Such laws and regulations will be subject to interpretation by various courts and other governmental authorities, thus creating potentially complex compliance issues. For example, CCPA, imposes obligations on businesses that meet certain thresholds that process the personal information of California residents (including employees based in California). These obligations include, but are not limited to, providing specific disclosures in privacy notices and affording California residents certain rights related to their personal information, including the ability to opt-out of certain sales of personal information. The CCPA provides for a private right of action for certain data breaches, which may increase the likelihood of, and risks associated with, data breach litigation. Although the CCPA exempts some data processed in the context of clinical trials, the CCPA could increase compliance costs and potential liability. The 2020 amendments to the CCPA also created the California Privacy Protection Agency, a new enforcement agency whose sole responsibility is to enforce the CCPA and is empowered to create new CCPA regulations. Other states have also passed comprehensive privacy laws, and similar laws are being considered in several other states, as well as at the local and federal levels, including discussion in the U.S. of a new comprehensive federal data privacy law. In addition to government activity and private rights of actions provided by some of the state privacy laws, privacy advocacy groups and technology and other industries are considering various new, additional or different self-regulatory standards that may place additional burdens on companies.</w:t>
      </w:r>
    </w:p>
    <w:p>
      <w:pPr>
        <w:spacing w:after="0" w:line="12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 xml:space="preserve">Internationally, many countries have privacy and data protection laws that create potentially complex compliance issues . For example, the EU GDPR and UK GDPR impose strict requirements for processing the personal data of individuals, including, for example, requirements to establish a legal basis for processing, higher standards for obtaining consent from individuals to process their personal data, more robust disclosures to individuals and a strengthened individual data rights regime, requirements to implement safeguards to protect the security and confidentiality of personal data that requires the adoption of administrative, physical and technical safeguards, shortened timelines for data breach notifications to appropriate data protection authorities or data subjects, limitations on retention and secondary use of information, increased requirements pertaining to health data, regulation of the transferring of personal data across jurisdiction and additional obligations when third-party processors are contracted in connection with the processing of the personal data. EU member states are tasked under the EU GDPR to enact, and have enacted, certain implementing legislation that adds to and/or further interprets the EU GDPR requirements and potentially extends the obligations and potential liability for failing to meet such obligations. Under the EU GDPR, government regulators may impose temporary or definitive bans on data processing, as well as fines of up to </w:t>
      </w:r>
      <w:r>
        <w:rPr>
          <w:rFonts w:ascii="Times New Roman" w:cs="Times New Roman" w:eastAsia="Times New Roman" w:hAnsi="Times New Roman"/>
          <w:sz w:val="18"/>
          <w:szCs w:val="18"/>
          <w:color w:val="auto"/>
        </w:rPr>
        <w:t>€</w:t>
      </w:r>
      <w:r>
        <w:rPr>
          <w:rFonts w:ascii="Arial" w:cs="Arial" w:eastAsia="Arial" w:hAnsi="Arial"/>
          <w:sz w:val="18"/>
          <w:szCs w:val="18"/>
          <w:color w:val="auto"/>
        </w:rPr>
        <w:t>20 million or 4% of annual global revenue, whichever is greater. Such fines would be in addition to (i) the rights of individuals to sue for damages in respect of any data privacy breach which causes them to suffer harm, (ii) the right of individual member states to impose additional sanctions over and above the administrative fines specified in the GDPR and (iii) the ability of supervisory authorities to impose orders requiring companies to modify their practices.</w:t>
      </w:r>
    </w:p>
    <w:p>
      <w:pPr>
        <w:spacing w:after="0" w:line="120"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and to report annually certain ownership and investment interests held by physicians and their immediate family members. Manufacturers are also required to report such information regarding its relationships with physician assistants, nurse practitioners, clinical nurse specialists, certified registered nurse anesthetists, anesthesiologist assistants and certified nurse midwives during the previous year.</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Commercial distribution of products requires compliance with state laws that require the registration of manufacturers and wholesale distributors of drug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In addition,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Certain local jurisdictions also require drug manufacturers to report information related to payments and other transfers of value to physicians and other healthcare providers or marketing expenditures. Sales and marketing activities are also potentially subject to federal and state consumer protection and unfair competition laws.</w:t>
      </w:r>
    </w:p>
    <w:p>
      <w:pPr>
        <w:spacing w:after="0" w:line="115"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Violation of any of the federal and state healthcare laws described above or any other governmental regulations may result in penalties, including without limitation, significant civil, criminal and/or administrative penalties, damages, fines, disgorgement, exclusion from participation in government programs, such as Medicare and Medicaid, imprisonment, injunctions, private “qui tam” actions brought by individual whistleblowers in the name of the government, refusal to enter into government contracts, oversight monitoring, contractual damages, reputational harm, administrative burdens, diminished profits and future earnings.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42"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regulatory approval is obtained. In the United States and markets in other countries, sales of any products for which regulatory approval is received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Expensive pharmaco-economic studies may need to be conducted in order to demonstrate the medical necessity and cost-effectiveness of product candidates, in addition to the costs required to obtain the FDA approvals.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the maintenance of price levels sufficient to realize an appropriate return on investment in product development.</w:t>
      </w:r>
    </w:p>
    <w:p>
      <w:pPr>
        <w:spacing w:after="0" w:line="120"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40"/>
          </w:cols>
          <w:pgMar w:left="320" w:top="455" w:right="5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11" w:lineRule="exact"/>
        <w:rPr>
          <w:sz w:val="20"/>
          <w:szCs w:val="20"/>
          <w:color w:val="auto"/>
        </w:rPr>
      </w:pPr>
    </w:p>
    <w:p>
      <w:pPr>
        <w:ind w:left="120" w:right="140"/>
        <w:spacing w:after="0" w:line="261" w:lineRule="auto"/>
        <w:rPr>
          <w:sz w:val="20"/>
          <w:szCs w:val="20"/>
          <w:color w:val="auto"/>
        </w:rPr>
      </w:pPr>
      <w:r>
        <w:rPr>
          <w:rFonts w:ascii="Arial" w:cs="Arial" w:eastAsia="Arial" w:hAnsi="Arial"/>
          <w:sz w:val="17"/>
          <w:szCs w:val="17"/>
          <w:color w:val="auto"/>
        </w:rPr>
        <w:t>The marketability of any product candidates for which regulatory approval is received for commercial sale may suffer if the government and other third-party payors fail to provide coverage and adequate reimbursement. In addition, emphasis on managed care in the United States has increased and is expected to continue to increase the pressure on healthcare pricing. Coverage policies and third-party reimbursement rates may change at any time. Even if favorable coverage and reimbursement status is attained for one or more products for which regulatory approval is received, less favorable coverage policies and reimbursement rates may be implemented in the future.</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4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Healthcare reform proposals recently culminated in the enactment of the Inflation Reduction Act, which will eliminate, beginning in 2025, the coverage gap under Medicare Part D by significantly lowering the enrollee maximum out-of-pocket cost and requiring manufacturers to subsidize, through a newly established manufacturer discount program, 10% of Part D enrollees’ prescription costs for brand drugs below the out-of-pocket maximum, and 20% once the out-of-pocket maximum has been reached. The Inflation Reduction Act will also allow HHS to directly negotiate the selling price of a statutorily specified number of drugs each year that CMS reimburses under Medicare Part B and Part D. Only high-expenditure single-source drugs that have been approved for at least 7 years (11 years for biologics) can qualify for negotiation, with the negotiated price taking effect two years after the selection year. Negotiations for Medicare Part D products begin in 2024 with the negotiated price taking effect in 2026, and negotiations for Medicare Part B products begin in 2026 with the negotiated price taking effect in 2028. In August 2023, HHS announced the ten Medicare Part D drugs and biologics that it selected for negotiations, and by October 1, 2023, each manufacturer of the selected drugs signed a manufacturer agreement to participate in the negotiations. HHS will announce the negotiated maximum fair prices by September 1, 2024, and this price cap, which cannot exceed a statutory ceiling price, will come into effect on January 1, 2026. A drug or biological product that has an orphan drug designation for only one rare disease or condition will be excluded from the Inflation Reduction Act’s price negotiation requirements, but loses that exclusion if it has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Inflation Reduction Act also imposes rebates on Medicare Part B and Part D drugs whose prices have increased at a rate greater than the rate of inflation. The Inflation Reduction Act permits the Secretary of HHS to implement many of these provisions through guidance, as opposed to regulation, for the initial years. Manufacturers that fail to comply with the Inflation Reduction Act may be subject to various penalties, some significant, including civil monetary penalties. The Inflation Reduction Act also extends enhanced subsidies for individuals purchasing health insurance coverage in ACA marketplaces through plan year 2025. These provisions are taking effect progressively starting in 2023, although they may be subject to legal challenges. For example, the provisions related to the negotiation of selling prices of high-expenditure single-source drugs and biologics have been challenged in multiple lawsuits. Thus, while it is unclear how the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40"/>
        <w:spacing w:after="0" w:line="253" w:lineRule="auto"/>
        <w:rPr>
          <w:sz w:val="20"/>
          <w:szCs w:val="20"/>
          <w:color w:val="auto"/>
        </w:rPr>
      </w:pPr>
      <w:r>
        <w:rPr>
          <w:rFonts w:ascii="Arial" w:cs="Arial" w:eastAsia="Arial" w:hAnsi="Arial"/>
          <w:sz w:val="18"/>
          <w:szCs w:val="18"/>
          <w:color w:val="auto"/>
        </w:rPr>
        <w:t>Inflation Reduction Act will be implemented, it will likely have a significant impact on the pharmaceutical industry and the pricing of pharmaceutical products, particularly pharmaceutical products indicated for prevalent conditions. It is unclear to what extent other statutory, regulatory, and administrative initiatives will be enacted and implemented in the future.</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Employees and human capital resources</w:t>
      </w:r>
    </w:p>
    <w:p>
      <w:pPr>
        <w:spacing w:after="0" w:line="135"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As of March 31, 2024, we had   employees,    of whom were full-time and     of whom were engaged in research and development activities. Approximately     of our employees hold Ph.D., M.D. or other advanced degrees.    of our employees are represented by labor unions or covered by collective bargaining agreements. We consider our relationship with our employees to be an asset.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It is important that we not only attract and retain the best and brightest diverse talent, but also ensure they remain engaged and can thrive in an environment that is committed to helping them grow, succeed and contribute directly to achieving our purpose. The principal purposes of our equity and cash incentive plans are to attract, retain and motivate personnel through the granting of stock-based and cash-based compensation awards in order to increase the success of our Company by motivating such individuals to perform to the best of their abilities in the furtherance of our objectives. We also strive to foster career growth and internal mobility by providing a broad range of training, mentoring and other development opportunities.</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Facilities</w:t>
      </w:r>
    </w:p>
    <w:p>
      <w:pPr>
        <w:spacing w:after="0" w:line="148"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Our corporate headquarters is located at 171 Oyster Point Blvd., Suite 300, South San Francisco, California, where we lease and occupy approximately 67,000 square feet of office and laboratory space. Our lease, entered into on September 27, 2019, has a term of approximately 10 years.</w:t>
      </w:r>
    </w:p>
    <w:p>
      <w:pPr>
        <w:spacing w:after="0" w:line="101"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We believe our existing facility is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Legal proceedings</w:t>
      </w:r>
    </w:p>
    <w:p>
      <w:pPr>
        <w:spacing w:after="0" w:line="148"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5" w:right="4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Management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 and directors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including ages as of March 31, 2024, regarding our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88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Age</w:t>
            </w:r>
          </w:p>
        </w:tc>
        <w:tc>
          <w:tcPr>
            <w:tcW w:w="70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Position</w:t>
            </w:r>
          </w:p>
        </w:tc>
      </w:tr>
      <w:tr>
        <w:trPr>
          <w:trHeight w:val="88"/>
        </w:trPr>
        <w:tc>
          <w:tcPr>
            <w:tcW w:w="3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60" w:type="dxa"/>
            <w:vAlign w:val="bottom"/>
          </w:tcPr>
          <w:p>
            <w:pPr>
              <w:spacing w:after="0"/>
              <w:rPr>
                <w:sz w:val="7"/>
                <w:szCs w:val="7"/>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Executive Officers:</w:t>
            </w:r>
          </w:p>
        </w:tc>
        <w:tc>
          <w:tcPr>
            <w:tcW w:w="8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r>
      <w:tr>
        <w:trPr>
          <w:trHeight w:val="328"/>
        </w:trPr>
        <w:tc>
          <w:tcPr>
            <w:tcW w:w="3080" w:type="dxa"/>
            <w:vAlign w:val="bottom"/>
          </w:tcPr>
          <w:p>
            <w:pPr>
              <w:spacing w:after="0"/>
              <w:rPr>
                <w:sz w:val="20"/>
                <w:szCs w:val="20"/>
                <w:color w:val="auto"/>
              </w:rPr>
            </w:pPr>
            <w:r>
              <w:rPr>
                <w:rFonts w:ascii="Arial" w:cs="Arial" w:eastAsia="Arial" w:hAnsi="Arial"/>
                <w:sz w:val="18"/>
                <w:szCs w:val="18"/>
                <w:color w:val="auto"/>
              </w:rPr>
              <w:t>Jason Coloma, Ph.D.</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48</w:t>
            </w:r>
          </w:p>
        </w:tc>
        <w:tc>
          <w:tcPr>
            <w:tcW w:w="7060" w:type="dxa"/>
            <w:vAlign w:val="bottom"/>
          </w:tcPr>
          <w:p>
            <w:pPr>
              <w:ind w:left="200"/>
              <w:spacing w:after="0"/>
              <w:rPr>
                <w:sz w:val="20"/>
                <w:szCs w:val="20"/>
                <w:color w:val="auto"/>
              </w:rPr>
            </w:pPr>
            <w:r>
              <w:rPr>
                <w:rFonts w:ascii="Arial" w:cs="Arial" w:eastAsia="Arial" w:hAnsi="Arial"/>
                <w:sz w:val="18"/>
                <w:szCs w:val="18"/>
                <w:color w:val="auto"/>
              </w:rPr>
              <w:t>Chief Executive Officer and Director</w:t>
            </w:r>
          </w:p>
        </w:tc>
      </w:tr>
      <w:tr>
        <w:trPr>
          <w:trHeight w:val="90"/>
        </w:trPr>
        <w:tc>
          <w:tcPr>
            <w:tcW w:w="3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60" w:type="dxa"/>
            <w:vAlign w:val="bottom"/>
          </w:tcPr>
          <w:p>
            <w:pPr>
              <w:spacing w:after="0"/>
              <w:rPr>
                <w:sz w:val="7"/>
                <w:szCs w:val="7"/>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Harold S. Bernstein, M.D., Ph.D.</w:t>
            </w:r>
          </w:p>
        </w:tc>
        <w:tc>
          <w:tcPr>
            <w:tcW w:w="8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64</w:t>
            </w:r>
          </w:p>
        </w:tc>
        <w:tc>
          <w:tcPr>
            <w:tcW w:w="7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President, Research and Development and Chief Medical Officer</w:t>
            </w:r>
          </w:p>
        </w:tc>
      </w:tr>
      <w:tr>
        <w:trPr>
          <w:trHeight w:val="328"/>
        </w:trPr>
        <w:tc>
          <w:tcPr>
            <w:tcW w:w="3080" w:type="dxa"/>
            <w:vAlign w:val="bottom"/>
          </w:tcPr>
          <w:p>
            <w:pPr>
              <w:spacing w:after="0"/>
              <w:rPr>
                <w:sz w:val="20"/>
                <w:szCs w:val="20"/>
                <w:color w:val="auto"/>
              </w:rPr>
            </w:pPr>
            <w:r>
              <w:rPr>
                <w:rFonts w:ascii="Arial" w:cs="Arial" w:eastAsia="Arial" w:hAnsi="Arial"/>
                <w:sz w:val="18"/>
                <w:szCs w:val="18"/>
                <w:color w:val="auto"/>
              </w:rPr>
              <w:t>Atul Dandekar</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53</w:t>
            </w:r>
          </w:p>
        </w:tc>
        <w:tc>
          <w:tcPr>
            <w:tcW w:w="7060" w:type="dxa"/>
            <w:vAlign w:val="bottom"/>
          </w:tcPr>
          <w:p>
            <w:pPr>
              <w:ind w:left="200"/>
              <w:spacing w:after="0"/>
              <w:rPr>
                <w:sz w:val="20"/>
                <w:szCs w:val="20"/>
                <w:color w:val="auto"/>
              </w:rPr>
            </w:pPr>
            <w:r>
              <w:rPr>
                <w:rFonts w:ascii="Arial" w:cs="Arial" w:eastAsia="Arial" w:hAnsi="Arial"/>
                <w:sz w:val="18"/>
                <w:szCs w:val="18"/>
                <w:color w:val="auto"/>
              </w:rPr>
              <w:t>Chief Strategy Officer</w:t>
            </w:r>
          </w:p>
        </w:tc>
      </w:tr>
      <w:tr>
        <w:trPr>
          <w:trHeight w:val="90"/>
        </w:trPr>
        <w:tc>
          <w:tcPr>
            <w:tcW w:w="3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60" w:type="dxa"/>
            <w:vAlign w:val="bottom"/>
          </w:tcPr>
          <w:p>
            <w:pPr>
              <w:spacing w:after="0"/>
              <w:rPr>
                <w:sz w:val="7"/>
                <w:szCs w:val="7"/>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Non-Employee Directors:</w:t>
            </w:r>
          </w:p>
        </w:tc>
        <w:tc>
          <w:tcPr>
            <w:tcW w:w="880" w:type="dxa"/>
            <w:vAlign w:val="bottom"/>
            <w:shd w:val="clear" w:color="auto" w:fill="CCEEFF"/>
          </w:tcPr>
          <w:p>
            <w:pPr>
              <w:spacing w:after="0"/>
              <w:rPr>
                <w:sz w:val="17"/>
                <w:szCs w:val="17"/>
                <w:color w:val="auto"/>
              </w:rPr>
            </w:pPr>
          </w:p>
        </w:tc>
        <w:tc>
          <w:tcPr>
            <w:tcW w:w="7060" w:type="dxa"/>
            <w:vAlign w:val="bottom"/>
            <w:shd w:val="clear" w:color="auto" w:fill="CCEEFF"/>
          </w:tcPr>
          <w:p>
            <w:pPr>
              <w:spacing w:after="0"/>
              <w:rPr>
                <w:sz w:val="17"/>
                <w:szCs w:val="17"/>
                <w:color w:val="auto"/>
              </w:rPr>
            </w:pPr>
          </w:p>
        </w:tc>
      </w:tr>
      <w:tr>
        <w:trPr>
          <w:trHeight w:val="328"/>
        </w:trPr>
        <w:tc>
          <w:tcPr>
            <w:tcW w:w="3080" w:type="dxa"/>
            <w:vAlign w:val="bottom"/>
          </w:tcPr>
          <w:p>
            <w:pPr>
              <w:spacing w:after="0"/>
              <w:rPr>
                <w:sz w:val="20"/>
                <w:szCs w:val="20"/>
                <w:color w:val="auto"/>
              </w:rPr>
            </w:pPr>
            <w:r>
              <w:rPr>
                <w:rFonts w:ascii="Arial" w:cs="Arial" w:eastAsia="Arial" w:hAnsi="Arial"/>
                <w:sz w:val="18"/>
                <w:szCs w:val="18"/>
                <w:color w:val="auto"/>
              </w:rPr>
              <w:t>Charles Homcy, M.D.</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75</w:t>
            </w:r>
          </w:p>
        </w:tc>
        <w:tc>
          <w:tcPr>
            <w:tcW w:w="7060" w:type="dxa"/>
            <w:vAlign w:val="bottom"/>
          </w:tcPr>
          <w:p>
            <w:pPr>
              <w:ind w:left="200"/>
              <w:spacing w:after="0"/>
              <w:rPr>
                <w:sz w:val="20"/>
                <w:szCs w:val="20"/>
                <w:color w:val="auto"/>
              </w:rPr>
            </w:pPr>
            <w:r>
              <w:rPr>
                <w:rFonts w:ascii="Arial" w:cs="Arial" w:eastAsia="Arial" w:hAnsi="Arial"/>
                <w:sz w:val="18"/>
                <w:szCs w:val="18"/>
                <w:color w:val="auto"/>
              </w:rPr>
              <w:t>Chairman of the Board, Director</w:t>
            </w:r>
          </w:p>
        </w:tc>
      </w:tr>
      <w:tr>
        <w:trPr>
          <w:trHeight w:val="90"/>
        </w:trPr>
        <w:tc>
          <w:tcPr>
            <w:tcW w:w="3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60" w:type="dxa"/>
            <w:vAlign w:val="bottom"/>
          </w:tcPr>
          <w:p>
            <w:pPr>
              <w:spacing w:after="0"/>
              <w:rPr>
                <w:sz w:val="7"/>
                <w:szCs w:val="7"/>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Nancy C. Andrews, M.D., Ph.D.</w:t>
            </w:r>
          </w:p>
        </w:tc>
        <w:tc>
          <w:tcPr>
            <w:tcW w:w="8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65</w:t>
            </w:r>
          </w:p>
        </w:tc>
        <w:tc>
          <w:tcPr>
            <w:tcW w:w="7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419"/>
        </w:trPr>
        <w:tc>
          <w:tcPr>
            <w:tcW w:w="3080" w:type="dxa"/>
            <w:vAlign w:val="bottom"/>
          </w:tcPr>
          <w:p>
            <w:pPr>
              <w:spacing w:after="0"/>
              <w:rPr>
                <w:sz w:val="20"/>
                <w:szCs w:val="20"/>
                <w:color w:val="auto"/>
              </w:rPr>
            </w:pPr>
            <w:r>
              <w:rPr>
                <w:rFonts w:ascii="Arial" w:cs="Arial" w:eastAsia="Arial" w:hAnsi="Arial"/>
                <w:sz w:val="18"/>
                <w:szCs w:val="18"/>
                <w:color w:val="auto"/>
              </w:rPr>
              <w:t>Brendan Bulik-Sullivan, Ph.D.</w:t>
            </w:r>
            <w:r>
              <w:rPr>
                <w:rFonts w:ascii="Arial" w:cs="Arial" w:eastAsia="Arial" w:hAnsi="Arial"/>
                <w:sz w:val="26"/>
                <w:szCs w:val="26"/>
                <w:color w:val="auto"/>
                <w:vertAlign w:val="superscript"/>
              </w:rPr>
              <w:t>(4)</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34</w:t>
            </w:r>
          </w:p>
        </w:tc>
        <w:tc>
          <w:tcPr>
            <w:tcW w:w="706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202"/>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Sekar Kathiresan, M.D.</w:t>
            </w:r>
          </w:p>
        </w:tc>
        <w:tc>
          <w:tcPr>
            <w:tcW w:w="8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52</w:t>
            </w:r>
          </w:p>
        </w:tc>
        <w:tc>
          <w:tcPr>
            <w:tcW w:w="7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328"/>
        </w:trPr>
        <w:tc>
          <w:tcPr>
            <w:tcW w:w="3080" w:type="dxa"/>
            <w:vAlign w:val="bottom"/>
          </w:tcPr>
          <w:p>
            <w:pPr>
              <w:spacing w:after="0"/>
              <w:rPr>
                <w:sz w:val="20"/>
                <w:szCs w:val="20"/>
                <w:color w:val="auto"/>
              </w:rPr>
            </w:pPr>
            <w:r>
              <w:rPr>
                <w:rFonts w:ascii="Arial" w:cs="Arial" w:eastAsia="Arial" w:hAnsi="Arial"/>
                <w:sz w:val="18"/>
                <w:szCs w:val="18"/>
                <w:color w:val="auto"/>
              </w:rPr>
              <w:t>Jonathan Lim, M.D.</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52</w:t>
            </w:r>
          </w:p>
        </w:tc>
        <w:tc>
          <w:tcPr>
            <w:tcW w:w="706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91"/>
        </w:trPr>
        <w:tc>
          <w:tcPr>
            <w:tcW w:w="3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60" w:type="dxa"/>
            <w:vAlign w:val="bottom"/>
          </w:tcPr>
          <w:p>
            <w:pPr>
              <w:spacing w:after="0"/>
              <w:rPr>
                <w:sz w:val="7"/>
                <w:szCs w:val="7"/>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Richard Scheller, Ph.D.</w:t>
            </w:r>
          </w:p>
        </w:tc>
        <w:tc>
          <w:tcPr>
            <w:tcW w:w="8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70</w:t>
            </w:r>
          </w:p>
        </w:tc>
        <w:tc>
          <w:tcPr>
            <w:tcW w:w="7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328"/>
        </w:trPr>
        <w:tc>
          <w:tcPr>
            <w:tcW w:w="3080" w:type="dxa"/>
            <w:vAlign w:val="bottom"/>
          </w:tcPr>
          <w:p>
            <w:pPr>
              <w:spacing w:after="0"/>
              <w:rPr>
                <w:sz w:val="20"/>
                <w:szCs w:val="20"/>
                <w:color w:val="auto"/>
              </w:rPr>
            </w:pPr>
            <w:r>
              <w:rPr>
                <w:rFonts w:ascii="Arial" w:cs="Arial" w:eastAsia="Arial" w:hAnsi="Arial"/>
                <w:sz w:val="18"/>
                <w:szCs w:val="18"/>
                <w:color w:val="auto"/>
              </w:rPr>
              <w:t>Catherine Angell Sohn, Pharm. D.</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71</w:t>
            </w:r>
          </w:p>
        </w:tc>
        <w:tc>
          <w:tcPr>
            <w:tcW w:w="706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90"/>
        </w:trPr>
        <w:tc>
          <w:tcPr>
            <w:tcW w:w="3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60" w:type="dxa"/>
            <w:vAlign w:val="bottom"/>
          </w:tcPr>
          <w:p>
            <w:pPr>
              <w:spacing w:after="0"/>
              <w:rPr>
                <w:sz w:val="7"/>
                <w:szCs w:val="7"/>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Daniel Spiegelman</w:t>
            </w:r>
          </w:p>
        </w:tc>
        <w:tc>
          <w:tcPr>
            <w:tcW w:w="8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64</w:t>
            </w:r>
          </w:p>
        </w:tc>
        <w:tc>
          <w:tcPr>
            <w:tcW w:w="7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r>
        <w:trPr>
          <w:trHeight w:val="328"/>
        </w:trPr>
        <w:tc>
          <w:tcPr>
            <w:tcW w:w="3080" w:type="dxa"/>
            <w:vAlign w:val="bottom"/>
          </w:tcPr>
          <w:p>
            <w:pPr>
              <w:spacing w:after="0"/>
              <w:rPr>
                <w:sz w:val="20"/>
                <w:szCs w:val="20"/>
                <w:color w:val="auto"/>
              </w:rPr>
            </w:pPr>
            <w:r>
              <w:rPr>
                <w:rFonts w:ascii="Arial" w:cs="Arial" w:eastAsia="Arial" w:hAnsi="Arial"/>
                <w:sz w:val="18"/>
                <w:szCs w:val="18"/>
                <w:color w:val="auto"/>
              </w:rPr>
              <w:t>Jeffrey Tong, Ph.D.</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49</w:t>
            </w:r>
          </w:p>
        </w:tc>
        <w:tc>
          <w:tcPr>
            <w:tcW w:w="7060" w:type="dxa"/>
            <w:vAlign w:val="bottom"/>
          </w:tcPr>
          <w:p>
            <w:pPr>
              <w:ind w:left="200"/>
              <w:spacing w:after="0"/>
              <w:rPr>
                <w:sz w:val="20"/>
                <w:szCs w:val="20"/>
                <w:color w:val="auto"/>
              </w:rPr>
            </w:pPr>
            <w:r>
              <w:rPr>
                <w:rFonts w:ascii="Arial" w:cs="Arial" w:eastAsia="Arial" w:hAnsi="Arial"/>
                <w:sz w:val="18"/>
                <w:szCs w:val="18"/>
                <w:color w:val="auto"/>
              </w:rPr>
              <w:t>Director</w:t>
            </w:r>
          </w:p>
        </w:tc>
      </w:tr>
      <w:tr>
        <w:trPr>
          <w:trHeight w:val="90"/>
        </w:trPr>
        <w:tc>
          <w:tcPr>
            <w:tcW w:w="3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60" w:type="dxa"/>
            <w:vAlign w:val="bottom"/>
          </w:tcPr>
          <w:p>
            <w:pPr>
              <w:spacing w:after="0"/>
              <w:rPr>
                <w:sz w:val="7"/>
                <w:szCs w:val="7"/>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Andy Tran</w:t>
            </w:r>
          </w:p>
        </w:tc>
        <w:tc>
          <w:tcPr>
            <w:tcW w:w="88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29</w:t>
            </w:r>
          </w:p>
        </w:tc>
        <w:tc>
          <w:tcPr>
            <w:tcW w:w="70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4" w:lineRule="exact"/>
        <w:rPr>
          <w:sz w:val="20"/>
          <w:szCs w:val="20"/>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Member of the Nominating and Governance Committee.</w:t>
      </w:r>
    </w:p>
    <w:p>
      <w:pPr>
        <w:spacing w:after="0" w:line="93" w:lineRule="exact"/>
        <w:rPr>
          <w:rFonts w:ascii="Arial" w:cs="Arial" w:eastAsia="Arial" w:hAnsi="Arial"/>
          <w:sz w:val="13"/>
          <w:szCs w:val="13"/>
          <w:color w:val="auto"/>
        </w:rPr>
      </w:pPr>
    </w:p>
    <w:p>
      <w:pPr>
        <w:ind w:left="440" w:right="320" w:hanging="324"/>
        <w:spacing w:after="0" w:line="260"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Dr. Bulik-Sullivan has indicated to us that he intends to resign from the Board of Directors prior to the public filing of the registration statement of which this prospectus forms a part.</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42" w:lineRule="exact"/>
        <w:rPr>
          <w:sz w:val="20"/>
          <w:szCs w:val="20"/>
          <w:color w:val="auto"/>
        </w:rPr>
      </w:pPr>
    </w:p>
    <w:p>
      <w:pPr>
        <w:ind w:left="120" w:right="140"/>
        <w:spacing w:after="0" w:line="256" w:lineRule="auto"/>
        <w:rPr>
          <w:sz w:val="20"/>
          <w:szCs w:val="20"/>
          <w:color w:val="auto"/>
        </w:rPr>
      </w:pPr>
      <w:r>
        <w:rPr>
          <w:rFonts w:ascii="Arial" w:cs="Arial" w:eastAsia="Arial" w:hAnsi="Arial"/>
          <w:sz w:val="17"/>
          <w:szCs w:val="17"/>
          <w:b w:val="1"/>
          <w:bCs w:val="1"/>
          <w:color w:val="auto"/>
        </w:rPr>
        <w:t xml:space="preserve">Jason Coloma, Ph.D., </w:t>
      </w:r>
      <w:r>
        <w:rPr>
          <w:rFonts w:ascii="Arial" w:cs="Arial" w:eastAsia="Arial" w:hAnsi="Arial"/>
          <w:sz w:val="17"/>
          <w:szCs w:val="17"/>
          <w:color w:val="auto"/>
        </w:rPr>
        <w:t>has served as our President, Chief Executive Officer, and member of our board of directors since July 2019.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that, he served as a venture partner at Third Rock Ventures, a venture capital firm, from June 2016 to July 2019. Previously, he held several roles at Roche, a multinational healthcare company, and Genentech, a biotechnology company, between August 2007 and July 2016, including Vice President &amp; Global Therapeutic Area Head of Oncology Partnering as well as Global Head of Research Technology Partnering. Before joining Roche and Genentech, Dr. Coloma was a consultant in the life sciences practice at L.E.K. Consulting LLC, a global strategy consulting firm. He also worked in research at the University of California, San Francisco, and Cytokinetics, Incorporated, late -stage biopharmaceutical company. Dr. Coloma holds a Ph.D. and M.P.H. from the University of California, Berkeley, an M.B.A. from the Tuck School of Business at Dartmouth College, and a B.S. in Biology from the University of San Francisco.</w:t>
      </w:r>
    </w:p>
    <w:p>
      <w:pPr>
        <w:spacing w:after="0" w:line="87"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b w:val="1"/>
          <w:bCs w:val="1"/>
          <w:color w:val="auto"/>
        </w:rPr>
        <w:t xml:space="preserve">Harold S. Bernstein M.D., Ph.D., </w:t>
      </w:r>
      <w:r>
        <w:rPr>
          <w:rFonts w:ascii="Arial" w:cs="Arial" w:eastAsia="Arial" w:hAnsi="Arial"/>
          <w:sz w:val="18"/>
          <w:szCs w:val="18"/>
          <w:color w:val="auto"/>
        </w:rPr>
        <w:t>has served as our President, Head of Research and Development, and Chief Medical Officer since</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2022. Prior to working at our company, Dr. Bernstein was Chief Medical Officer,</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Head of Global Clinical Development and Senior Vice President of Worldwide Research and Development at BioMarin Pharmaceutical Inc., global biotechnology company, from October 2021 to September 2022. Before that, Dr. Bernstein served as Head of Translational Medicine and Vice President of Global Medicines Development and Medical Affairs at Vertex, a biopharmaceutical company, from October 2017 to September 2021. Prior to that, Dr. Bernstein served as Head of Cardiometabolic Diseases Early Clinical Development and Executive Director at Merck &amp; Co., Inc., multinational pharmaceutical company, from January 2013 to September 2017. Since July 2013, Dr. Bernstein has served as Adjunct Professor of Pediatrics (Cardiology) at the Mindich Child Health Development Institute at the Icahn School of Medicine at Mount Sinai. Dr. Bernstein also served as Professor of Pediatrics and a Senior Investigator at the Cardiovascular Research Institute and the Broad Center of Regeneration Medicine and Stem Cell Research at the University of California, San Francisco (UCSF) from January 1997 to June 2013. Dr. Bernstein holds an A.B. in Biological Sciences from Harvard College and an M.Phil., Ph.D. and M.D. from the Icahn School of Medicine at Mount Sinai.</w:t>
      </w:r>
    </w:p>
    <w:p>
      <w:pPr>
        <w:spacing w:after="0" w:line="112" w:lineRule="exact"/>
        <w:rPr>
          <w:sz w:val="20"/>
          <w:szCs w:val="20"/>
          <w:color w:val="auto"/>
        </w:rPr>
      </w:pPr>
    </w:p>
    <w:p>
      <w:pPr>
        <w:ind w:left="120" w:right="200"/>
        <w:spacing w:after="0"/>
        <w:rPr>
          <w:sz w:val="20"/>
          <w:szCs w:val="20"/>
          <w:color w:val="auto"/>
        </w:rPr>
      </w:pPr>
      <w:r>
        <w:rPr>
          <w:rFonts w:ascii="Arial" w:cs="Arial" w:eastAsia="Arial" w:hAnsi="Arial"/>
          <w:sz w:val="18"/>
          <w:szCs w:val="18"/>
          <w:b w:val="1"/>
          <w:bCs w:val="1"/>
          <w:color w:val="auto"/>
        </w:rPr>
        <w:t xml:space="preserve">Atul Dandekar </w:t>
      </w:r>
      <w:r>
        <w:rPr>
          <w:rFonts w:ascii="Arial" w:cs="Arial" w:eastAsia="Arial" w:hAnsi="Arial"/>
          <w:sz w:val="18"/>
          <w:szCs w:val="18"/>
          <w:color w:val="auto"/>
        </w:rPr>
        <w:t>has served as our Chief Strategy Officer since March 2021. In this role, Mr. Dandekar is responsible for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partnering, portfolio management and corporate strategy. Prior to working at our company, Mr. Dandekar held various positions at Genentech, a biotechnology corporation, including Vice President and Head of Global Ophthalmology Business Franchise, from January 2014 to March 2021. Prior to Genentech, Mr. Dandekar served in various positions at Novartis AG, a multinational pharmaceutical corporation, from February 2007 to December 2013, most recently as its Senior Global Program Head, Neurology. He is the co-founder of Ollin Biosciences, a private biotechnology company. Since March 2021, Mr. Dandekar has served as a director at Broadwing, a private biotechnology company. Mr. Dandekar holds a bachelor’s degree in medicine and a masters in marketing from Mumbai University, as well as a post-graduate marketing degree from Monash University.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42"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b w:val="1"/>
          <w:bCs w:val="1"/>
          <w:color w:val="auto"/>
        </w:rPr>
        <w:t>Charles Homcy, M.D.</w:t>
      </w:r>
      <w:r>
        <w:rPr>
          <w:rFonts w:ascii="Arial" w:cs="Arial" w:eastAsia="Arial" w:hAnsi="Arial"/>
          <w:sz w:val="18"/>
          <w:szCs w:val="18"/>
          <w:color w:val="auto"/>
        </w:rPr>
        <w:t>, has served as the chairman of our board of directors since June 2018. Dr. Homcy previously served as a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Third Rock Ventures, a venture capital firm, from September 2010 to October 2019 where he currently serves in an advisory capacity.</w:t>
      </w:r>
    </w:p>
    <w:p>
      <w:pPr>
        <w:ind w:left="120"/>
        <w:spacing w:after="0" w:line="236" w:lineRule="auto"/>
        <w:rPr>
          <w:sz w:val="20"/>
          <w:szCs w:val="20"/>
          <w:color w:val="auto"/>
        </w:rPr>
      </w:pPr>
      <w:r>
        <w:rPr>
          <w:rFonts w:ascii="Arial" w:cs="Arial" w:eastAsia="Arial" w:hAnsi="Arial"/>
          <w:sz w:val="18"/>
          <w:szCs w:val="18"/>
          <w:color w:val="auto"/>
        </w:rPr>
        <w:t>Dr. Homcy is also a co-founder of BridgeBio Pharma, Inc., a publicly traded biotechnology company, and has served as a member of its board of directors since November 2018, as Chairman of Pharmaceuticals since February 2019, and as lead director since February 2020. In 2003, Dr. Homcy co-founded Portola Pharmaceuticals, LLC, a clinical biotechnology company, and served as President and Chief Executive Officer until 2010. Prior to that, Dr. Homcy served as director and the President of Research and Development at Millennium Pharmaceuticals, Inc. He was previously President of the medical research division of American Cyanamid &amp; Chemical Corporation’s American Cyanamid-Lederle Laboratories. Dr. Homcy was a clinical professor of medicine at the University of California, San Francisco Medical School, and attending physician at the San Francisco Veterans Affairs Hospital from 1997 to 2008. He was previously a member of the Cardiac Unit of the Massachusetts General Hospital and an Associate Professor of Medicine at Harvard Medical School. Dr. Homcy holds an A.B. in Biology and an M.D. from Johns Hopkins University and is an Emeritus Trustee. Dr. Homcy is a co-founder of multiple privately held biotechnology companies including Global Blood Therapeutics, Inc., MyoKardia, Inc., Relay Therapeutics, Inc., Pliant Therapeutics Inc., and Marea Therapeutics. We believe Dr. Homcy is qualified to serve on our board of directors based on his significant experience building and leading successful biotechnology companies and his scientific expertise.</w:t>
      </w:r>
    </w:p>
    <w:p>
      <w:pPr>
        <w:spacing w:after="0" w:line="118"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b w:val="1"/>
          <w:bCs w:val="1"/>
          <w:color w:val="auto"/>
        </w:rPr>
        <w:t>Nancy C. Andrews, M.D., Ph.D</w:t>
      </w:r>
      <w:r>
        <w:rPr>
          <w:rFonts w:ascii="Arial" w:cs="Arial" w:eastAsia="Arial" w:hAnsi="Arial"/>
          <w:sz w:val="18"/>
          <w:szCs w:val="18"/>
          <w:color w:val="auto"/>
        </w:rPr>
        <w:t>., has served as a member of our board of directors since January 2021. Dr. Andrews has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and Chief Scientific Officer at Boston Children’s Hospital since December 2021. She is also Professor in Residence of Pediatrics at Harvard Medical School. She was previously at Duke University from October 2007 to December 2021, where she served as Dean of the School of</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Medicine, Vice Chancellor for Academic Affairs, Professor of Pediatrics and Professor of Pharmacology &amp; Cancer Biology. From 2003 to 2007, she served as Dean for Basic Sciences and Graduate Studies and Professor of Pediatrics at Harvard University Medical School. From 1999 to 2003, she served as director of the Harvard-Massachusetts Institute of Technology M.D./Ph.D. Program, and the principal investigator of its MSTP grant. From 1993 to 2006, she was a biomedical research investigator of the Howard Hughes Medical Institute. Dr. Andrews is an elected member of the American Academy of Arts and Sciences, the National Academy of Medicine, and the National Academy of Sciences, where she currently serves as Home Secretary. She has also served on the board of trustees of the Massachusetts Institute of Technology, the MIT Corporation. Since July 2018, she has served as a member of the Scientific Advisory Board of Dyne Therapeutics, Inc., clinical-stage muscle disease company. Dr. Andrews has also served on the board of directors of Novartis AG, a multinational pharmaceutical corporation since February 2015, and Charles River Laboratories, Inc, a pharmaceutical company, since February 2020. She received her B.S. and M.S. from Yale University, her Ph.D. from Massachusetts Institute of Technology, and her M.D. from Harvard Medical School. We believe Dr. Andrews is qualified to serve on our board of directors due to her extensive scientific leadership and expertise in oncology, genetics, and pediatric research.</w:t>
      </w:r>
    </w:p>
    <w:p>
      <w:pPr>
        <w:spacing w:after="0" w:line="115" w:lineRule="exact"/>
        <w:rPr>
          <w:sz w:val="20"/>
          <w:szCs w:val="20"/>
          <w:color w:val="auto"/>
        </w:rPr>
      </w:pPr>
    </w:p>
    <w:p>
      <w:pPr>
        <w:ind w:left="120" w:right="80"/>
        <w:spacing w:after="0"/>
        <w:rPr>
          <w:sz w:val="20"/>
          <w:szCs w:val="20"/>
          <w:color w:val="auto"/>
        </w:rPr>
      </w:pPr>
      <w:r>
        <w:rPr>
          <w:rFonts w:ascii="Arial" w:cs="Arial" w:eastAsia="Arial" w:hAnsi="Arial"/>
          <w:sz w:val="18"/>
          <w:szCs w:val="18"/>
          <w:b w:val="1"/>
          <w:bCs w:val="1"/>
          <w:color w:val="auto"/>
        </w:rPr>
        <w:t xml:space="preserve">Brendan Bulik-Sullivan, Ph.D. </w:t>
      </w:r>
      <w:r>
        <w:rPr>
          <w:rFonts w:ascii="Arial" w:cs="Arial" w:eastAsia="Arial" w:hAnsi="Arial"/>
          <w:sz w:val="18"/>
          <w:szCs w:val="18"/>
          <w:color w:val="auto"/>
        </w:rPr>
        <w:t xml:space="preserve">has served as a member of our board of directors since December 2019. From 2019 to 2023, Dr. Bulik-Sullivan served as a partner at GV, a venture capital firm. Before GV, he led machine learning at Gritstone Oncology, Inc. from October 2015 to November 2018. Prior to that, Dr. Bulik-Sullivan served as a bioinformatics analyst at the Broad Institute of MIT and Harvard from 2013 to 2015. His research has been published in journals including </w:t>
      </w:r>
      <w:r>
        <w:rPr>
          <w:rFonts w:ascii="Arial" w:cs="Arial" w:eastAsia="Arial" w:hAnsi="Arial"/>
          <w:sz w:val="18"/>
          <w:szCs w:val="18"/>
          <w:i w:val="1"/>
          <w:iCs w:val="1"/>
          <w:color w:val="auto"/>
        </w:rPr>
        <w:t>Nature</w:t>
      </w:r>
      <w:r>
        <w:rPr>
          <w:rFonts w:ascii="Arial" w:cs="Arial" w:eastAsia="Arial" w:hAnsi="Arial"/>
          <w:sz w:val="18"/>
          <w:szCs w:val="18"/>
          <w:color w:val="auto"/>
        </w:rPr>
        <w:t xml:space="preserve">, </w:t>
      </w:r>
      <w:r>
        <w:rPr>
          <w:rFonts w:ascii="Arial" w:cs="Arial" w:eastAsia="Arial" w:hAnsi="Arial"/>
          <w:sz w:val="18"/>
          <w:szCs w:val="18"/>
          <w:i w:val="1"/>
          <w:iCs w:val="1"/>
          <w:color w:val="auto"/>
        </w:rPr>
        <w:t>Science</w:t>
      </w:r>
      <w:r>
        <w:rPr>
          <w:rFonts w:ascii="Arial" w:cs="Arial" w:eastAsia="Arial" w:hAnsi="Arial"/>
          <w:sz w:val="18"/>
          <w:szCs w:val="18"/>
          <w:color w:val="auto"/>
        </w:rPr>
        <w:t xml:space="preserve">, </w:t>
      </w:r>
      <w:r>
        <w:rPr>
          <w:rFonts w:ascii="Arial" w:cs="Arial" w:eastAsia="Arial" w:hAnsi="Arial"/>
          <w:sz w:val="18"/>
          <w:szCs w:val="18"/>
          <w:i w:val="1"/>
          <w:iCs w:val="1"/>
          <w:color w:val="auto"/>
        </w:rPr>
        <w:t>Nature Biotechnology</w:t>
      </w:r>
      <w:r>
        <w:rPr>
          <w:rFonts w:ascii="Arial" w:cs="Arial" w:eastAsia="Arial" w:hAnsi="Arial"/>
          <w:sz w:val="18"/>
          <w:szCs w:val="18"/>
          <w:color w:val="auto"/>
        </w:rPr>
        <w:t xml:space="preserve"> and </w:t>
      </w:r>
      <w:r>
        <w:rPr>
          <w:rFonts w:ascii="Arial" w:cs="Arial" w:eastAsia="Arial" w:hAnsi="Arial"/>
          <w:sz w:val="18"/>
          <w:szCs w:val="18"/>
          <w:i w:val="1"/>
          <w:iCs w:val="1"/>
          <w:color w:val="auto"/>
        </w:rPr>
        <w:t>Nature Genetics</w:t>
      </w:r>
      <w:r>
        <w:rPr>
          <w:rFonts w:ascii="Arial" w:cs="Arial" w:eastAsia="Arial" w:hAnsi="Arial"/>
          <w:sz w:val="18"/>
          <w:szCs w:val="18"/>
          <w:color w:val="auto"/>
        </w:rPr>
        <w:t>.</w:t>
      </w:r>
    </w:p>
    <w:p>
      <w:pPr>
        <w:ind w:left="120" w:right="80"/>
        <w:spacing w:after="0" w:line="242" w:lineRule="auto"/>
        <w:rPr>
          <w:sz w:val="20"/>
          <w:szCs w:val="20"/>
          <w:color w:val="auto"/>
        </w:rPr>
      </w:pPr>
      <w:r>
        <w:rPr>
          <w:rFonts w:ascii="Arial" w:cs="Arial" w:eastAsia="Arial" w:hAnsi="Arial"/>
          <w:sz w:val="18"/>
          <w:szCs w:val="18"/>
          <w:color w:val="auto"/>
        </w:rPr>
        <w:t>Dr. Bulik-Sullivan holds a B.A. in Mathematics from the University of California, Berkeley and a Ph.D. in Statistical Genetics from Vrije Universiteit Amsterdam. We believe Dr. Bulik-Sullivan is qualified to serve on our board of directors based on his experience as a venture capital investor and his scientific expertise.</w:t>
      </w:r>
    </w:p>
    <w:p>
      <w:pPr>
        <w:spacing w:after="0" w:line="112" w:lineRule="exact"/>
        <w:rPr>
          <w:sz w:val="20"/>
          <w:szCs w:val="20"/>
          <w:color w:val="auto"/>
        </w:rPr>
      </w:pPr>
    </w:p>
    <w:p>
      <w:pPr>
        <w:ind w:left="120" w:right="60"/>
        <w:spacing w:after="0" w:line="251" w:lineRule="auto"/>
        <w:rPr>
          <w:sz w:val="20"/>
          <w:szCs w:val="20"/>
          <w:color w:val="auto"/>
        </w:rPr>
      </w:pPr>
      <w:r>
        <w:rPr>
          <w:rFonts w:ascii="Arial" w:cs="Arial" w:eastAsia="Arial" w:hAnsi="Arial"/>
          <w:sz w:val="17"/>
          <w:szCs w:val="17"/>
          <w:b w:val="1"/>
          <w:bCs w:val="1"/>
          <w:color w:val="auto"/>
        </w:rPr>
        <w:t xml:space="preserve">Sekar Kathiresan, M.D. </w:t>
      </w:r>
      <w:r>
        <w:rPr>
          <w:rFonts w:ascii="Arial" w:cs="Arial" w:eastAsia="Arial" w:hAnsi="Arial"/>
          <w:sz w:val="17"/>
          <w:szCs w:val="17"/>
          <w:color w:val="auto"/>
        </w:rPr>
        <w:t>has served as a member of our board of directors since April 2022. Dr. Kathiresan is the co-founder and since</w:t>
      </w:r>
      <w:r>
        <w:rPr>
          <w:rFonts w:ascii="Arial" w:cs="Arial" w:eastAsia="Arial" w:hAnsi="Arial"/>
          <w:sz w:val="17"/>
          <w:szCs w:val="17"/>
          <w:b w:val="1"/>
          <w:bCs w:val="1"/>
          <w:color w:val="auto"/>
        </w:rPr>
        <w:t xml:space="preserve"> </w:t>
      </w:r>
      <w:r>
        <w:rPr>
          <w:rFonts w:ascii="Arial" w:cs="Arial" w:eastAsia="Arial" w:hAnsi="Arial"/>
          <w:sz w:val="17"/>
          <w:szCs w:val="17"/>
          <w:color w:val="auto"/>
        </w:rPr>
        <w:t>July 2019 has served as the Chief Executive Officer and as member of the board of directors of Verve Therapeutics, Inc. Since July 2022, Dr. Kathiresan has served on the board of directors of Relay Therapeutics, Inc. From June 1997 until September 2021, Dr. Kathiresan served as a Physician (Cardiology) at Massachusetts General Hospital, where he was also the Director of Preventative Cardiology from June 2006 to June 2016 and the Director of the Center for Genomic Medicine from April 2016 to June 2019. Dr. Kathiresan has served as an Honorary Physician in the Department of Medicine at Massachusetts General Hospital since September 2021. Dr. Kathiresan served as a Professor of Medicine at Harvard Medical school from July 2018 to July 2021 and is currently at Lecturer in Medicine at Harvard Medical School. From February 2008 to June 2019, Dr. Kathiresan served as a Principal Investigator at the Broad Institute of MIT and Harvard, where he also served as a Co-Director of the Program in Medical and Population Genetics from June 2014 to June 2019.</w:t>
      </w:r>
    </w:p>
    <w:p>
      <w:pPr>
        <w:spacing w:after="0" w:line="1" w:lineRule="exact"/>
        <w:rPr>
          <w:sz w:val="20"/>
          <w:szCs w:val="20"/>
          <w:color w:val="auto"/>
        </w:rPr>
      </w:pPr>
    </w:p>
    <w:p>
      <w:pPr>
        <w:jc w:val="both"/>
        <w:ind w:left="120" w:right="420"/>
        <w:spacing w:after="0" w:line="242" w:lineRule="auto"/>
        <w:rPr>
          <w:sz w:val="20"/>
          <w:szCs w:val="20"/>
          <w:color w:val="auto"/>
        </w:rPr>
      </w:pPr>
      <w:r>
        <w:rPr>
          <w:rFonts w:ascii="Arial" w:cs="Arial" w:eastAsia="Arial" w:hAnsi="Arial"/>
          <w:sz w:val="18"/>
          <w:szCs w:val="18"/>
          <w:color w:val="auto"/>
        </w:rPr>
        <w:t>Dr. Kathiresan holds a B.A. in History from the University of Pennsylvania and an M.D. from Harvard Medical School. We believe that Dr. Kathiresan is qualified to serve on our board of directors based on his significant medical expertise and his significant experience researching genetics and CV disease.</w:t>
      </w:r>
    </w:p>
    <w:p>
      <w:pPr>
        <w:spacing w:after="0" w:line="98" w:lineRule="exact"/>
        <w:rPr>
          <w:sz w:val="20"/>
          <w:szCs w:val="20"/>
          <w:color w:val="auto"/>
        </w:rPr>
      </w:pPr>
    </w:p>
    <w:p>
      <w:pPr>
        <w:ind w:left="120" w:right="100"/>
        <w:spacing w:after="0"/>
        <w:rPr>
          <w:sz w:val="20"/>
          <w:szCs w:val="20"/>
          <w:color w:val="auto"/>
        </w:rPr>
      </w:pPr>
      <w:r>
        <w:rPr>
          <w:rFonts w:ascii="Arial" w:cs="Arial" w:eastAsia="Arial" w:hAnsi="Arial"/>
          <w:sz w:val="18"/>
          <w:szCs w:val="18"/>
          <w:b w:val="1"/>
          <w:bCs w:val="1"/>
          <w:color w:val="auto"/>
        </w:rPr>
        <w:t>Jonathan Lim, M.D.</w:t>
      </w:r>
      <w:r>
        <w:rPr>
          <w:rFonts w:ascii="Arial" w:cs="Arial" w:eastAsia="Arial" w:hAnsi="Arial"/>
          <w:sz w:val="18"/>
          <w:szCs w:val="18"/>
          <w:color w:val="auto"/>
        </w:rPr>
        <w:t>, has served as a member of our board of directors since October 2019. Dr. Lim has served as a Venture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ARCH Venture Partners, LLC, a venture capital firm, since December 2018. Dr. Lim co-founded Erasca, Inc., a clinical-stage precision oncology company, in July 2018 and currently serves as the Chairman of its board of directors and Chief Executive Officer. Since December 2018, Dr. Lim has also served as the Chairman and Co-founder at Boundless Bio, Inc., a biotechnology company. Dr. Lim is also the Managing Partner and Founder of City Hill, LLC, a venture capital firm. Previously, Dr. Lim co-founded Ignyta, Inc., a pharmaceutical company, in 2011 and served as the Chairman of its board of directors, President and Chief Executive Officer until its acquisition by Roche, a multinational healthcare company, in December 2018. He also previously served as Chairman and Co-founder of Bonti, Inc., a clinical-stage biotechnology company, from</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2" w:lineRule="auto"/>
        <w:rPr>
          <w:sz w:val="20"/>
          <w:szCs w:val="20"/>
          <w:color w:val="auto"/>
        </w:rPr>
      </w:pPr>
      <w:r>
        <w:rPr>
          <w:rFonts w:ascii="Arial" w:cs="Arial" w:eastAsia="Arial" w:hAnsi="Arial"/>
          <w:sz w:val="17"/>
          <w:szCs w:val="17"/>
          <w:color w:val="auto"/>
        </w:rPr>
        <w:t>August 2015 until its October 2018 acquisition by Allergan PLC, a pharmaceutical company; Chairman, Chief Executive Officer and Co-founder of Eclipse Therapeutics, LLC, a private biotechnology company, from 2011 until its 2012 acquisition by Bionomics Ltd., clinical-stage biopharmaceutical company; and President, Chief Executive Officer and Chairman-then-Director of Halozyme Therapeutics, Inc., a biotechnology company, from 2003 to 2010. From 2001 to 2003, Dr. Lim was a management consultant at McKinsey &amp; Company, a global management consulting firm, where he specialized in the healthcare industry. From 1999 to 2001, Dr. Lim was a recipient of a National Institutes of Health Postdoctoral Fellowship, during which time he conducted clinical outcomes research at Harvard Medical School.</w:t>
      </w:r>
    </w:p>
    <w:p>
      <w:pPr>
        <w:spacing w:after="0" w:line="2"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Dr. Lim’s prior experience also includes two years of clinical training in general surgery at the New York Hospital-Cornell Medical Center and Memorial Sloan-Kettering Cancer Center. Dr. Lim received an M.P.H. in Health Care Management from Harvard University, an M.D. from McGill University, and a B.S. and M.S. in Biological Sciences from Stanford University. We believe Dr. Lim is qualified to serve on our board of directors based on his significant experience building and leading successful biotechnology companies and his scientific and clinical expertise.</w:t>
      </w:r>
    </w:p>
    <w:p>
      <w:pPr>
        <w:spacing w:after="0" w:line="11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b w:val="1"/>
          <w:bCs w:val="1"/>
          <w:color w:val="auto"/>
        </w:rPr>
        <w:t xml:space="preserve">Richard Scheller, Ph.D., </w:t>
      </w:r>
      <w:r>
        <w:rPr>
          <w:rFonts w:ascii="Arial" w:cs="Arial" w:eastAsia="Arial" w:hAnsi="Arial"/>
          <w:sz w:val="18"/>
          <w:szCs w:val="18"/>
          <w:color w:val="auto"/>
        </w:rPr>
        <w:t>has served as a member of our board of directors since June 2019. Dr. Scheller is currently the Chair of</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at BridgeBio Pharma Inc., a biotechnology company, a role he has served since January 2019, and served as a member of its board of directors from January 2018 to February 2021. He was previously the Head of Therapeutics and Chief Scientific Officer at 23andMe, Inc., a personal genomics company, from 2015 to 2019 and since early 2019 has served on that company’s board of directors. He also serves on the board of directors of Alector, Inc. From 2001 to 2014, Dr. Scheller spent 14 years at Genentech, a biotechnology company, where he was Executive Vice President of Research and Early Development. From 1982 to 2001, Dr. Scheller served on the faculty of Stanford University as a professor in the Department of Biological Sciences and the Department of Molecular and Cellular Physiology and was an investigator at the Howard Hughes Medical Institute of Stanford University Medical Center. Since 2004, Dr. Scheller has served as an adjunct professor in the Department of Biochemistry and Biophysics at the University of California, San Francisco. He has published more than 200 primary research papers during his career. Dr. Scheller received the Kavli Prize in Neuroscience (2010) and is a Member of the National Academy of Sciences and the National Academy of Medicine. Dr. Scheller received a Ph.D. in Chemistry from California Institute of Technology and a B.S. in Biochemistry from the University of Wisconsin-Madison. We believe Dr. Scheller is qualified to serve on our board of directors based on his significant experience building and leading successful biotechnology companies and his scientific expertise.</w:t>
      </w:r>
    </w:p>
    <w:p>
      <w:pPr>
        <w:spacing w:after="0" w:line="122"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b w:val="1"/>
          <w:bCs w:val="1"/>
          <w:color w:val="auto"/>
        </w:rPr>
        <w:t xml:space="preserve">Catherine Angell Sohn, Pharm. D., </w:t>
      </w:r>
      <w:r>
        <w:rPr>
          <w:rFonts w:ascii="Arial" w:cs="Arial" w:eastAsia="Arial" w:hAnsi="Arial"/>
          <w:sz w:val="17"/>
          <w:szCs w:val="17"/>
          <w:color w:val="auto"/>
        </w:rPr>
        <w:t>has served as a member of our board of directors since January 2021. Since January 2011, Dr. Sohn</w:t>
      </w:r>
      <w:r>
        <w:rPr>
          <w:rFonts w:ascii="Arial" w:cs="Arial" w:eastAsia="Arial" w:hAnsi="Arial"/>
          <w:sz w:val="17"/>
          <w:szCs w:val="17"/>
          <w:b w:val="1"/>
          <w:bCs w:val="1"/>
          <w:color w:val="auto"/>
        </w:rPr>
        <w:t xml:space="preserve"> </w:t>
      </w:r>
      <w:r>
        <w:rPr>
          <w:rFonts w:ascii="Arial" w:cs="Arial" w:eastAsia="Arial" w:hAnsi="Arial"/>
          <w:sz w:val="17"/>
          <w:szCs w:val="17"/>
          <w:color w:val="auto"/>
        </w:rPr>
        <w:t>has consulted for pharmaceutical, biotechnology, medical device and consumer healthcare companies in the areas of business strategy, business development, strategic product development and commercial launch at Sohn Health Strategies, LLC, which she founded and serves as President. Since March 2023, Dr. Sohn has served on the board of directors of Altimmune Inc, a public biopharmaceutical company, and she is a non-executive chair at BioEclipse Therapeutics, a privately held biotechnology company. Dr. Sohn serves on the board of directors of Jazz Pharmaceuticals plc, a global biopharmaceutical company. Dr. Sohn served at GlaxoSmithKline plc and its predecessor companies, SmithKline Beecham and SK&amp;F, most recently as Senior Vice President. From 1994 to 1998, she was Vice President of Worldwide Strategic Product Development for Cardiovascular, Pulmonary and Metabolic Therapeutic Areas. Earlier in her career, as an entrepreneur within a large company, she started the U.S. Vaccine Business and led the launch of SmithKline Beecham’s first vaccine in the United States and helped shape the global vaccine portfolio pipeline as a member of the International Vaccine Steering Committee. Dr. Sohn received a Pharm. D. from the University of California, San Francisco, a Corporate Directors Certificate from Harvard Business School, a Certificate of Professional Development from the Wharton School at the University of Pennsylvania, and a Certificate from Berkeley Law for ESG: Navigating the Board’s Role, and is a Certified Licensing Professional Emeritus. Since 2016, she has also</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8"/>
          <w:szCs w:val="18"/>
          <w:color w:val="auto"/>
        </w:rPr>
        <w:t>served as an Adjunct Professor at the University of California, San Francisco. We believe Dr. Sohn is qualified to serve on our board of directors based on her significant experience building and leading successful biopharmaceutical portfolios, her business development expertise and her governance experience as a public company board member.</w:t>
      </w:r>
    </w:p>
    <w:p>
      <w:pPr>
        <w:spacing w:after="0" w:line="10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b w:val="1"/>
          <w:bCs w:val="1"/>
          <w:color w:val="auto"/>
        </w:rPr>
        <w:t xml:space="preserve">Daniel Spiegelman </w:t>
      </w:r>
      <w:r>
        <w:rPr>
          <w:rFonts w:ascii="Arial" w:cs="Arial" w:eastAsia="Arial" w:hAnsi="Arial"/>
          <w:sz w:val="18"/>
          <w:szCs w:val="18"/>
          <w:color w:val="auto"/>
        </w:rPr>
        <w:t>has served as a member of our board of directors since October 2020. From May 2012 to February 2020,</w:t>
      </w:r>
      <w:r>
        <w:rPr>
          <w:rFonts w:ascii="Arial" w:cs="Arial" w:eastAsia="Arial" w:hAnsi="Arial"/>
          <w:sz w:val="18"/>
          <w:szCs w:val="18"/>
          <w:b w:val="1"/>
          <w:bCs w:val="1"/>
          <w:color w:val="auto"/>
        </w:rPr>
        <w:t xml:space="preserve"> </w:t>
      </w:r>
      <w:r>
        <w:rPr>
          <w:rFonts w:ascii="Arial" w:cs="Arial" w:eastAsia="Arial" w:hAnsi="Arial"/>
          <w:sz w:val="18"/>
          <w:szCs w:val="18"/>
          <w:color w:val="auto"/>
        </w:rPr>
        <w:t>Mr. Spiegelman served as the Executive Vice President and Chief Financial Officer of Biomarin Pharmaceuticals Inc., a global biotechnology company. From 1998 to 2009, Mr. Spiegelman served as Senior Vice President and Chief Financial Officer at CV Therapeutics, Inc., a biopharmaceutical company acquired in 2009 by Gilead Sciences, Inc., a research-based biopharmaceutical company. From 1991 to 1998, Mr. Spiegelman was an employee at Genentech, serving most recently as its Treasurer. Mr. Spiegelman serves on the board of directors of several publicly traded biopharmaceutical companies, including as the Audit Committee Chairman at Spruce Biosciences, Inc. since September 2020, as the Audit Committee Chairman at Kyverna Therapeutics, Inc. since April 2021, and on the board of directors of vTv Therapeutics Inc. since June 2024. Mr. Spiegelman has also served on the board of directors of Tiizona Therapeutics, Inc., a privately held biotechnology company since May 2019. Mr. Spiegelman previously served as a member of the boards of directors of a number of additional publicly traded and privately held biotechnology companies, including, but not limited to, Affymax, Inc., Relypsa Inc, Anthera Pharmaceuticals, Inc. and Cascadian Therapeutics, Inc. Mr. Spiegelman received his B.A. in Economics and M.B.A. from Stanford University. We believe Mr. Spiegelman is qualified to serve on our board of directors based on his significant experience and his significant insights into financial strategy and organizational development.</w:t>
      </w:r>
    </w:p>
    <w:p>
      <w:pPr>
        <w:spacing w:after="0" w:line="11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b w:val="1"/>
          <w:bCs w:val="1"/>
          <w:color w:val="auto"/>
        </w:rPr>
        <w:t xml:space="preserve">Jeffrey Tong, Ph.D. </w:t>
      </w:r>
      <w:r>
        <w:rPr>
          <w:rFonts w:ascii="Arial" w:cs="Arial" w:eastAsia="Arial" w:hAnsi="Arial"/>
          <w:sz w:val="18"/>
          <w:szCs w:val="18"/>
          <w:color w:val="auto"/>
        </w:rPr>
        <w:t>has served as a member of our board of directors since November 2018. Dr. Tong is currently a partner with Third</w:t>
      </w:r>
      <w:r>
        <w:rPr>
          <w:rFonts w:ascii="Arial" w:cs="Arial" w:eastAsia="Arial" w:hAnsi="Arial"/>
          <w:sz w:val="18"/>
          <w:szCs w:val="18"/>
          <w:b w:val="1"/>
          <w:bCs w:val="1"/>
          <w:color w:val="auto"/>
        </w:rPr>
        <w:t xml:space="preserve"> </w:t>
      </w:r>
      <w:r>
        <w:rPr>
          <w:rFonts w:ascii="Arial" w:cs="Arial" w:eastAsia="Arial" w:hAnsi="Arial"/>
          <w:sz w:val="18"/>
          <w:szCs w:val="18"/>
          <w:color w:val="auto"/>
        </w:rPr>
        <w:t>Rock Ventures, where he has worked since May 2016. Since 2022, Dr. Tong has served as a member of the board of directors at Rapport Therapeutics, Inc. From 2018 to 2021, he served as a member of the board of directors of Nurix Therapeutics, Inc. and Asher Biotherapeutics, and as Chairman of the board of directors of Ambys Medicines, Inc. Prior to joining Third Rock Ventures, from 2016 to 2017, Dr. Tong served as Executive Chairman of the board of directors of Delinia, Inc. (acquired by Celgene Corporation in 2017), a company developing novel therapeutics for the treatment of autoimmune diseases. From 2010 to 2015, he was the President and Chief Executive Officer of Nora Therapeutics, Inc. Prior to that, from 2001 to 2010, he was a member of the founding management team at Infinity Pharmaceuticals, Inc. where he led its corporate as well as product development activities. Earlier in his career, Dr. Tong worked at McKinsey &amp; Company and was a founding researcher at the Harvard Bauer Center for Genomics Research Over the course of his career, Dr. Tong has raised significant capital from both equity markets and pharma partnerships, led teams from preclinical through Phase 3 development, and developed integrated science/business strategies for building innovative biotechnology companies. Dr. Tong received his educational training at the interface of molecular biology, organic chemistry, and medicine. He holds an A.B. in Biochemical Sciences from Harvard College, an A.M. in Chemistry from Harvard University, a M.M.S. in Medicine from Harvard Medical School and a Ph.D. in Chemistry from Harvard University. He brings significant operational experience in building and growing early-stage biotechnology companies. We believe Dr. Tong is qualified to serve on our board of directors based on his significant experience building and leading successful biotechnology companies and his scientific expertise.</w:t>
      </w:r>
    </w:p>
    <w:p>
      <w:pPr>
        <w:spacing w:after="0" w:line="105"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b w:val="1"/>
          <w:bCs w:val="1"/>
          <w:color w:val="auto"/>
        </w:rPr>
        <w:t xml:space="preserve">Andy Tran </w:t>
      </w:r>
      <w:r>
        <w:rPr>
          <w:rFonts w:ascii="Arial" w:cs="Arial" w:eastAsia="Arial" w:hAnsi="Arial"/>
          <w:sz w:val="18"/>
          <w:szCs w:val="18"/>
          <w:color w:val="auto"/>
        </w:rPr>
        <w:t>has served as a member of our board of directors since December 2021. Since May 2021, Mr. Tran has worked for Matrix</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Management, a technology and life sciences investment firm, and currently serves as a Principal. From April 2018 to April 2021, Mr. Tran served as an Investment Partner at Andreessen Horowitz’s (a16z) Bio Fund, an investment fund investing in early-stage ventures in the life sciences. Mr. Tran currently serves as a member of the board of directors at GentiBio, Inc., an early stage biotherapeutics company, since September 2021. Mr. Tran also serves as a Board Observer at Recode Therapeutics. In addition, over the past several years, Mr. Tran has led investments in and served as a board observer of various private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biotechnology companies including Scribe Therapeutics Inc., a genetic medicines company, insitro, a biopharmaceutical company, Genesis Therapeutics Inc., a biotechnology company, Asimov, Inc., a biotechnology company, and Freenome Holdings, Inc., a biotechnology company. Prior to that, Mr. Tran served in the Global Technology Investment Banking Group at Morgan Stanley from June 2017 to April 2018. From 2013 to 2017, Mr. Tran worked as a biomedical researcher at Harvard Medical School in the Department of Genetics and Synthetic Biology. Mr. Tran holds a B.A. in Bioengineering and Computer Science from Harvard University. We believe Mr. Tran is qualified to serve on our board of directors based on his significant insight into building and leading successful biotechnology portfolios, working with and serving on the boards of multiple biotechnology companies, and his business development expertise.</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Election of executive officers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executive officers are appointed by, and serve at the discretion of, our board of directors.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Family relationships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composition</w:t>
      </w:r>
    </w:p>
    <w:p>
      <w:pPr>
        <w:spacing w:after="0" w:line="135"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Our board of directors currently consists of eleven members and following completion of this offering will consist of       members.       of our directors are independent within the meaning of the independent director guidelines of Nasdaq. Pursuant to our current certificate of incorporation and our amended and restated stockholders agreement, Dr. Bulik-Sullivan, Dr. Homcy, Dr. Tong and Mr. Tran have been designated to serve as members of our board of directors. Dr. Bulik-Sullivan was designated by GV 2019, L.P., Dr. Homcy and Dr. Tong were designated by Third Rock Ventures IV, L.P. and Mr. Tran was designated by Matrix Capital Management Master Fund LP. The amended and restated stockholders agreement and the provisions of our current certificate of incorporation that govern the election and designation of our directors will terminate in connection with this offering, after which no contractual obligations will concern the election of our directors.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Classified board of directors</w:t>
      </w:r>
    </w:p>
    <w:p>
      <w:pPr>
        <w:spacing w:after="0" w:line="135"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In accordance with the terms of our restated certificate of incorporation and restated bylaws that will become effective upon the completion of this offering, our board of directors will be divided into three staggered classes of directors. At each annual meeting of our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09" w:lineRule="exact"/>
        <w:rPr>
          <w:sz w:val="20"/>
          <w:szCs w:val="20"/>
          <w:color w:val="auto"/>
        </w:rPr>
      </w:pPr>
    </w:p>
    <w:p>
      <w:pPr>
        <w:ind w:left="340" w:right="40" w:hanging="224"/>
        <w:spacing w:after="0" w:line="271"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Class I directors will be        ,        and        and their terms will expire at the first annual meeting of our stockholders held following the completion of the offering;</w:t>
      </w:r>
    </w:p>
    <w:p>
      <w:pPr>
        <w:sectPr>
          <w:pgSz w:w="11900" w:h="16838" w:orient="portrait"/>
          <w:cols w:equalWidth="0" w:num="1">
            <w:col w:w="11140"/>
          </w:cols>
          <w:pgMar w:left="320" w:top="455" w:right="439" w:bottom="1440" w:gutter="0" w:footer="0" w:header="0"/>
        </w:sectPr>
      </w:pPr>
    </w:p>
    <w:p>
      <w:pPr>
        <w:spacing w:after="0" w:line="86"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Class II directors will be            ,            and </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4"/>
          <w:szCs w:val="4"/>
          <w:color w:val="auto"/>
        </w:rPr>
        <w:t> </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and their terms will expire at the second annual meeting of our stockholders</w:t>
      </w:r>
    </w:p>
    <w:p>
      <w:pPr>
        <w:spacing w:after="0" w:line="43" w:lineRule="exact"/>
        <w:rPr>
          <w:sz w:val="20"/>
          <w:szCs w:val="20"/>
          <w:color w:val="auto"/>
        </w:rPr>
      </w:pPr>
    </w:p>
    <w:p>
      <w:pPr>
        <w:sectPr>
          <w:pgSz w:w="11900" w:h="16838" w:orient="portrait"/>
          <w:cols w:equalWidth="0" w:num="4">
            <w:col w:w="4360" w:space="140"/>
            <w:col w:w="220" w:space="140"/>
            <w:col w:w="40" w:space="140"/>
            <w:col w:w="6100"/>
          </w:cols>
          <w:pgMar w:left="320" w:top="455" w:right="4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held following the completion of the offering; and</w:t>
      </w:r>
    </w:p>
    <w:p>
      <w:pPr>
        <w:sectPr>
          <w:pgSz w:w="11900" w:h="16838" w:orient="portrait"/>
          <w:cols w:equalWidth="0" w:num="1">
            <w:col w:w="11140"/>
          </w:cols>
          <w:pgMar w:left="320" w:top="455" w:right="439" w:bottom="1440" w:gutter="0" w:footer="0" w:header="0"/>
          <w:type w:val="continuous"/>
        </w:sectPr>
      </w:pPr>
    </w:p>
    <w:p>
      <w:pPr>
        <w:spacing w:after="0" w:line="119"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tab/>
        <w:t xml:space="preserve">the Class III directors will be            ,       </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and </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6"/>
          <w:szCs w:val="6"/>
          <w:color w:val="auto"/>
        </w:rPr>
        <w:t> </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and their terms will expire at the third annual meeting of our stockholders</w:t>
      </w:r>
    </w:p>
    <w:p>
      <w:pPr>
        <w:spacing w:after="0" w:line="32" w:lineRule="exact"/>
        <w:rPr>
          <w:sz w:val="20"/>
          <w:szCs w:val="20"/>
          <w:color w:val="auto"/>
        </w:rPr>
      </w:pPr>
    </w:p>
    <w:p>
      <w:pPr>
        <w:sectPr>
          <w:pgSz w:w="11900" w:h="16838" w:orient="portrait"/>
          <w:cols w:equalWidth="0" w:num="5">
            <w:col w:w="3760" w:space="120"/>
            <w:col w:w="540" w:space="120"/>
            <w:col w:w="240" w:space="120"/>
            <w:col w:w="60" w:space="120"/>
            <w:col w:w="6060"/>
          </w:cols>
          <w:pgMar w:left="320" w:top="455" w:right="4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held following the completion of the offering.</w:t>
      </w:r>
    </w:p>
    <w:p>
      <w:pPr>
        <w:sectPr>
          <w:pgSz w:w="11900" w:h="16838" w:orient="portrait"/>
          <w:cols w:equalWidth="0" w:num="1">
            <w:col w:w="11140"/>
          </w:cols>
          <w:pgMar w:left="320" w:top="455" w:right="439" w:bottom="1440" w:gutter="0" w:footer="0" w:header="0"/>
          <w:type w:val="continuous"/>
        </w:sectPr>
      </w:pPr>
    </w:p>
    <w:p>
      <w:pPr>
        <w:spacing w:after="0" w:line="11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that will be in</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5" w:right="4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effect upon the completion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entitled “Description of capital stock—Anti-takeover provisions—Restated certificate of incorporation and restated bylaw provisions” for additional information.</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independence</w:t>
      </w:r>
    </w:p>
    <w:p>
      <w:pPr>
        <w:spacing w:after="0" w:line="135"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In connection with this offering, we have applied to list our common stock on Nasdaq. Under the Nasdaq listing rules, independent directors must comprise a majority of a listed company’s board of directors within one year following the company’s listing date. In addition, the Nasdaq listing rules require that, subject to specified exceptions, each member of a listed company’s audit, compensation and nominating and governance committees be independent.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We intend to satisfy the audit committee independence requirements of Rule 10A-3 as of the completion of this offering. Additionally, compensation committee members must not have a relationship with us that is material to the director’s ability to be independent from management in connection with the duties of a compensation committee member.</w:t>
      </w:r>
    </w:p>
    <w:p>
      <w:pPr>
        <w:spacing w:after="0" w:line="117"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except for Dr. Coloma and Dr. Homcy, are “independent directors” as defined under the current Nasdaq listing standards and SEC rules and regulations.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as described in the section entitled “Certain relationships and related party transactions.”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Leadership structure of the board</w:t>
      </w:r>
    </w:p>
    <w:p>
      <w:pPr>
        <w:spacing w:after="0" w:line="148" w:lineRule="exact"/>
        <w:rPr>
          <w:sz w:val="20"/>
          <w:szCs w:val="20"/>
          <w:color w:val="auto"/>
        </w:rPr>
      </w:pPr>
    </w:p>
    <w:p>
      <w:pPr>
        <w:ind w:left="120" w:right="80"/>
        <w:spacing w:after="0" w:line="241" w:lineRule="auto"/>
        <w:rPr>
          <w:sz w:val="20"/>
          <w:szCs w:val="20"/>
          <w:color w:val="auto"/>
        </w:rPr>
      </w:pPr>
      <w:r>
        <w:rPr>
          <w:rFonts w:ascii="Arial" w:cs="Arial" w:eastAsia="Arial" w:hAnsi="Arial"/>
          <w:sz w:val="18"/>
          <w:szCs w:val="18"/>
          <w:color w:val="auto"/>
        </w:rPr>
        <w:t>Our corporate governance guidelines provide our board of directors with flexibility to combine or separate the positions of chair of the board of directors and Chief Executive Officer. This structure allows our Chief Executive Officer to focus on our day-to-day business while our chairman leads our board of directors in its fundamental role of providing advice to, and oversight of, management. We believe</w:t>
      </w:r>
    </w:p>
    <w:p>
      <w:pPr>
        <w:spacing w:after="0" w:line="2"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Dr. Homcy is especially qualified for this role based on his operational and risk oversight expertise through his significant experience building and leading successful biotechnology companies and his scientific expertise. Further, our board of directors believes such separation is appropriate, as it enhances the accountability of the Chief Executive Officer to the board of directors. Dr. Homcy currently serves as the chairman of our board of directors and Dr. Coloma currently serves as our Chief Executive Officer. Our board of directors also intends to appoint a lead independent director to</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53" w:lineRule="auto"/>
        <w:rPr>
          <w:sz w:val="20"/>
          <w:szCs w:val="20"/>
          <w:color w:val="auto"/>
        </w:rPr>
      </w:pPr>
      <w:r>
        <w:rPr>
          <w:rFonts w:ascii="Arial" w:cs="Arial" w:eastAsia="Arial" w:hAnsi="Arial"/>
          <w:sz w:val="18"/>
          <w:szCs w:val="18"/>
          <w:color w:val="auto"/>
        </w:rPr>
        <w:t>preside over executive sessions of the board and provide feedback to management, which will further strengthen the independence of the board of directors from management. Our board of directors, in its sole discretion, may seek input from our stockholders on the leadership structure of the board of directors.</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Role of board in risk oversight process</w:t>
      </w:r>
    </w:p>
    <w:p>
      <w:pPr>
        <w:spacing w:after="0" w:line="135" w:lineRule="exact"/>
        <w:rPr>
          <w:sz w:val="20"/>
          <w:szCs w:val="20"/>
          <w:color w:val="auto"/>
        </w:rPr>
      </w:pPr>
    </w:p>
    <w:p>
      <w:pPr>
        <w:ind w:left="120" w:right="60"/>
        <w:spacing w:after="0" w:line="259"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9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approves or disapproves any related person transactions. Our nominating and corporate governance committee monitors the effectiveness of our corporate governance guidelines and other compliance policies, as well as climate and other corporate sustainability risks. Our compensation committee assesses and monitors whether any of our compensation policies and programs has the potential to encourage excessive risk-taking.</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Committees of the board of directors</w:t>
      </w:r>
    </w:p>
    <w:p>
      <w:pPr>
        <w:spacing w:after="0" w:line="14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will have the composition and responsibilities described below as of the completion of this offering. Each of the below committees has a written charter approved by our board of directors. Upon completion of this offering, copies of each charter will be posted on the investor relations page of our website at www.mazetx.com. The reference to our website address in this prospectus does not include or incorporate by reference the information on our website into this prospectus. Members that serve on these committees will serve until their resignation or until otherwise determined by our board of directors.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Effective upon the effectiveness of the registration statement of which this prospectus is a part, our audit committee will be composed of</w:t>
      </w:r>
    </w:p>
    <w:p>
      <w:pPr>
        <w:spacing w:after="0" w:line="14"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        ,         and         , with         as the chairperson of our audit committee. Our board of directors has determined that the composition of our audit committee meets the requirements for independence under the current Nasdaq listing standards and SEC rules and regulations, and that each member of our audit committee is financially literate. In addition, our board of directors has determined that</w:t>
      </w:r>
    </w:p>
    <w:p>
      <w:pPr>
        <w:spacing w:after="0" w:line="2"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        is an “audit committee financial expert” as defined in Item 407(d)(5)(ii) of Regulation S-K promulgated under the Securities Act. This designation does not impose on him or her any duties, obligations or liabilities that are greater than are generally imposed on members of our audit committee and our board of directors. Our audit committee is directly responsible for, among other things:</w:t>
      </w:r>
    </w:p>
    <w:p>
      <w:pPr>
        <w:spacing w:after="0" w:line="112" w:lineRule="exact"/>
        <w:rPr>
          <w:sz w:val="20"/>
          <w:szCs w:val="20"/>
          <w:color w:val="auto"/>
        </w:rPr>
      </w:pPr>
    </w:p>
    <w:p>
      <w:pPr>
        <w:ind w:left="5480" w:right="5200" w:hanging="5364"/>
        <w:spacing w:after="0" w:line="484" w:lineRule="auto"/>
        <w:tabs>
          <w:tab w:leader="none" w:pos="338"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selecting and hiring our independent registered public accounting firm; 154</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our independent registered public accounting firm;</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our annual proxy statement;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44" w:lineRule="exact"/>
        <w:rPr>
          <w:rFonts w:ascii="Arial" w:cs="Arial" w:eastAsia="Arial" w:hAnsi="Arial"/>
          <w:sz w:val="18"/>
          <w:szCs w:val="18"/>
          <w:color w:val="auto"/>
        </w:rPr>
      </w:pPr>
    </w:p>
    <w:p>
      <w:pPr>
        <w:ind w:left="340" w:right="140" w:hanging="224"/>
        <w:spacing w:after="0" w:line="271"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controls and procedures for mitigating cybersecurity and other information technology risks, including our plans to respond to data breaches;</w:t>
      </w:r>
    </w:p>
    <w:p>
      <w:pPr>
        <w:spacing w:after="0" w:line="86" w:lineRule="exact"/>
        <w:rPr>
          <w:rFonts w:ascii="Arial" w:cs="Arial" w:eastAsia="Arial" w:hAnsi="Arial"/>
          <w:sz w:val="18"/>
          <w:szCs w:val="18"/>
          <w:color w:val="auto"/>
        </w:rPr>
      </w:pPr>
    </w:p>
    <w:p>
      <w:pPr>
        <w:ind w:left="340" w:right="160" w:hanging="224"/>
        <w:spacing w:after="0" w:line="271"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our financial statement audits and the integrity of our financial statements;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9"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Effective upon the effectiveness of the registration statement of which this prospectus is a part, our compensation committee will be composed of         ,         and         , with         as the chairperson of our compensation committee. Our board of directors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spacing w:after="0" w:line="109" w:lineRule="exact"/>
        <w:rPr>
          <w:sz w:val="20"/>
          <w:szCs w:val="20"/>
          <w:color w:val="auto"/>
        </w:rPr>
      </w:pPr>
    </w:p>
    <w:p>
      <w:pPr>
        <w:ind w:left="340" w:hanging="22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our board of directors;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44" w:lineRule="exact"/>
        <w:rPr>
          <w:rFonts w:ascii="Arial" w:cs="Arial" w:eastAsia="Arial" w:hAnsi="Arial"/>
          <w:sz w:val="18"/>
          <w:szCs w:val="18"/>
          <w:color w:val="auto"/>
        </w:rPr>
      </w:pPr>
    </w:p>
    <w:p>
      <w:pPr>
        <w:ind w:left="340" w:right="760" w:hanging="224"/>
        <w:spacing w:after="0" w:line="271"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overseeing our compliance with regulatory requirements associated with the compensation of directors, executive officers and employees.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2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Effective upon the effectiveness of the registration statement of which this prospectus is a part, our nominating and governance committee will be composed of        ,         and         , with         as the chairperson of our nominating and governance committee. Our board of directors has determined that each member of our nominating and governance committee meets the requirements for independence under the current Nasdaq listing standards. Our nominating and governance committee is responsible for, among other things:</w:t>
      </w:r>
    </w:p>
    <w:p>
      <w:pPr>
        <w:spacing w:after="0" w:line="109" w:lineRule="exact"/>
        <w:rPr>
          <w:sz w:val="20"/>
          <w:szCs w:val="20"/>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 of directors;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of directors;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advising our board of directors on environmental, social other corporate governance and compliance matters.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5"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None of the members of our compensation committee has been an officer or employee of our company. None of our executive officers currently serves, or in the past year has served, as a member of the board of directors or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5"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47" w:lineRule="auto"/>
        <w:rPr>
          <w:sz w:val="20"/>
          <w:szCs w:val="20"/>
          <w:color w:val="auto"/>
        </w:rPr>
      </w:pPr>
      <w:r>
        <w:rPr>
          <w:rFonts w:ascii="Arial" w:cs="Arial" w:eastAsia="Arial" w:hAnsi="Arial"/>
          <w:sz w:val="18"/>
          <w:szCs w:val="18"/>
          <w:color w:val="auto"/>
        </w:rPr>
        <w:t>compensation committee (or other board committee performing equivalent functions) of any entity that has one or more of its executive officers serving on our board of directors or compensation committee. See the section entitled “Certain relationships and related party transactions” for additional information. Prior to establishing the compensation committee, our full board of directors made decisions relating to the compensation of our officers.</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35"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Prior to the completion of this offering, our board of directors will adopt a code of business conduct and ethics that applies to all of our employees, officers and directors, including our Chief Executive Officer, President and other executive and senior officers. The full text of our code of business conduct and ethics will be posted on the investor relations page of our website at www.mazetx.com. The reference to our website address in this prospectus does not include or incorporate by reference the information on our website into this prospectus. We intend to disclose future amendments to certain provisions of our code of business conduct and ethics, or waivers of these provisions, on our website at www.mazetx.com or in public filings to the extent required by the applicable rules.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Non-employee director compensation</w:t>
      </w:r>
    </w:p>
    <w:p>
      <w:pPr>
        <w:spacing w:after="0" w:line="135" w:lineRule="exact"/>
        <w:rPr>
          <w:sz w:val="20"/>
          <w:szCs w:val="20"/>
          <w:color w:val="auto"/>
        </w:rPr>
      </w:pPr>
    </w:p>
    <w:p>
      <w:pPr>
        <w:jc w:val="both"/>
        <w:ind w:left="120" w:right="500"/>
        <w:spacing w:after="0" w:line="253" w:lineRule="auto"/>
        <w:rPr>
          <w:sz w:val="20"/>
          <w:szCs w:val="20"/>
          <w:color w:val="auto"/>
        </w:rPr>
      </w:pPr>
      <w:r>
        <w:rPr>
          <w:rFonts w:ascii="Arial" w:cs="Arial" w:eastAsia="Arial" w:hAnsi="Arial"/>
          <w:sz w:val="18"/>
          <w:szCs w:val="18"/>
          <w:color w:val="auto"/>
        </w:rPr>
        <w:t>Our employee directors have not received any compensation or reimbursement of any expenses (other than customary expenses in connection with the attendance of meetings of our board of directors) for their services as directors for the year ended December 31, 2023.</w:t>
      </w:r>
    </w:p>
    <w:p>
      <w:pPr>
        <w:spacing w:after="0" w:line="101"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color w:val="auto"/>
        </w:rPr>
        <w:t>The following table sets forth information concerning the compensation paid to certain of our non-employee directors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2720" w:type="dxa"/>
            <w:vAlign w:val="bottom"/>
          </w:tcPr>
          <w:p>
            <w:pPr>
              <w:jc w:val="right"/>
              <w:ind w:right="153"/>
              <w:spacing w:after="0"/>
              <w:rPr>
                <w:sz w:val="20"/>
                <w:szCs w:val="20"/>
                <w:color w:val="auto"/>
              </w:rPr>
            </w:pPr>
            <w:r>
              <w:rPr>
                <w:rFonts w:ascii="Arial" w:cs="Arial" w:eastAsia="Arial" w:hAnsi="Arial"/>
                <w:sz w:val="16"/>
                <w:szCs w:val="16"/>
                <w:b w:val="1"/>
                <w:bCs w:val="1"/>
                <w:color w:val="auto"/>
              </w:rPr>
              <w:t>Fees</w:t>
            </w:r>
          </w:p>
        </w:tc>
        <w:tc>
          <w:tcPr>
            <w:tcW w:w="9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400" w:type="dxa"/>
            <w:vAlign w:val="bottom"/>
          </w:tcPr>
          <w:p>
            <w:pPr>
              <w:spacing w:after="0"/>
              <w:rPr>
                <w:sz w:val="16"/>
                <w:szCs w:val="16"/>
                <w:color w:val="auto"/>
              </w:rPr>
            </w:pPr>
          </w:p>
        </w:tc>
        <w:tc>
          <w:tcPr>
            <w:tcW w:w="2720" w:type="dxa"/>
            <w:vAlign w:val="bottom"/>
          </w:tcPr>
          <w:p>
            <w:pPr>
              <w:jc w:val="right"/>
              <w:ind w:right="153"/>
              <w:spacing w:after="0"/>
              <w:rPr>
                <w:sz w:val="20"/>
                <w:szCs w:val="20"/>
                <w:color w:val="auto"/>
              </w:rPr>
            </w:pPr>
            <w:r>
              <w:rPr>
                <w:rFonts w:ascii="Arial" w:cs="Arial" w:eastAsia="Arial" w:hAnsi="Arial"/>
                <w:sz w:val="16"/>
                <w:szCs w:val="16"/>
                <w:b w:val="1"/>
                <w:bCs w:val="1"/>
                <w:color w:val="auto"/>
              </w:rPr>
              <w:t>earned</w:t>
            </w:r>
          </w:p>
        </w:tc>
        <w:tc>
          <w:tcPr>
            <w:tcW w:w="960" w:type="dxa"/>
            <w:vAlign w:val="bottom"/>
          </w:tcPr>
          <w:p>
            <w:pPr>
              <w:jc w:val="right"/>
              <w:ind w:right="52"/>
              <w:spacing w:after="0"/>
              <w:rPr>
                <w:sz w:val="20"/>
                <w:szCs w:val="20"/>
                <w:color w:val="auto"/>
              </w:rPr>
            </w:pPr>
            <w:r>
              <w:rPr>
                <w:rFonts w:ascii="Arial" w:cs="Arial" w:eastAsia="Arial" w:hAnsi="Arial"/>
                <w:sz w:val="16"/>
                <w:szCs w:val="16"/>
                <w:b w:val="1"/>
                <w:bCs w:val="1"/>
                <w:color w:val="auto"/>
              </w:rPr>
              <w:t>Option</w:t>
            </w:r>
          </w:p>
        </w:tc>
        <w:tc>
          <w:tcPr>
            <w:tcW w:w="19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400" w:type="dxa"/>
            <w:vAlign w:val="bottom"/>
          </w:tcPr>
          <w:p>
            <w:pPr>
              <w:spacing w:after="0"/>
              <w:rPr>
                <w:sz w:val="16"/>
                <w:szCs w:val="16"/>
                <w:color w:val="auto"/>
              </w:rPr>
            </w:pPr>
          </w:p>
        </w:tc>
        <w:tc>
          <w:tcPr>
            <w:tcW w:w="2720" w:type="dxa"/>
            <w:vAlign w:val="bottom"/>
          </w:tcPr>
          <w:p>
            <w:pPr>
              <w:jc w:val="right"/>
              <w:ind w:right="153"/>
              <w:spacing w:after="0"/>
              <w:rPr>
                <w:sz w:val="20"/>
                <w:szCs w:val="20"/>
                <w:color w:val="auto"/>
              </w:rPr>
            </w:pPr>
            <w:r>
              <w:rPr>
                <w:rFonts w:ascii="Arial" w:cs="Arial" w:eastAsia="Arial" w:hAnsi="Arial"/>
                <w:sz w:val="16"/>
                <w:szCs w:val="16"/>
                <w:b w:val="1"/>
                <w:bCs w:val="1"/>
                <w:color w:val="auto"/>
              </w:rPr>
              <w:t>or paid</w:t>
            </w:r>
          </w:p>
        </w:tc>
        <w:tc>
          <w:tcPr>
            <w:tcW w:w="960" w:type="dxa"/>
            <w:vAlign w:val="bottom"/>
          </w:tcPr>
          <w:p>
            <w:pPr>
              <w:jc w:val="right"/>
              <w:ind w:right="52"/>
              <w:spacing w:after="0"/>
              <w:rPr>
                <w:sz w:val="20"/>
                <w:szCs w:val="20"/>
                <w:color w:val="auto"/>
              </w:rPr>
            </w:pPr>
            <w:r>
              <w:rPr>
                <w:rFonts w:ascii="Arial" w:cs="Arial" w:eastAsia="Arial" w:hAnsi="Arial"/>
                <w:sz w:val="16"/>
                <w:szCs w:val="16"/>
                <w:b w:val="1"/>
                <w:bCs w:val="1"/>
                <w:color w:val="auto"/>
              </w:rPr>
              <w:t>awards</w:t>
            </w:r>
          </w:p>
        </w:tc>
        <w:tc>
          <w:tcPr>
            <w:tcW w:w="1960" w:type="dxa"/>
            <w:vAlign w:val="bottom"/>
          </w:tcPr>
          <w:p>
            <w:pPr>
              <w:jc w:val="right"/>
              <w:ind w:right="392"/>
              <w:spacing w:after="0"/>
              <w:rPr>
                <w:sz w:val="20"/>
                <w:szCs w:val="20"/>
                <w:color w:val="auto"/>
              </w:rPr>
            </w:pPr>
            <w:r>
              <w:rPr>
                <w:rFonts w:ascii="Arial" w:cs="Arial" w:eastAsia="Arial" w:hAnsi="Arial"/>
                <w:sz w:val="16"/>
                <w:szCs w:val="16"/>
                <w:b w:val="1"/>
                <w:bCs w:val="1"/>
                <w:color w:val="auto"/>
              </w:rPr>
              <w:t>All other</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3"/>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72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in cash ($)</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($)(1)(2)</w:t>
            </w:r>
          </w:p>
        </w:tc>
        <w:tc>
          <w:tcPr>
            <w:tcW w:w="196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compensation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96"/>
        </w:trPr>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Charles Homcy, M.D.</w:t>
            </w:r>
          </w:p>
        </w:tc>
        <w:tc>
          <w:tcPr>
            <w:tcW w:w="2720" w:type="dxa"/>
            <w:vAlign w:val="bottom"/>
            <w:shd w:val="clear" w:color="auto" w:fill="CCEEFF"/>
          </w:tcPr>
          <w:p>
            <w:pPr>
              <w:jc w:val="right"/>
              <w:ind w:right="153"/>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74,696</w:t>
            </w:r>
          </w:p>
        </w:tc>
        <w:tc>
          <w:tcPr>
            <w:tcW w:w="196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240,000(3)</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314,696</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Nancy C. Andrews, M.D., Ph.D.</w:t>
            </w:r>
          </w:p>
        </w:tc>
        <w:tc>
          <w:tcPr>
            <w:tcW w:w="27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35,000</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74,696</w:t>
            </w:r>
          </w:p>
        </w:tc>
        <w:tc>
          <w:tcPr>
            <w:tcW w:w="196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109,696</w:t>
            </w: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Brendan Bulik-Sullivan, Ph.D.</w:t>
            </w:r>
          </w:p>
        </w:tc>
        <w:tc>
          <w:tcPr>
            <w:tcW w:w="27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Sekar Kathiresan, M.D.</w:t>
            </w:r>
          </w:p>
        </w:tc>
        <w:tc>
          <w:tcPr>
            <w:tcW w:w="27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35,000</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96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Jonathan Lim, M.D.</w:t>
            </w:r>
          </w:p>
        </w:tc>
        <w:tc>
          <w:tcPr>
            <w:tcW w:w="27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20,000</w:t>
            </w: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74,696</w:t>
            </w:r>
          </w:p>
        </w:tc>
        <w:tc>
          <w:tcPr>
            <w:tcW w:w="196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94,696</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Richard Scheller, Ph.D.</w:t>
            </w:r>
          </w:p>
        </w:tc>
        <w:tc>
          <w:tcPr>
            <w:tcW w:w="27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40,000</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74,696</w:t>
            </w:r>
          </w:p>
        </w:tc>
        <w:tc>
          <w:tcPr>
            <w:tcW w:w="19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60,000(4)</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174,696</w:t>
            </w: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Catherine Angell Sohn, Pharm. D.</w:t>
            </w:r>
          </w:p>
        </w:tc>
        <w:tc>
          <w:tcPr>
            <w:tcW w:w="27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35,000</w:t>
            </w: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74,696</w:t>
            </w:r>
          </w:p>
        </w:tc>
        <w:tc>
          <w:tcPr>
            <w:tcW w:w="196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109,696</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Daniel Spiegelman</w:t>
            </w:r>
          </w:p>
        </w:tc>
        <w:tc>
          <w:tcPr>
            <w:tcW w:w="272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40,000</w:t>
            </w:r>
          </w:p>
        </w:tc>
        <w:tc>
          <w:tcPr>
            <w:tcW w:w="9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74,696</w:t>
            </w:r>
          </w:p>
        </w:tc>
        <w:tc>
          <w:tcPr>
            <w:tcW w:w="196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114,696</w:t>
            </w: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Jeffrey Tong, Ph.D.</w:t>
            </w:r>
          </w:p>
        </w:tc>
        <w:tc>
          <w:tcPr>
            <w:tcW w:w="272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9"/>
        </w:trPr>
        <w:tc>
          <w:tcPr>
            <w:tcW w:w="4400" w:type="dxa"/>
            <w:vAlign w:val="bottom"/>
          </w:tcPr>
          <w:p>
            <w:pPr>
              <w:spacing w:after="0"/>
              <w:rPr>
                <w:sz w:val="20"/>
                <w:szCs w:val="20"/>
                <w:color w:val="auto"/>
              </w:rPr>
            </w:pPr>
            <w:r>
              <w:rPr>
                <w:rFonts w:ascii="Arial" w:cs="Arial" w:eastAsia="Arial" w:hAnsi="Arial"/>
                <w:sz w:val="18"/>
                <w:szCs w:val="18"/>
                <w:color w:val="auto"/>
              </w:rPr>
              <w:t>Andy Tran</w:t>
            </w:r>
          </w:p>
        </w:tc>
        <w:tc>
          <w:tcPr>
            <w:tcW w:w="27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60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28" w:lineRule="exact"/>
        <w:rPr>
          <w:sz w:val="20"/>
          <w:szCs w:val="20"/>
          <w:color w:val="auto"/>
        </w:rPr>
      </w:pPr>
    </w:p>
    <w:p>
      <w:pPr>
        <w:ind w:left="440" w:right="120" w:hanging="324"/>
        <w:spacing w:after="0" w:line="281" w:lineRule="auto"/>
        <w:tabs>
          <w:tab w:leader="none" w:pos="4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Amounts reflect the full grant date fair value of awards of stock or options granted during the year ended December 31, 2023 computed in accordance with ASC Topic 718, rather than the amounts paid to or realized by the named individual.</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440" w:hanging="324"/>
        <w:spacing w:after="0"/>
        <w:tabs>
          <w:tab w:leader="none" w:pos="44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following table sets forth the aggregate number of shares of our common stock subject to outstanding options held by our non-employee directors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67310</wp:posOffset>
            </wp:positionV>
            <wp:extent cx="47491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pacing w:after="0" w:line="140" w:lineRule="exact"/>
        <w:rPr>
          <w:sz w:val="20"/>
          <w:szCs w:val="20"/>
          <w:color w:val="auto"/>
        </w:rPr>
      </w:pPr>
    </w:p>
    <w:tbl>
      <w:tblPr>
        <w:tblLayout w:type="fixed"/>
        <w:tblInd w:w="188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3140" w:type="dxa"/>
            <w:vAlign w:val="bottom"/>
          </w:tcPr>
          <w:p>
            <w:pPr>
              <w:jc w:val="right"/>
              <w:spacing w:after="0"/>
              <w:rPr>
                <w:sz w:val="20"/>
                <w:szCs w:val="20"/>
                <w:color w:val="auto"/>
              </w:rPr>
            </w:pPr>
            <w:r>
              <w:rPr>
                <w:rFonts w:ascii="Arial" w:cs="Arial" w:eastAsia="Arial" w:hAnsi="Arial"/>
                <w:sz w:val="16"/>
                <w:szCs w:val="16"/>
                <w:b w:val="1"/>
                <w:bCs w:val="1"/>
                <w:color w:val="auto"/>
              </w:rPr>
              <w:t>Number of shares</w:t>
            </w:r>
          </w:p>
        </w:tc>
      </w:tr>
      <w:tr>
        <w:trPr>
          <w:trHeight w:val="189"/>
        </w:trPr>
        <w:tc>
          <w:tcPr>
            <w:tcW w:w="4340" w:type="dxa"/>
            <w:vAlign w:val="bottom"/>
          </w:tcPr>
          <w:p>
            <w:pPr>
              <w:spacing w:after="0"/>
              <w:rPr>
                <w:sz w:val="16"/>
                <w:szCs w:val="16"/>
                <w:color w:val="auto"/>
              </w:rPr>
            </w:pPr>
          </w:p>
        </w:tc>
        <w:tc>
          <w:tcPr>
            <w:tcW w:w="3140" w:type="dxa"/>
            <w:vAlign w:val="bottom"/>
          </w:tcPr>
          <w:p>
            <w:pPr>
              <w:jc w:val="right"/>
              <w:spacing w:after="0"/>
              <w:rPr>
                <w:sz w:val="20"/>
                <w:szCs w:val="20"/>
                <w:color w:val="auto"/>
              </w:rPr>
            </w:pPr>
            <w:r>
              <w:rPr>
                <w:rFonts w:ascii="Arial" w:cs="Arial" w:eastAsia="Arial" w:hAnsi="Arial"/>
                <w:sz w:val="16"/>
                <w:szCs w:val="16"/>
                <w:b w:val="1"/>
                <w:bCs w:val="1"/>
                <w:color w:val="auto"/>
              </w:rPr>
              <w:t>underlying options</w:t>
            </w:r>
          </w:p>
        </w:tc>
      </w:tr>
      <w:tr>
        <w:trPr>
          <w:trHeight w:val="189"/>
        </w:trPr>
        <w:tc>
          <w:tcPr>
            <w:tcW w:w="4340" w:type="dxa"/>
            <w:vAlign w:val="bottom"/>
          </w:tcPr>
          <w:p>
            <w:pPr>
              <w:spacing w:after="0"/>
              <w:rPr>
                <w:sz w:val="16"/>
                <w:szCs w:val="16"/>
                <w:color w:val="auto"/>
              </w:rPr>
            </w:pPr>
          </w:p>
        </w:tc>
        <w:tc>
          <w:tcPr>
            <w:tcW w:w="3140" w:type="dxa"/>
            <w:vAlign w:val="bottom"/>
          </w:tcPr>
          <w:p>
            <w:pPr>
              <w:jc w:val="right"/>
              <w:spacing w:after="0"/>
              <w:rPr>
                <w:sz w:val="20"/>
                <w:szCs w:val="20"/>
                <w:color w:val="auto"/>
              </w:rPr>
            </w:pPr>
            <w:r>
              <w:rPr>
                <w:rFonts w:ascii="Arial" w:cs="Arial" w:eastAsia="Arial" w:hAnsi="Arial"/>
                <w:sz w:val="16"/>
                <w:szCs w:val="16"/>
                <w:b w:val="1"/>
                <w:bCs w:val="1"/>
                <w:color w:val="auto"/>
              </w:rPr>
              <w:t>held as of</w:t>
            </w:r>
          </w:p>
        </w:tc>
      </w:tr>
      <w:tr>
        <w:trPr>
          <w:trHeight w:val="203"/>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2023</w:t>
            </w: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Charles Homcy, M.D.</w:t>
            </w:r>
          </w:p>
        </w:tc>
        <w:tc>
          <w:tcPr>
            <w:tcW w:w="3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830,000</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Nancy C. Andrews, M.D., Ph.D.</w:t>
            </w:r>
          </w:p>
        </w:tc>
        <w:tc>
          <w:tcPr>
            <w:tcW w:w="3140" w:type="dxa"/>
            <w:vAlign w:val="bottom"/>
          </w:tcPr>
          <w:p>
            <w:pPr>
              <w:jc w:val="right"/>
              <w:spacing w:after="0" w:line="202" w:lineRule="exact"/>
              <w:rPr>
                <w:sz w:val="20"/>
                <w:szCs w:val="20"/>
                <w:color w:val="auto"/>
              </w:rPr>
            </w:pPr>
            <w:r>
              <w:rPr>
                <w:rFonts w:ascii="Arial" w:cs="Arial" w:eastAsia="Arial" w:hAnsi="Arial"/>
                <w:sz w:val="18"/>
                <w:szCs w:val="18"/>
                <w:color w:val="auto"/>
              </w:rPr>
              <w:t>255,000</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Brendan Bulik-Sullivan, Ph.D.</w:t>
            </w:r>
          </w:p>
        </w:tc>
        <w:tc>
          <w:tcPr>
            <w:tcW w:w="3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Sekar Kathiresan, M.D.</w:t>
            </w:r>
          </w:p>
        </w:tc>
        <w:tc>
          <w:tcPr>
            <w:tcW w:w="314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Jonathan Lim, M.D.</w:t>
            </w:r>
          </w:p>
        </w:tc>
        <w:tc>
          <w:tcPr>
            <w:tcW w:w="3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55,000</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Richard Scheller, Ph.D.</w:t>
            </w:r>
          </w:p>
        </w:tc>
        <w:tc>
          <w:tcPr>
            <w:tcW w:w="3140" w:type="dxa"/>
            <w:vAlign w:val="bottom"/>
          </w:tcPr>
          <w:p>
            <w:pPr>
              <w:jc w:val="right"/>
              <w:spacing w:after="0" w:line="202" w:lineRule="exact"/>
              <w:rPr>
                <w:sz w:val="20"/>
                <w:szCs w:val="20"/>
                <w:color w:val="auto"/>
              </w:rPr>
            </w:pPr>
            <w:r>
              <w:rPr>
                <w:rFonts w:ascii="Arial" w:cs="Arial" w:eastAsia="Arial" w:hAnsi="Arial"/>
                <w:sz w:val="18"/>
                <w:szCs w:val="18"/>
                <w:color w:val="auto"/>
              </w:rPr>
              <w:t>133,185</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Catherine Angell Sohn, Pharm. D.</w:t>
            </w:r>
          </w:p>
        </w:tc>
        <w:tc>
          <w:tcPr>
            <w:tcW w:w="3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255,000</w:t>
            </w: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Daniel Spiegelman</w:t>
            </w:r>
          </w:p>
        </w:tc>
        <w:tc>
          <w:tcPr>
            <w:tcW w:w="3140" w:type="dxa"/>
            <w:vAlign w:val="bottom"/>
          </w:tcPr>
          <w:p>
            <w:pPr>
              <w:jc w:val="right"/>
              <w:spacing w:after="0" w:line="202" w:lineRule="exact"/>
              <w:rPr>
                <w:sz w:val="20"/>
                <w:szCs w:val="20"/>
                <w:color w:val="auto"/>
              </w:rPr>
            </w:pPr>
            <w:r>
              <w:rPr>
                <w:rFonts w:ascii="Arial" w:cs="Arial" w:eastAsia="Arial" w:hAnsi="Arial"/>
                <w:sz w:val="18"/>
                <w:szCs w:val="18"/>
                <w:color w:val="auto"/>
              </w:rPr>
              <w:t>255,000</w:t>
            </w:r>
          </w:p>
        </w:tc>
      </w:tr>
      <w:tr>
        <w:trPr>
          <w:trHeight w:val="202"/>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Jeffrey Tong, Ph.D.</w:t>
            </w:r>
          </w:p>
        </w:tc>
        <w:tc>
          <w:tcPr>
            <w:tcW w:w="3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9"/>
        </w:trPr>
        <w:tc>
          <w:tcPr>
            <w:tcW w:w="4340" w:type="dxa"/>
            <w:vAlign w:val="bottom"/>
          </w:tcPr>
          <w:p>
            <w:pPr>
              <w:spacing w:after="0"/>
              <w:rPr>
                <w:sz w:val="20"/>
                <w:szCs w:val="20"/>
                <w:color w:val="auto"/>
              </w:rPr>
            </w:pPr>
            <w:r>
              <w:rPr>
                <w:rFonts w:ascii="Arial" w:cs="Arial" w:eastAsia="Arial" w:hAnsi="Arial"/>
                <w:sz w:val="18"/>
                <w:szCs w:val="18"/>
                <w:color w:val="auto"/>
              </w:rPr>
              <w:t>Andy Tran</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105410</wp:posOffset>
            </wp:positionV>
            <wp:extent cx="47148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14875" cy="8890"/>
                    </a:xfrm>
                    <a:prstGeom prst="rect">
                      <a:avLst/>
                    </a:prstGeom>
                    <a:noFill/>
                  </pic:spPr>
                </pic:pic>
              </a:graphicData>
            </a:graphic>
          </wp:anchor>
        </w:drawing>
      </w:r>
    </w:p>
    <w:p>
      <w:pPr>
        <w:spacing w:after="0" w:line="228" w:lineRule="exact"/>
        <w:rPr>
          <w:sz w:val="20"/>
          <w:szCs w:val="20"/>
          <w:color w:val="auto"/>
        </w:rPr>
      </w:pPr>
    </w:p>
    <w:p>
      <w:pPr>
        <w:ind w:left="440" w:right="80" w:hanging="324"/>
        <w:spacing w:after="0" w:line="281" w:lineRule="auto"/>
        <w:tabs>
          <w:tab w:leader="none" w:pos="4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Dr. Homcy received compensation pursuant to a consulting agreement entered into with us in 2019. For additional information regarding Dr. Homcy’s consulting arrangement with us, see the section entitled “Certain relationships and related party transactions — Consulting agreement with Charles Homcy, M.D.”</w:t>
      </w:r>
    </w:p>
    <w:p>
      <w:pPr>
        <w:spacing w:after="0" w:line="27" w:lineRule="exact"/>
        <w:rPr>
          <w:rFonts w:ascii="Arial" w:cs="Arial" w:eastAsia="Arial" w:hAnsi="Arial"/>
          <w:sz w:val="13"/>
          <w:szCs w:val="13"/>
          <w:color w:val="auto"/>
        </w:rPr>
      </w:pPr>
    </w:p>
    <w:p>
      <w:pPr>
        <w:ind w:left="440" w:hanging="324"/>
        <w:spacing w:after="0" w:line="281" w:lineRule="auto"/>
        <w:tabs>
          <w:tab w:leader="none" w:pos="4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Dr. Scheller received compensation pursuant to an advisor agreement entered into with us in 2021. For additional information regarding Dr. Scheller’s advisor arrangement with us, see the section entitled “Certain relationships and related party transactions — Advisor agreement with Richard Scheller, Ph.D.”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135"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Prior to this offering, we did not have a formal policy to provide any cash or equity compensation to our non-employee directors for their service as directors. In connection with this offering, our board of directors expects to approve annual non-employee director compensation, which will take effect following the completion of this offering.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Executive compensation</w:t>
      </w:r>
    </w:p>
    <w:p>
      <w:pPr>
        <w:spacing w:after="0" w:line="168"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our named executive officers during the year ended December 31, 2023. Our named executive officers, who are our principal executive officer and the two most highly compensated executive officers (other than our principal executive officer) serving as executive officers as of December 31, 2023, are:</w:t>
      </w:r>
    </w:p>
    <w:p>
      <w:pPr>
        <w:spacing w:after="0" w:line="106" w:lineRule="exact"/>
        <w:rPr>
          <w:sz w:val="20"/>
          <w:szCs w:val="20"/>
          <w:color w:val="auto"/>
        </w:rPr>
      </w:pP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Jason Coloma, Ph.D., Chief Executive Officer;</w:t>
      </w:r>
    </w:p>
    <w:p>
      <w:pPr>
        <w:spacing w:after="0" w:line="13" w:lineRule="exact"/>
        <w:rPr>
          <w:rFonts w:ascii="Arial" w:cs="Arial" w:eastAsia="Arial" w:hAnsi="Arial"/>
          <w:sz w:val="18"/>
          <w:szCs w:val="18"/>
          <w:color w:val="auto"/>
        </w:rPr>
      </w:pPr>
    </w:p>
    <w:p>
      <w:pPr>
        <w:ind w:left="340" w:hanging="224"/>
        <w:spacing w:after="0" w:line="234"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Atul Dandekar, Chief Strategy Officer; and</w:t>
      </w:r>
    </w:p>
    <w:p>
      <w:pPr>
        <w:ind w:left="340" w:hanging="224"/>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Harold Bernstein, M.D., Ph.D, President, Research and Development and Chief Medical Officer.</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compensation table</w:t>
      </w:r>
    </w:p>
    <w:p>
      <w:pPr>
        <w:spacing w:after="0" w:line="148"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earned by or paid to our named executive officers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b w:val="1"/>
                <w:bCs w:val="1"/>
                <w:color w:val="auto"/>
              </w:rPr>
              <w:t>Non-equity</w:t>
            </w:r>
          </w:p>
        </w:tc>
        <w:tc>
          <w:tcPr>
            <w:tcW w:w="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3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b w:val="1"/>
                <w:bCs w:val="1"/>
                <w:color w:val="auto"/>
              </w:rPr>
              <w:t>incentive</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Option</w:t>
            </w:r>
          </w:p>
        </w:tc>
        <w:tc>
          <w:tcPr>
            <w:tcW w:w="1400" w:type="dxa"/>
            <w:vAlign w:val="bottom"/>
          </w:tcPr>
          <w:p>
            <w:pPr>
              <w:jc w:val="right"/>
              <w:ind w:right="119"/>
              <w:spacing w:after="0"/>
              <w:rPr>
                <w:sz w:val="20"/>
                <w:szCs w:val="20"/>
                <w:color w:val="auto"/>
              </w:rPr>
            </w:pPr>
            <w:r>
              <w:rPr>
                <w:rFonts w:ascii="Arial" w:cs="Arial" w:eastAsia="Arial" w:hAnsi="Arial"/>
                <w:sz w:val="16"/>
                <w:szCs w:val="16"/>
                <w:b w:val="1"/>
                <w:bCs w:val="1"/>
                <w:color w:val="auto"/>
              </w:rPr>
              <w:t>All other</w:t>
            </w:r>
          </w:p>
        </w:tc>
        <w:tc>
          <w:tcPr>
            <w:tcW w:w="960" w:type="dxa"/>
            <w:vAlign w:val="bottom"/>
          </w:tcPr>
          <w:p>
            <w:pPr>
              <w:spacing w:after="0"/>
              <w:rPr>
                <w:sz w:val="16"/>
                <w:szCs w:val="16"/>
                <w:color w:val="auto"/>
              </w:rPr>
            </w:pPr>
          </w:p>
        </w:tc>
      </w:tr>
      <w:tr>
        <w:trPr>
          <w:trHeight w:val="189"/>
        </w:trPr>
        <w:tc>
          <w:tcPr>
            <w:tcW w:w="3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Bonuses</w:t>
            </w:r>
          </w:p>
        </w:tc>
        <w:tc>
          <w:tcPr>
            <w:tcW w:w="1720" w:type="dxa"/>
            <w:vAlign w:val="bottom"/>
          </w:tcPr>
          <w:p>
            <w:pPr>
              <w:jc w:val="right"/>
              <w:ind w:right="59"/>
              <w:spacing w:after="0"/>
              <w:rPr>
                <w:sz w:val="20"/>
                <w:szCs w:val="20"/>
                <w:color w:val="auto"/>
              </w:rPr>
            </w:pPr>
            <w:r>
              <w:rPr>
                <w:rFonts w:ascii="Arial" w:cs="Arial" w:eastAsia="Arial" w:hAnsi="Arial"/>
                <w:sz w:val="16"/>
                <w:szCs w:val="16"/>
                <w:b w:val="1"/>
                <w:bCs w:val="1"/>
                <w:color w:val="auto"/>
              </w:rPr>
              <w:t>plan compensation</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awards</w:t>
            </w:r>
          </w:p>
        </w:tc>
        <w:tc>
          <w:tcPr>
            <w:tcW w:w="1400" w:type="dxa"/>
            <w:vAlign w:val="bottom"/>
          </w:tcPr>
          <w:p>
            <w:pPr>
              <w:jc w:val="right"/>
              <w:ind w:right="119"/>
              <w:spacing w:after="0"/>
              <w:rPr>
                <w:sz w:val="20"/>
                <w:szCs w:val="20"/>
                <w:color w:val="auto"/>
              </w:rPr>
            </w:pPr>
            <w:r>
              <w:rPr>
                <w:rFonts w:ascii="Arial" w:cs="Arial" w:eastAsia="Arial" w:hAnsi="Arial"/>
                <w:sz w:val="16"/>
                <w:szCs w:val="16"/>
                <w:b w:val="1"/>
                <w:bCs w:val="1"/>
                <w:color w:val="auto"/>
              </w:rPr>
              <w:t>compensation</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17"/>
        </w:trPr>
        <w:tc>
          <w:tcPr>
            <w:tcW w:w="3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Year</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Salary($)</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w:t>
            </w: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183"/>
        </w:trPr>
        <w:tc>
          <w:tcPr>
            <w:tcW w:w="34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Jason Coloma, Ph.D.</w:t>
            </w:r>
          </w:p>
        </w:tc>
        <w:tc>
          <w:tcPr>
            <w:tcW w:w="68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2023</w:t>
            </w:r>
          </w:p>
        </w:tc>
        <w:tc>
          <w:tcPr>
            <w:tcW w:w="9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490,000</w:t>
            </w:r>
          </w:p>
        </w:tc>
        <w:tc>
          <w:tcPr>
            <w:tcW w:w="9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220,500</w:t>
            </w:r>
          </w:p>
        </w:tc>
        <w:tc>
          <w:tcPr>
            <w:tcW w:w="172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1,958,716</w:t>
            </w:r>
          </w:p>
        </w:tc>
        <w:tc>
          <w:tcPr>
            <w:tcW w:w="1400" w:type="dxa"/>
            <w:vAlign w:val="bottom"/>
            <w:shd w:val="clear" w:color="auto" w:fill="CCEEFF"/>
          </w:tcPr>
          <w:p>
            <w:pPr>
              <w:jc w:val="right"/>
              <w:ind w:right="119"/>
              <w:spacing w:after="0" w:line="183" w:lineRule="exact"/>
              <w:rPr>
                <w:sz w:val="20"/>
                <w:szCs w:val="20"/>
                <w:color w:val="auto"/>
              </w:rPr>
            </w:pPr>
            <w:r>
              <w:rPr>
                <w:rFonts w:ascii="Arial" w:cs="Arial" w:eastAsia="Arial" w:hAnsi="Arial"/>
                <w:sz w:val="16"/>
                <w:szCs w:val="16"/>
                <w:color w:val="auto"/>
              </w:rPr>
              <w:t>4,500</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2,673,716</w:t>
            </w:r>
          </w:p>
        </w:tc>
      </w:tr>
      <w:tr>
        <w:trPr>
          <w:trHeight w:val="189"/>
        </w:trPr>
        <w:tc>
          <w:tcPr>
            <w:tcW w:w="346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rPr>
              <w:t>Chief Executive Officer</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3460" w:type="dxa"/>
            <w:vAlign w:val="bottom"/>
          </w:tcPr>
          <w:p>
            <w:pPr>
              <w:spacing w:after="0"/>
              <w:rPr>
                <w:sz w:val="20"/>
                <w:szCs w:val="20"/>
                <w:color w:val="auto"/>
              </w:rPr>
            </w:pPr>
            <w:r>
              <w:rPr>
                <w:rFonts w:ascii="Arial" w:cs="Arial" w:eastAsia="Arial" w:hAnsi="Arial"/>
                <w:sz w:val="16"/>
                <w:szCs w:val="16"/>
                <w:color w:val="auto"/>
              </w:rPr>
              <w:t>Harold Bernstein, M.D., Ph.D</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510,000</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204,000</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75,000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4,500</w:t>
            </w:r>
          </w:p>
        </w:tc>
        <w:tc>
          <w:tcPr>
            <w:tcW w:w="960" w:type="dxa"/>
            <w:vAlign w:val="bottom"/>
          </w:tcPr>
          <w:p>
            <w:pPr>
              <w:jc w:val="right"/>
              <w:spacing w:after="0"/>
              <w:rPr>
                <w:sz w:val="20"/>
                <w:szCs w:val="20"/>
                <w:color w:val="auto"/>
              </w:rPr>
            </w:pPr>
            <w:r>
              <w:rPr>
                <w:rFonts w:ascii="Arial" w:cs="Arial" w:eastAsia="Arial" w:hAnsi="Arial"/>
                <w:sz w:val="16"/>
                <w:szCs w:val="16"/>
                <w:color w:val="auto"/>
              </w:rPr>
              <w:t>793,500</w:t>
            </w:r>
          </w:p>
        </w:tc>
      </w:tr>
      <w:tr>
        <w:trPr>
          <w:trHeight w:val="177"/>
        </w:trPr>
        <w:tc>
          <w:tcPr>
            <w:tcW w:w="3460" w:type="dxa"/>
            <w:vAlign w:val="bottom"/>
            <w:shd w:val="clear" w:color="auto" w:fill="CCEEFF"/>
          </w:tcPr>
          <w:p>
            <w:pPr>
              <w:ind w:left="160"/>
              <w:spacing w:after="0" w:line="177" w:lineRule="exact"/>
              <w:rPr>
                <w:sz w:val="20"/>
                <w:szCs w:val="20"/>
                <w:color w:val="auto"/>
              </w:rPr>
            </w:pPr>
            <w:r>
              <w:rPr>
                <w:rFonts w:ascii="Arial" w:cs="Arial" w:eastAsia="Arial" w:hAnsi="Arial"/>
                <w:sz w:val="16"/>
                <w:szCs w:val="16"/>
                <w:i w:val="1"/>
                <w:iCs w:val="1"/>
                <w:color w:val="auto"/>
              </w:rPr>
              <w:t>President, Research and Development and</w:t>
            </w:r>
          </w:p>
        </w:tc>
        <w:tc>
          <w:tcPr>
            <w:tcW w:w="6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1"/>
        </w:trPr>
        <w:tc>
          <w:tcPr>
            <w:tcW w:w="34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Chief Medical Officer</w:t>
            </w: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89"/>
        </w:trPr>
        <w:tc>
          <w:tcPr>
            <w:tcW w:w="3460" w:type="dxa"/>
            <w:vAlign w:val="bottom"/>
          </w:tcPr>
          <w:p>
            <w:pPr>
              <w:spacing w:after="0"/>
              <w:rPr>
                <w:sz w:val="20"/>
                <w:szCs w:val="20"/>
                <w:color w:val="auto"/>
              </w:rPr>
            </w:pPr>
            <w:r>
              <w:rPr>
                <w:rFonts w:ascii="Arial" w:cs="Arial" w:eastAsia="Arial" w:hAnsi="Arial"/>
                <w:sz w:val="16"/>
                <w:szCs w:val="16"/>
                <w:color w:val="auto"/>
              </w:rPr>
              <w:t>Atul Dandekar</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398,833</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158,000</w:t>
            </w: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447,657</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4,500</w:t>
            </w:r>
          </w:p>
        </w:tc>
        <w:tc>
          <w:tcPr>
            <w:tcW w:w="960" w:type="dxa"/>
            <w:vAlign w:val="bottom"/>
          </w:tcPr>
          <w:p>
            <w:pPr>
              <w:jc w:val="right"/>
              <w:spacing w:after="0"/>
              <w:rPr>
                <w:sz w:val="20"/>
                <w:szCs w:val="20"/>
                <w:color w:val="auto"/>
              </w:rPr>
            </w:pPr>
            <w:r>
              <w:rPr>
                <w:rFonts w:ascii="Arial" w:cs="Arial" w:eastAsia="Arial" w:hAnsi="Arial"/>
                <w:sz w:val="16"/>
                <w:szCs w:val="16"/>
                <w:color w:val="auto"/>
              </w:rPr>
              <w:t>1,008,990</w:t>
            </w:r>
          </w:p>
        </w:tc>
      </w:tr>
      <w:tr>
        <w:trPr>
          <w:trHeight w:val="189"/>
        </w:trPr>
        <w:tc>
          <w:tcPr>
            <w:tcW w:w="346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rPr>
              <w:t>Chief Strategy Officer</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264" w:lineRule="exact"/>
        <w:rPr>
          <w:sz w:val="20"/>
          <w:szCs w:val="20"/>
          <w:color w:val="auto"/>
        </w:rPr>
      </w:pPr>
    </w:p>
    <w:p>
      <w:pPr>
        <w:ind w:left="440" w:hanging="324"/>
        <w:spacing w:after="0"/>
        <w:tabs>
          <w:tab w:leader="none" w:pos="4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For additional information regarding the non-equity incentive plan compensation, see the section entitled “Annual performance-based bonuses.”</w:t>
      </w:r>
    </w:p>
    <w:p>
      <w:pPr>
        <w:spacing w:after="0" w:line="93" w:lineRule="exact"/>
        <w:rPr>
          <w:rFonts w:ascii="Arial" w:cs="Arial" w:eastAsia="Arial" w:hAnsi="Arial"/>
          <w:sz w:val="13"/>
          <w:szCs w:val="13"/>
          <w:color w:val="auto"/>
        </w:rPr>
      </w:pPr>
    </w:p>
    <w:p>
      <w:pPr>
        <w:ind w:left="440" w:right="60" w:hanging="324"/>
        <w:spacing w:after="0" w:line="252" w:lineRule="auto"/>
        <w:tabs>
          <w:tab w:leader="none" w:pos="4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Represents the grant date fair value of options awarded during the year ended December 31, 2023 as computed in accordance with FASB ASC Topic 718. The assumptions used in calculating the grant date fair value of the stock options reported in the Options Award column are set forth in Note 7 to our financial statements included elsewhere in this prospectus. Note that the amounts reported in this column reflect the aggregate accounting cost for these awards, and do not necessarily correspond to the actual economic value that may be received by each named executive officer from the options.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2023 base salaries</w:t>
      </w:r>
    </w:p>
    <w:p>
      <w:pPr>
        <w:spacing w:after="0" w:line="148"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Base salary is the only fixed component of our named executive officers’ total cash compensation and provides competitive and stable pay to attract and retain our executives. We make annual salary decisions by taking into account competitive data, the skills and experience that each executive brings to us, and the performance contributions of each executive. The base salaries for our named executive officers for the year ended December 31, 2023 is included in the Summary compensation table above.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Annual performance-based bonuses</w:t>
      </w:r>
    </w:p>
    <w:p>
      <w:pPr>
        <w:spacing w:after="0" w:line="148"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Annual bonuses for our executive officers are based on the achievement of corporate and, for all of the executive officers other than our Chief Executive Officer, individual performance objectives. The 2023 target bonus amounts for our named executive officers, expressed as a percentage of annual base salary, were 45% for Dr. Coloma, 40% for Dr. Bernstein and 35% for Mr. Dandekar.</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Outstanding equity awards at 2023 fiscal year-end table</w:t>
      </w:r>
    </w:p>
    <w:p>
      <w:pPr>
        <w:spacing w:after="0" w:line="148"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of our named executive officers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Option awards</w:t>
            </w:r>
          </w:p>
        </w:tc>
      </w:tr>
      <w:tr>
        <w:trPr>
          <w:trHeight w:val="146"/>
        </w:trPr>
        <w:tc>
          <w:tcPr>
            <w:tcW w:w="43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6"/>
              <w:spacing w:after="0" w:line="147" w:lineRule="exact"/>
              <w:rPr>
                <w:sz w:val="20"/>
                <w:szCs w:val="20"/>
                <w:color w:val="auto"/>
              </w:rPr>
            </w:pPr>
            <w:r>
              <w:rPr>
                <w:rFonts w:ascii="Arial" w:cs="Arial" w:eastAsia="Arial" w:hAnsi="Arial"/>
                <w:sz w:val="14"/>
                <w:szCs w:val="14"/>
                <w:b w:val="1"/>
                <w:bCs w:val="1"/>
                <w:color w:val="auto"/>
              </w:rPr>
              <w:t>Equity</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jc w:val="right"/>
              <w:ind w:right="46"/>
              <w:spacing w:after="0"/>
              <w:rPr>
                <w:sz w:val="20"/>
                <w:szCs w:val="20"/>
                <w:color w:val="auto"/>
              </w:rPr>
            </w:pPr>
            <w:r>
              <w:rPr>
                <w:rFonts w:ascii="Arial" w:cs="Arial" w:eastAsia="Arial" w:hAnsi="Arial"/>
                <w:sz w:val="14"/>
                <w:szCs w:val="14"/>
                <w:b w:val="1"/>
                <w:bCs w:val="1"/>
                <w:color w:val="auto"/>
              </w:rPr>
              <w:t>incentive</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jc w:val="right"/>
              <w:ind w:right="46"/>
              <w:spacing w:after="0"/>
              <w:rPr>
                <w:sz w:val="20"/>
                <w:szCs w:val="20"/>
                <w:color w:val="auto"/>
              </w:rPr>
            </w:pPr>
            <w:r>
              <w:rPr>
                <w:rFonts w:ascii="Arial" w:cs="Arial" w:eastAsia="Arial" w:hAnsi="Arial"/>
                <w:sz w:val="14"/>
                <w:szCs w:val="14"/>
                <w:b w:val="1"/>
                <w:bCs w:val="1"/>
                <w:color w:val="auto"/>
              </w:rPr>
              <w:t>plan</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jc w:val="right"/>
              <w:ind w:right="46"/>
              <w:spacing w:after="0"/>
              <w:rPr>
                <w:sz w:val="20"/>
                <w:szCs w:val="20"/>
                <w:color w:val="auto"/>
              </w:rPr>
            </w:pPr>
            <w:r>
              <w:rPr>
                <w:rFonts w:ascii="Arial" w:cs="Arial" w:eastAsia="Arial" w:hAnsi="Arial"/>
                <w:sz w:val="14"/>
                <w:szCs w:val="14"/>
                <w:b w:val="1"/>
                <w:bCs w:val="1"/>
                <w:color w:val="auto"/>
              </w:rPr>
              <w:t>awards:</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auto"/>
              </w:rPr>
              <w:t>Number of</w:t>
            </w:r>
          </w:p>
        </w:tc>
        <w:tc>
          <w:tcPr>
            <w:tcW w:w="1420" w:type="dxa"/>
            <w:vAlign w:val="bottom"/>
          </w:tcPr>
          <w:p>
            <w:pPr>
              <w:jc w:val="right"/>
              <w:ind w:right="245"/>
              <w:spacing w:after="0"/>
              <w:rPr>
                <w:sz w:val="20"/>
                <w:szCs w:val="20"/>
                <w:color w:val="auto"/>
              </w:rPr>
            </w:pPr>
            <w:r>
              <w:rPr>
                <w:rFonts w:ascii="Arial" w:cs="Arial" w:eastAsia="Arial" w:hAnsi="Arial"/>
                <w:sz w:val="14"/>
                <w:szCs w:val="14"/>
                <w:b w:val="1"/>
                <w:bCs w:val="1"/>
                <w:color w:val="auto"/>
              </w:rPr>
              <w:t>Number of</w:t>
            </w:r>
          </w:p>
        </w:tc>
        <w:tc>
          <w:tcPr>
            <w:tcW w:w="1120" w:type="dxa"/>
            <w:vAlign w:val="bottom"/>
          </w:tcPr>
          <w:p>
            <w:pPr>
              <w:jc w:val="right"/>
              <w:ind w:right="46"/>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auto"/>
              </w:rPr>
              <w:t>securities</w:t>
            </w:r>
          </w:p>
        </w:tc>
        <w:tc>
          <w:tcPr>
            <w:tcW w:w="1420" w:type="dxa"/>
            <w:vAlign w:val="bottom"/>
          </w:tcPr>
          <w:p>
            <w:pPr>
              <w:jc w:val="right"/>
              <w:ind w:right="245"/>
              <w:spacing w:after="0"/>
              <w:rPr>
                <w:sz w:val="20"/>
                <w:szCs w:val="20"/>
                <w:color w:val="auto"/>
              </w:rPr>
            </w:pPr>
            <w:r>
              <w:rPr>
                <w:rFonts w:ascii="Arial" w:cs="Arial" w:eastAsia="Arial" w:hAnsi="Arial"/>
                <w:sz w:val="14"/>
                <w:szCs w:val="14"/>
                <w:b w:val="1"/>
                <w:bCs w:val="1"/>
                <w:color w:val="auto"/>
              </w:rPr>
              <w:t>securities</w:t>
            </w:r>
          </w:p>
        </w:tc>
        <w:tc>
          <w:tcPr>
            <w:tcW w:w="1120" w:type="dxa"/>
            <w:vAlign w:val="bottom"/>
          </w:tcPr>
          <w:p>
            <w:pPr>
              <w:jc w:val="right"/>
              <w:ind w:right="46"/>
              <w:spacing w:after="0"/>
              <w:rPr>
                <w:sz w:val="20"/>
                <w:szCs w:val="20"/>
                <w:color w:val="auto"/>
              </w:rPr>
            </w:pPr>
            <w:r>
              <w:rPr>
                <w:rFonts w:ascii="Arial" w:cs="Arial" w:eastAsia="Arial" w:hAnsi="Arial"/>
                <w:sz w:val="14"/>
                <w:szCs w:val="14"/>
                <w:b w:val="1"/>
                <w:bCs w:val="1"/>
                <w:color w:val="auto"/>
              </w:rPr>
              <w:t>Securities</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auto"/>
              </w:rPr>
              <w:t>underlying</w:t>
            </w:r>
          </w:p>
        </w:tc>
        <w:tc>
          <w:tcPr>
            <w:tcW w:w="1420" w:type="dxa"/>
            <w:vAlign w:val="bottom"/>
          </w:tcPr>
          <w:p>
            <w:pPr>
              <w:jc w:val="right"/>
              <w:ind w:right="245"/>
              <w:spacing w:after="0"/>
              <w:rPr>
                <w:sz w:val="20"/>
                <w:szCs w:val="20"/>
                <w:color w:val="auto"/>
              </w:rPr>
            </w:pPr>
            <w:r>
              <w:rPr>
                <w:rFonts w:ascii="Arial" w:cs="Arial" w:eastAsia="Arial" w:hAnsi="Arial"/>
                <w:sz w:val="14"/>
                <w:szCs w:val="14"/>
                <w:b w:val="1"/>
                <w:bCs w:val="1"/>
                <w:color w:val="auto"/>
              </w:rPr>
              <w:t>underlying</w:t>
            </w:r>
          </w:p>
        </w:tc>
        <w:tc>
          <w:tcPr>
            <w:tcW w:w="1120" w:type="dxa"/>
            <w:vAlign w:val="bottom"/>
          </w:tcPr>
          <w:p>
            <w:pPr>
              <w:jc w:val="right"/>
              <w:ind w:right="46"/>
              <w:spacing w:after="0"/>
              <w:rPr>
                <w:sz w:val="20"/>
                <w:szCs w:val="20"/>
                <w:color w:val="auto"/>
              </w:rPr>
            </w:pPr>
            <w:r>
              <w:rPr>
                <w:rFonts w:ascii="Arial" w:cs="Arial" w:eastAsia="Arial" w:hAnsi="Arial"/>
                <w:sz w:val="14"/>
                <w:szCs w:val="14"/>
                <w:b w:val="1"/>
                <w:bCs w:val="1"/>
                <w:color w:val="auto"/>
              </w:rPr>
              <w:t>Underlying</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auto"/>
              </w:rPr>
              <w:t>unexercised</w:t>
            </w:r>
          </w:p>
        </w:tc>
        <w:tc>
          <w:tcPr>
            <w:tcW w:w="1420" w:type="dxa"/>
            <w:vAlign w:val="bottom"/>
          </w:tcPr>
          <w:p>
            <w:pPr>
              <w:jc w:val="right"/>
              <w:ind w:right="245"/>
              <w:spacing w:after="0"/>
              <w:rPr>
                <w:sz w:val="20"/>
                <w:szCs w:val="20"/>
                <w:color w:val="auto"/>
              </w:rPr>
            </w:pPr>
            <w:r>
              <w:rPr>
                <w:rFonts w:ascii="Arial" w:cs="Arial" w:eastAsia="Arial" w:hAnsi="Arial"/>
                <w:sz w:val="14"/>
                <w:szCs w:val="14"/>
                <w:b w:val="1"/>
                <w:bCs w:val="1"/>
                <w:color w:val="auto"/>
              </w:rPr>
              <w:t>unexercised</w:t>
            </w:r>
          </w:p>
        </w:tc>
        <w:tc>
          <w:tcPr>
            <w:tcW w:w="1120" w:type="dxa"/>
            <w:vAlign w:val="bottom"/>
          </w:tcPr>
          <w:p>
            <w:pPr>
              <w:jc w:val="right"/>
              <w:ind w:right="46"/>
              <w:spacing w:after="0"/>
              <w:rPr>
                <w:sz w:val="20"/>
                <w:szCs w:val="20"/>
                <w:color w:val="auto"/>
              </w:rPr>
            </w:pPr>
            <w:r>
              <w:rPr>
                <w:rFonts w:ascii="Arial" w:cs="Arial" w:eastAsia="Arial" w:hAnsi="Arial"/>
                <w:sz w:val="14"/>
                <w:szCs w:val="14"/>
                <w:b w:val="1"/>
                <w:bCs w:val="1"/>
                <w:color w:val="auto"/>
              </w:rPr>
              <w:t>Unexercised</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Option</w:t>
            </w:r>
          </w:p>
        </w:tc>
      </w:tr>
      <w:tr>
        <w:trPr>
          <w:trHeight w:val="162"/>
        </w:trPr>
        <w:tc>
          <w:tcPr>
            <w:tcW w:w="4340" w:type="dxa"/>
            <w:vAlign w:val="bottom"/>
          </w:tcPr>
          <w:p>
            <w:pPr>
              <w:spacing w:after="0"/>
              <w:rPr>
                <w:sz w:val="14"/>
                <w:szCs w:val="14"/>
                <w:color w:val="auto"/>
              </w:rPr>
            </w:pPr>
          </w:p>
        </w:tc>
        <w:tc>
          <w:tcPr>
            <w:tcW w:w="1140" w:type="dxa"/>
            <w:vAlign w:val="bottom"/>
          </w:tcPr>
          <w:p>
            <w:pPr>
              <w:jc w:val="right"/>
              <w:ind w:right="244"/>
              <w:spacing w:after="0"/>
              <w:rPr>
                <w:sz w:val="20"/>
                <w:szCs w:val="20"/>
                <w:color w:val="auto"/>
              </w:rPr>
            </w:pPr>
            <w:r>
              <w:rPr>
                <w:rFonts w:ascii="Arial" w:cs="Arial" w:eastAsia="Arial" w:hAnsi="Arial"/>
                <w:sz w:val="14"/>
                <w:szCs w:val="14"/>
                <w:b w:val="1"/>
                <w:bCs w:val="1"/>
                <w:color w:val="auto"/>
              </w:rPr>
              <w:t>Grant</w:t>
            </w:r>
          </w:p>
        </w:tc>
        <w:tc>
          <w:tcPr>
            <w:tcW w:w="1120" w:type="dxa"/>
            <w:vAlign w:val="bottom"/>
          </w:tcPr>
          <w:p>
            <w:pPr>
              <w:jc w:val="right"/>
              <w:ind w:right="65"/>
              <w:spacing w:after="0"/>
              <w:rPr>
                <w:sz w:val="20"/>
                <w:szCs w:val="20"/>
                <w:color w:val="auto"/>
              </w:rPr>
            </w:pPr>
            <w:r>
              <w:rPr>
                <w:rFonts w:ascii="Arial" w:cs="Arial" w:eastAsia="Arial" w:hAnsi="Arial"/>
                <w:sz w:val="14"/>
                <w:szCs w:val="14"/>
                <w:b w:val="1"/>
                <w:bCs w:val="1"/>
                <w:color w:val="auto"/>
              </w:rPr>
              <w:t>options</w:t>
            </w:r>
          </w:p>
        </w:tc>
        <w:tc>
          <w:tcPr>
            <w:tcW w:w="1420" w:type="dxa"/>
            <w:vAlign w:val="bottom"/>
          </w:tcPr>
          <w:p>
            <w:pPr>
              <w:jc w:val="right"/>
              <w:ind w:right="245"/>
              <w:spacing w:after="0"/>
              <w:rPr>
                <w:sz w:val="20"/>
                <w:szCs w:val="20"/>
                <w:color w:val="auto"/>
              </w:rPr>
            </w:pPr>
            <w:r>
              <w:rPr>
                <w:rFonts w:ascii="Arial" w:cs="Arial" w:eastAsia="Arial" w:hAnsi="Arial"/>
                <w:sz w:val="14"/>
                <w:szCs w:val="14"/>
                <w:b w:val="1"/>
                <w:bCs w:val="1"/>
                <w:color w:val="auto"/>
              </w:rPr>
              <w:t>options</w:t>
            </w:r>
          </w:p>
        </w:tc>
        <w:tc>
          <w:tcPr>
            <w:tcW w:w="1120" w:type="dxa"/>
            <w:vAlign w:val="bottom"/>
          </w:tcPr>
          <w:p>
            <w:pPr>
              <w:jc w:val="right"/>
              <w:ind w:right="46"/>
              <w:spacing w:after="0"/>
              <w:rPr>
                <w:sz w:val="20"/>
                <w:szCs w:val="20"/>
                <w:color w:val="auto"/>
              </w:rPr>
            </w:pPr>
            <w:r>
              <w:rPr>
                <w:rFonts w:ascii="Arial" w:cs="Arial" w:eastAsia="Arial" w:hAnsi="Arial"/>
                <w:sz w:val="14"/>
                <w:szCs w:val="14"/>
                <w:b w:val="1"/>
                <w:bCs w:val="1"/>
                <w:color w:val="auto"/>
              </w:rPr>
              <w:t>Unearned</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exercise</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expiration</w:t>
            </w:r>
          </w:p>
        </w:tc>
      </w:tr>
      <w:tr>
        <w:trPr>
          <w:trHeight w:val="185"/>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date(1)</w:t>
            </w:r>
          </w:p>
        </w:tc>
        <w:tc>
          <w:tcPr>
            <w:tcW w:w="11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exercisable</w:t>
            </w:r>
          </w:p>
        </w:tc>
        <w:tc>
          <w:tcPr>
            <w:tcW w:w="142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unexercisable</w:t>
            </w:r>
          </w:p>
        </w:tc>
        <w:tc>
          <w:tcPr>
            <w:tcW w:w="11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Options(#)</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price($)</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date</w:t>
            </w:r>
          </w:p>
        </w:tc>
      </w:tr>
      <w:tr>
        <w:trPr>
          <w:trHeight w:val="48"/>
        </w:trPr>
        <w:tc>
          <w:tcPr>
            <w:tcW w:w="4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Jason Coloma, Ph.D.</w:t>
            </w:r>
          </w:p>
        </w:tc>
        <w:tc>
          <w:tcPr>
            <w:tcW w:w="114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2/2/2021(2)</w:t>
            </w:r>
          </w:p>
        </w:tc>
        <w:tc>
          <w:tcPr>
            <w:tcW w:w="112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4,639,583</w:t>
            </w:r>
          </w:p>
        </w:tc>
        <w:tc>
          <w:tcPr>
            <w:tcW w:w="1420" w:type="dxa"/>
            <w:vAlign w:val="bottom"/>
            <w:shd w:val="clear" w:color="auto" w:fill="CCEEFF"/>
          </w:tcPr>
          <w:p>
            <w:pPr>
              <w:jc w:val="right"/>
              <w:ind w:right="45"/>
              <w:spacing w:after="0" w:line="162" w:lineRule="exact"/>
              <w:rPr>
                <w:sz w:val="20"/>
                <w:szCs w:val="20"/>
                <w:color w:val="auto"/>
              </w:rPr>
            </w:pPr>
            <w:r>
              <w:rPr>
                <w:rFonts w:ascii="Arial" w:cs="Arial" w:eastAsia="Arial" w:hAnsi="Arial"/>
                <w:sz w:val="15"/>
                <w:szCs w:val="15"/>
                <w:color w:val="auto"/>
              </w:rPr>
              <w:t>1,910,417(3)</w:t>
            </w:r>
          </w:p>
        </w:tc>
        <w:tc>
          <w:tcPr>
            <w:tcW w:w="11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1.16</w:t>
            </w:r>
          </w:p>
        </w:tc>
        <w:tc>
          <w:tcPr>
            <w:tcW w:w="11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2/1/2031</w:t>
            </w:r>
          </w:p>
        </w:tc>
      </w:tr>
      <w:tr>
        <w:trPr>
          <w:trHeight w:val="200"/>
        </w:trPr>
        <w:tc>
          <w:tcPr>
            <w:tcW w:w="4340" w:type="dxa"/>
            <w:vAlign w:val="bottom"/>
          </w:tcPr>
          <w:p>
            <w:pPr>
              <w:spacing w:after="0"/>
              <w:rPr>
                <w:sz w:val="20"/>
                <w:szCs w:val="20"/>
                <w:color w:val="auto"/>
              </w:rPr>
            </w:pPr>
            <w:r>
              <w:rPr>
                <w:rFonts w:ascii="Arial" w:cs="Arial" w:eastAsia="Arial" w:hAnsi="Arial"/>
                <w:sz w:val="15"/>
                <w:szCs w:val="15"/>
                <w:i w:val="1"/>
                <w:iCs w:val="1"/>
                <w:color w:val="auto"/>
              </w:rPr>
              <w:t>Chief Executive Officer</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3/17/2022(4)</w:t>
            </w:r>
          </w:p>
        </w:tc>
        <w:tc>
          <w:tcPr>
            <w:tcW w:w="1120" w:type="dxa"/>
            <w:vAlign w:val="bottom"/>
          </w:tcPr>
          <w:p>
            <w:pPr>
              <w:jc w:val="right"/>
              <w:ind w:right="65"/>
              <w:spacing w:after="0"/>
              <w:rPr>
                <w:sz w:val="20"/>
                <w:szCs w:val="20"/>
                <w:color w:val="auto"/>
              </w:rPr>
            </w:pPr>
            <w:r>
              <w:rPr>
                <w:rFonts w:ascii="Arial" w:cs="Arial" w:eastAsia="Arial" w:hAnsi="Arial"/>
                <w:sz w:val="15"/>
                <w:szCs w:val="15"/>
                <w:color w:val="auto"/>
              </w:rPr>
              <w:t>412,500</w:t>
            </w:r>
          </w:p>
        </w:tc>
        <w:tc>
          <w:tcPr>
            <w:tcW w:w="1420" w:type="dxa"/>
            <w:vAlign w:val="bottom"/>
          </w:tcPr>
          <w:p>
            <w:pPr>
              <w:jc w:val="right"/>
              <w:ind w:right="245"/>
              <w:spacing w:after="0"/>
              <w:rPr>
                <w:sz w:val="20"/>
                <w:szCs w:val="20"/>
                <w:color w:val="auto"/>
              </w:rPr>
            </w:pPr>
            <w:r>
              <w:rPr>
                <w:rFonts w:ascii="Arial" w:cs="Arial" w:eastAsia="Arial" w:hAnsi="Arial"/>
                <w:sz w:val="15"/>
                <w:szCs w:val="15"/>
                <w:color w:val="auto"/>
              </w:rPr>
              <w:t>487,500</w:t>
            </w: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40" w:type="dxa"/>
            <w:vAlign w:val="bottom"/>
          </w:tcPr>
          <w:p>
            <w:pPr>
              <w:ind w:left="140"/>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2.00</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3/16/2032</w:t>
            </w:r>
          </w:p>
        </w:tc>
      </w:tr>
      <w:tr>
        <w:trPr>
          <w:trHeight w:val="29"/>
        </w:trPr>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Arial" w:cs="Arial" w:eastAsia="Arial" w:hAnsi="Arial"/>
                <w:sz w:val="15"/>
                <w:szCs w:val="15"/>
                <w:i w:val="1"/>
                <w:iCs w:val="1"/>
                <w:color w:val="auto"/>
              </w:rPr>
              <w:t xml:space="preserve">                </w:t>
            </w:r>
          </w:p>
        </w:tc>
        <w:tc>
          <w:tcPr>
            <w:tcW w:w="114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3/9/2023(5)</w:t>
            </w:r>
          </w:p>
        </w:tc>
        <w:tc>
          <w:tcPr>
            <w:tcW w:w="112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146,250</w:t>
            </w:r>
          </w:p>
        </w:tc>
        <w:tc>
          <w:tcPr>
            <w:tcW w:w="1420" w:type="dxa"/>
            <w:vAlign w:val="bottom"/>
            <w:shd w:val="clear" w:color="auto" w:fill="CCEEFF"/>
          </w:tcPr>
          <w:p>
            <w:pPr>
              <w:jc w:val="right"/>
              <w:ind w:right="245"/>
              <w:spacing w:after="0" w:line="162" w:lineRule="exact"/>
              <w:rPr>
                <w:sz w:val="20"/>
                <w:szCs w:val="20"/>
                <w:color w:val="auto"/>
              </w:rPr>
            </w:pPr>
            <w:r>
              <w:rPr>
                <w:rFonts w:ascii="Arial" w:cs="Arial" w:eastAsia="Arial" w:hAnsi="Arial"/>
                <w:sz w:val="15"/>
                <w:szCs w:val="15"/>
                <w:color w:val="auto"/>
              </w:rPr>
              <w:t>633,750</w:t>
            </w:r>
          </w:p>
        </w:tc>
        <w:tc>
          <w:tcPr>
            <w:tcW w:w="11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1.84</w:t>
            </w:r>
          </w:p>
        </w:tc>
        <w:tc>
          <w:tcPr>
            <w:tcW w:w="11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3/8/2033</w:t>
            </w:r>
          </w:p>
        </w:tc>
      </w:tr>
      <w:tr>
        <w:trPr>
          <w:trHeight w:val="200"/>
        </w:trPr>
        <w:tc>
          <w:tcPr>
            <w:tcW w:w="4340" w:type="dxa"/>
            <w:vAlign w:val="bottom"/>
          </w:tcPr>
          <w:p>
            <w:pPr>
              <w:spacing w:after="0"/>
              <w:rPr>
                <w:sz w:val="20"/>
                <w:szCs w:val="20"/>
                <w:color w:val="auto"/>
              </w:rPr>
            </w:pPr>
            <w:r>
              <w:rPr>
                <w:rFonts w:ascii="Arial" w:cs="Arial" w:eastAsia="Arial" w:hAnsi="Arial"/>
                <w:sz w:val="15"/>
                <w:szCs w:val="15"/>
                <w:i w:val="1"/>
                <w:iCs w:val="1"/>
                <w:color w:val="auto"/>
              </w:rPr>
              <w:t xml:space="preserve">                </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3/9/2023(6)</w:t>
            </w:r>
          </w:p>
        </w:tc>
        <w:tc>
          <w:tcPr>
            <w:tcW w:w="112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500,000</w:t>
            </w:r>
          </w:p>
        </w:tc>
        <w:tc>
          <w:tcPr>
            <w:tcW w:w="240" w:type="dxa"/>
            <w:vAlign w:val="bottom"/>
          </w:tcPr>
          <w:p>
            <w:pPr>
              <w:ind w:left="140"/>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1.84</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3/8/2033</w:t>
            </w:r>
          </w:p>
        </w:tc>
      </w:tr>
      <w:tr>
        <w:trPr>
          <w:trHeight w:val="29"/>
        </w:trPr>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Harold Bernstein, M.D., Ph.D</w:t>
            </w:r>
          </w:p>
        </w:tc>
        <w:tc>
          <w:tcPr>
            <w:tcW w:w="114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10/27/2022(7)</w:t>
            </w:r>
          </w:p>
        </w:tc>
        <w:tc>
          <w:tcPr>
            <w:tcW w:w="112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1,089,375</w:t>
            </w:r>
          </w:p>
        </w:tc>
        <w:tc>
          <w:tcPr>
            <w:tcW w:w="1420" w:type="dxa"/>
            <w:vAlign w:val="bottom"/>
            <w:shd w:val="clear" w:color="auto" w:fill="CCEEFF"/>
          </w:tcPr>
          <w:p>
            <w:pPr>
              <w:jc w:val="right"/>
              <w:ind w:right="245"/>
              <w:spacing w:after="0" w:line="162" w:lineRule="exact"/>
              <w:rPr>
                <w:sz w:val="20"/>
                <w:szCs w:val="20"/>
                <w:color w:val="auto"/>
              </w:rPr>
            </w:pPr>
            <w:r>
              <w:rPr>
                <w:rFonts w:ascii="Arial" w:cs="Arial" w:eastAsia="Arial" w:hAnsi="Arial"/>
                <w:sz w:val="15"/>
                <w:szCs w:val="15"/>
                <w:color w:val="auto"/>
              </w:rPr>
              <w:t>2,645,625</w:t>
            </w:r>
          </w:p>
        </w:tc>
        <w:tc>
          <w:tcPr>
            <w:tcW w:w="11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2.00</w:t>
            </w:r>
          </w:p>
        </w:tc>
        <w:tc>
          <w:tcPr>
            <w:tcW w:w="11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10/26/2032</w:t>
            </w:r>
          </w:p>
        </w:tc>
      </w:tr>
      <w:tr>
        <w:trPr>
          <w:trHeight w:val="145"/>
        </w:trPr>
        <w:tc>
          <w:tcPr>
            <w:tcW w:w="4340" w:type="dxa"/>
            <w:vAlign w:val="bottom"/>
          </w:tcPr>
          <w:p>
            <w:pPr>
              <w:spacing w:after="0" w:line="145" w:lineRule="exact"/>
              <w:rPr>
                <w:sz w:val="20"/>
                <w:szCs w:val="20"/>
                <w:color w:val="auto"/>
              </w:rPr>
            </w:pPr>
            <w:r>
              <w:rPr>
                <w:rFonts w:ascii="Arial" w:cs="Arial" w:eastAsia="Arial" w:hAnsi="Arial"/>
                <w:sz w:val="15"/>
                <w:szCs w:val="15"/>
                <w:i w:val="1"/>
                <w:iCs w:val="1"/>
                <w:color w:val="auto"/>
              </w:rPr>
              <w:t>President, Research and Development and Chief Medical</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0"/>
        </w:trPr>
        <w:tc>
          <w:tcPr>
            <w:tcW w:w="4340" w:type="dxa"/>
            <w:vAlign w:val="bottom"/>
          </w:tcPr>
          <w:p>
            <w:pPr>
              <w:ind w:left="140"/>
              <w:spacing w:after="0"/>
              <w:rPr>
                <w:sz w:val="20"/>
                <w:szCs w:val="20"/>
                <w:color w:val="auto"/>
              </w:rPr>
            </w:pPr>
            <w:r>
              <w:rPr>
                <w:rFonts w:ascii="Arial" w:cs="Arial" w:eastAsia="Arial" w:hAnsi="Arial"/>
                <w:sz w:val="15"/>
                <w:szCs w:val="15"/>
                <w:i w:val="1"/>
                <w:iCs w:val="1"/>
                <w:color w:val="auto"/>
              </w:rPr>
              <w:t>Officer</w:t>
            </w: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6"/>
        </w:trPr>
        <w:tc>
          <w:tcPr>
            <w:tcW w:w="4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Atul Dandekar</w:t>
            </w:r>
          </w:p>
        </w:tc>
        <w:tc>
          <w:tcPr>
            <w:tcW w:w="114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4/12/2021(8)</w:t>
            </w:r>
          </w:p>
        </w:tc>
        <w:tc>
          <w:tcPr>
            <w:tcW w:w="112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945,044</w:t>
            </w:r>
          </w:p>
        </w:tc>
        <w:tc>
          <w:tcPr>
            <w:tcW w:w="1420" w:type="dxa"/>
            <w:vAlign w:val="bottom"/>
            <w:shd w:val="clear" w:color="auto" w:fill="CCEEFF"/>
          </w:tcPr>
          <w:p>
            <w:pPr>
              <w:jc w:val="right"/>
              <w:ind w:right="45"/>
              <w:spacing w:after="0" w:line="162" w:lineRule="exact"/>
              <w:rPr>
                <w:sz w:val="20"/>
                <w:szCs w:val="20"/>
                <w:color w:val="auto"/>
              </w:rPr>
            </w:pPr>
            <w:r>
              <w:rPr>
                <w:rFonts w:ascii="Arial" w:cs="Arial" w:eastAsia="Arial" w:hAnsi="Arial"/>
                <w:sz w:val="15"/>
                <w:szCs w:val="15"/>
                <w:color w:val="auto"/>
              </w:rPr>
              <w:t>468,750(3)</w:t>
            </w:r>
          </w:p>
        </w:tc>
        <w:tc>
          <w:tcPr>
            <w:tcW w:w="11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1.16</w:t>
            </w:r>
          </w:p>
        </w:tc>
        <w:tc>
          <w:tcPr>
            <w:tcW w:w="11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4/11/2031</w:t>
            </w:r>
          </w:p>
        </w:tc>
      </w:tr>
      <w:tr>
        <w:trPr>
          <w:trHeight w:val="200"/>
        </w:trPr>
        <w:tc>
          <w:tcPr>
            <w:tcW w:w="4340" w:type="dxa"/>
            <w:vAlign w:val="bottom"/>
          </w:tcPr>
          <w:p>
            <w:pPr>
              <w:spacing w:after="0"/>
              <w:rPr>
                <w:sz w:val="20"/>
                <w:szCs w:val="20"/>
                <w:color w:val="auto"/>
              </w:rPr>
            </w:pPr>
            <w:r>
              <w:rPr>
                <w:rFonts w:ascii="Arial" w:cs="Arial" w:eastAsia="Arial" w:hAnsi="Arial"/>
                <w:sz w:val="15"/>
                <w:szCs w:val="15"/>
                <w:i w:val="1"/>
                <w:iCs w:val="1"/>
                <w:color w:val="auto"/>
              </w:rPr>
              <w:t>Chief Strategy Officer</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3/16/2022(4)</w:t>
            </w:r>
          </w:p>
        </w:tc>
        <w:tc>
          <w:tcPr>
            <w:tcW w:w="1120" w:type="dxa"/>
            <w:vAlign w:val="bottom"/>
          </w:tcPr>
          <w:p>
            <w:pPr>
              <w:jc w:val="right"/>
              <w:ind w:right="65"/>
              <w:spacing w:after="0"/>
              <w:rPr>
                <w:sz w:val="20"/>
                <w:szCs w:val="20"/>
                <w:color w:val="auto"/>
              </w:rPr>
            </w:pPr>
            <w:r>
              <w:rPr>
                <w:rFonts w:ascii="Arial" w:cs="Arial" w:eastAsia="Arial" w:hAnsi="Arial"/>
                <w:sz w:val="15"/>
                <w:szCs w:val="15"/>
                <w:color w:val="auto"/>
              </w:rPr>
              <w:t>126,041</w:t>
            </w:r>
          </w:p>
        </w:tc>
        <w:tc>
          <w:tcPr>
            <w:tcW w:w="1420" w:type="dxa"/>
            <w:vAlign w:val="bottom"/>
          </w:tcPr>
          <w:p>
            <w:pPr>
              <w:jc w:val="right"/>
              <w:ind w:right="245"/>
              <w:spacing w:after="0"/>
              <w:rPr>
                <w:sz w:val="20"/>
                <w:szCs w:val="20"/>
                <w:color w:val="auto"/>
              </w:rPr>
            </w:pPr>
            <w:r>
              <w:rPr>
                <w:rFonts w:ascii="Arial" w:cs="Arial" w:eastAsia="Arial" w:hAnsi="Arial"/>
                <w:sz w:val="15"/>
                <w:szCs w:val="15"/>
                <w:color w:val="auto"/>
              </w:rPr>
              <w:t>148,959</w:t>
            </w:r>
          </w:p>
        </w:tc>
        <w:tc>
          <w:tcPr>
            <w:tcW w:w="112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40" w:type="dxa"/>
            <w:vAlign w:val="bottom"/>
          </w:tcPr>
          <w:p>
            <w:pPr>
              <w:ind w:left="140"/>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2.00</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3/15/2032</w:t>
            </w:r>
          </w:p>
        </w:tc>
      </w:tr>
      <w:tr>
        <w:trPr>
          <w:trHeight w:val="29"/>
        </w:trPr>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Arial" w:cs="Arial" w:eastAsia="Arial" w:hAnsi="Arial"/>
                <w:sz w:val="15"/>
                <w:szCs w:val="15"/>
                <w:i w:val="1"/>
                <w:iCs w:val="1"/>
                <w:color w:val="auto"/>
              </w:rPr>
              <w:t xml:space="preserve">                </w:t>
            </w:r>
          </w:p>
        </w:tc>
        <w:tc>
          <w:tcPr>
            <w:tcW w:w="114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3/4/2023(5)</w:t>
            </w:r>
          </w:p>
        </w:tc>
        <w:tc>
          <w:tcPr>
            <w:tcW w:w="112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60,937</w:t>
            </w:r>
          </w:p>
        </w:tc>
        <w:tc>
          <w:tcPr>
            <w:tcW w:w="1420" w:type="dxa"/>
            <w:vAlign w:val="bottom"/>
            <w:shd w:val="clear" w:color="auto" w:fill="CCEEFF"/>
          </w:tcPr>
          <w:p>
            <w:pPr>
              <w:jc w:val="right"/>
              <w:ind w:right="245"/>
              <w:spacing w:after="0" w:line="162" w:lineRule="exact"/>
              <w:rPr>
                <w:sz w:val="20"/>
                <w:szCs w:val="20"/>
                <w:color w:val="auto"/>
              </w:rPr>
            </w:pPr>
            <w:r>
              <w:rPr>
                <w:rFonts w:ascii="Arial" w:cs="Arial" w:eastAsia="Arial" w:hAnsi="Arial"/>
                <w:sz w:val="15"/>
                <w:szCs w:val="15"/>
                <w:color w:val="auto"/>
              </w:rPr>
              <w:t>264,063</w:t>
            </w:r>
          </w:p>
        </w:tc>
        <w:tc>
          <w:tcPr>
            <w:tcW w:w="1120" w:type="dxa"/>
            <w:vAlign w:val="bottom"/>
            <w:shd w:val="clear" w:color="auto" w:fill="CCEEFF"/>
          </w:tcPr>
          <w:p>
            <w:pPr>
              <w:jc w:val="right"/>
              <w:ind w:right="46"/>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1.84</w:t>
            </w:r>
          </w:p>
        </w:tc>
        <w:tc>
          <w:tcPr>
            <w:tcW w:w="11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3/3/2033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64" w:lineRule="exact"/>
        <w:rPr>
          <w:sz w:val="20"/>
          <w:szCs w:val="20"/>
          <w:color w:val="auto"/>
        </w:rPr>
      </w:pPr>
    </w:p>
    <w:p>
      <w:pPr>
        <w:ind w:left="440" w:hanging="324"/>
        <w:spacing w:after="0"/>
        <w:tabs>
          <w:tab w:leader="none" w:pos="4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All outstanding stock option awards were granted under the 2019 Plan and all unvested RSAs were granted under the 2018 Plan.</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Vests monthly over the four-year period starting on February 1, 2021, subject to continued service through such date.</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unvested portion of this option grant is early exercisable pursuant to the terms of the grant agreement.</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Vests monthly over the four-year period starting on February 1, 2022, subject to continued service through such date.</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Vests monthly over the four-year period starting on March 1, 2023, subject to continued service through such date.</w:t>
      </w:r>
    </w:p>
    <w:p>
      <w:pPr>
        <w:spacing w:after="0" w:line="93" w:lineRule="exact"/>
        <w:rPr>
          <w:rFonts w:ascii="Arial" w:cs="Arial" w:eastAsia="Arial" w:hAnsi="Arial"/>
          <w:sz w:val="13"/>
          <w:szCs w:val="13"/>
          <w:color w:val="auto"/>
        </w:rPr>
      </w:pPr>
    </w:p>
    <w:p>
      <w:pPr>
        <w:ind w:left="440" w:right="100" w:hanging="324"/>
        <w:spacing w:after="0" w:line="254" w:lineRule="auto"/>
        <w:tabs>
          <w:tab w:leader="none" w:pos="4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100% of the shares subject to the option will vest in the event (i) our stock price is equal to or greater than $8.00 per share (as may be adjusted for stock splits) on average over a 20-day trading period or (ii) if we are acquired at a stock price equal or greater than $8.00 per share (as may be adjusted for stock splits), in each case subject to the grantee’s continued service to the company through the vesting date (the “Performance Goal”). If the Performance Goal is not achieved within four years of the grant date, the option will terminate.</w:t>
      </w:r>
    </w:p>
    <w:p>
      <w:pPr>
        <w:spacing w:after="0" w:line="200" w:lineRule="exact"/>
        <w:rPr>
          <w:rFonts w:ascii="Arial" w:cs="Arial" w:eastAsia="Arial" w:hAnsi="Arial"/>
          <w:sz w:val="13"/>
          <w:szCs w:val="13"/>
          <w:color w:val="auto"/>
        </w:rPr>
      </w:pPr>
    </w:p>
    <w:p>
      <w:pPr>
        <w:ind w:left="440" w:right="260" w:hanging="324"/>
        <w:spacing w:after="0" w:line="281" w:lineRule="auto"/>
        <w:tabs>
          <w:tab w:leader="none" w:pos="4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Vests as to a quarter of the shares on the one-year anniversary of October 3, 2022, and thereafter vests monthly over three years, in each case subject to continued service on each vesting date.</w:t>
      </w:r>
    </w:p>
    <w:p>
      <w:pPr>
        <w:spacing w:after="0" w:line="27" w:lineRule="exact"/>
        <w:rPr>
          <w:rFonts w:ascii="Arial" w:cs="Arial" w:eastAsia="Arial" w:hAnsi="Arial"/>
          <w:sz w:val="13"/>
          <w:szCs w:val="13"/>
          <w:color w:val="auto"/>
        </w:rPr>
      </w:pPr>
    </w:p>
    <w:p>
      <w:pPr>
        <w:ind w:left="440" w:right="280" w:hanging="324"/>
        <w:spacing w:after="0" w:line="281" w:lineRule="auto"/>
        <w:tabs>
          <w:tab w:leader="none" w:pos="4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Vests as to a quarter of the shares on the one-year anniversary of March 17, 2021, and thereafter vests monthly over three years, in each case subject to continued service on each vesting date.</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Employment agreements</w:t>
      </w:r>
    </w:p>
    <w:p>
      <w:pPr>
        <w:spacing w:after="0" w:line="14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We intend to enter into new employment agreements with certain senior management personnel in connection with this offering, including our named executive officers. We expect that each of these agreements will provide for at-will employment and include each officer’s base salary, a discretionary annual incentive bonus opportunity and standard employee benefit plan participation. We also anticipate adopting arrangements for our executive officers, including our named executive officers, that provide for payments and benefits upon a qualifying termination of employment or upon a termination in connection with a change in control of our company.</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Equity compensation plans and other benefit plans</w:t>
      </w:r>
    </w:p>
    <w:p>
      <w:pPr>
        <w:spacing w:after="0" w:line="148"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7"/>
          <w:szCs w:val="17"/>
          <w:color w:val="auto"/>
        </w:rPr>
        <w:t>those of our stockholders. The principal features of our equity plans are summarized below. These summaries are qualified in their entirety by reference to the actual text of the plans, which are filed as exhibits to the registration statement of which this prospectus is a part.</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Stock Option and Grant Plan</w:t>
      </w:r>
    </w:p>
    <w:p>
      <w:pPr>
        <w:spacing w:after="0" w:line="129"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color w:val="auto"/>
        </w:rPr>
        <w:t>Our 2018 Plan was initially adopted by our board of directors and approved by our stockholders in November 2018. Our 2018 Plan terminated on the date that our 2019 Plan became effective (as defined and described below).</w:t>
      </w:r>
    </w:p>
    <w:p>
      <w:pPr>
        <w:spacing w:after="0" w:line="8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As of March 31, 2024, restricted stock awards, or RSAs, for         shares of restricted stock have been granted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our 2018 Plan, of which        shares are unvested and remain subject to repurchase. Only RSAs have been granted under the 2018 Plan, and no additional grants will be made under the 2018 Plan. Outstanding shares of restricted stock granted under our 2018 Plain prior to its termination will remain outstanding until they are terminated, forfeited or repurchased in accordance with the terms of the 2018 Plan and the applicable award agreements evidencing such awards.</w:t>
      </w:r>
    </w:p>
    <w:p>
      <w:pPr>
        <w:spacing w:after="0" w:line="1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xml:space="preserve">  Our board of directors or a committee thereof appointed by our board of directors, referred to as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administers the 2018 Plan and awards granted thereunder. While no new awards may be granted under the 2018 Plan, subject to the terms of the 2018 Plan, the compensation committee has the authority to, among other things, interpret the terms and provisions of our 2018 Plan and any award under the 2018 Plan as well as to adopt, alter and repeal rules, guidelines and practices for administration of the 2018 Plan.</w:t>
      </w:r>
    </w:p>
    <w:p>
      <w:pPr>
        <w:spacing w:after="0" w:line="95"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i w:val="1"/>
          <w:iCs w:val="1"/>
          <w:color w:val="auto"/>
        </w:rPr>
        <w:t>Types of awards; Eligibility.</w:t>
      </w:r>
      <w:r>
        <w:rPr>
          <w:rFonts w:ascii="Arial" w:cs="Arial" w:eastAsia="Arial" w:hAnsi="Arial"/>
          <w:sz w:val="17"/>
          <w:szCs w:val="17"/>
          <w:color w:val="auto"/>
        </w:rPr>
        <w:t xml:space="preserve">  Our 2018 Plan provided for the grant of incentive stock options, or ISOs, non-qualified stock options, or</w:t>
      </w:r>
      <w:r>
        <w:rPr>
          <w:rFonts w:ascii="Arial" w:cs="Arial" w:eastAsia="Arial" w:hAnsi="Arial"/>
          <w:sz w:val="17"/>
          <w:szCs w:val="17"/>
          <w:i w:val="1"/>
          <w:iCs w:val="1"/>
          <w:color w:val="auto"/>
        </w:rPr>
        <w:t xml:space="preserve"> </w:t>
      </w:r>
      <w:r>
        <w:rPr>
          <w:rFonts w:ascii="Arial" w:cs="Arial" w:eastAsia="Arial" w:hAnsi="Arial"/>
          <w:sz w:val="17"/>
          <w:szCs w:val="17"/>
          <w:color w:val="auto"/>
        </w:rPr>
        <w:t>NQSOs, restricted stock units, or RSUs, and RSAs to our employees, directors, and consultants; provided that ISOs could only be granted to employees. Only RSAs have been granted under our 2018 Plan and no additional awards may be granted under the 2018 Plan.</w:t>
      </w:r>
    </w:p>
    <w:p>
      <w:pPr>
        <w:spacing w:after="0" w:line="84" w:lineRule="exact"/>
        <w:rPr>
          <w:sz w:val="20"/>
          <w:szCs w:val="20"/>
          <w:color w:val="auto"/>
        </w:rPr>
      </w:pPr>
    </w:p>
    <w:p>
      <w:pPr>
        <w:ind w:left="120" w:right="40"/>
        <w:spacing w:after="0"/>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xml:space="preserve">  An RSA is an offer by us to sell shares of our common stock subject to restrictions which could lapse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determined by the compensation committee, as set forth in our 2018 Plan and an award agreement. These restrictions may be based on completion of a specified period of service with us or upon the achievement of performance goals during a performance period. The compensation committee determines the price of an RSA. Unless otherwise set forth in the award agreement, vesting will cease on the date the participant no longer provides services to us, and at that time unvested shares will be subject to repurchase by us. Holders of restricted stock are entitled to vote, subject to such conditions contained in the award agreement, and are entitled to receive all dividends and distributions with respect to such shares.</w:t>
      </w:r>
    </w:p>
    <w:p>
      <w:pPr>
        <w:spacing w:after="0" w:line="117"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i w:val="1"/>
          <w:iCs w:val="1"/>
          <w:color w:val="auto"/>
        </w:rPr>
        <w:t>Limited transferability.</w:t>
      </w:r>
      <w:r>
        <w:rPr>
          <w:rFonts w:ascii="Arial" w:cs="Arial" w:eastAsia="Arial" w:hAnsi="Arial"/>
          <w:sz w:val="18"/>
          <w:szCs w:val="18"/>
          <w:color w:val="auto"/>
        </w:rPr>
        <w:t xml:space="preserve">  Unless otherwise determined by the compensation committee, shares of restricted stock granted under our 2018</w:t>
      </w:r>
      <w:r>
        <w:rPr>
          <w:rFonts w:ascii="Arial" w:cs="Arial" w:eastAsia="Arial" w:hAnsi="Arial"/>
          <w:sz w:val="18"/>
          <w:szCs w:val="18"/>
          <w:i w:val="1"/>
          <w:iCs w:val="1"/>
          <w:color w:val="auto"/>
        </w:rPr>
        <w:t xml:space="preserve"> </w:t>
      </w:r>
      <w:r>
        <w:rPr>
          <w:rFonts w:ascii="Arial" w:cs="Arial" w:eastAsia="Arial" w:hAnsi="Arial"/>
          <w:sz w:val="18"/>
          <w:szCs w:val="18"/>
          <w:color w:val="auto"/>
        </w:rPr>
        <w:t>Plan generally may not be sold, assigned, transferred, pledged, hypothecated, given away, or in any other manner disposed of or encumbered unless (i) the transfer is in compliance with the terms of the applicable award agreement, securities laws and the 2018 Plan and (ii) the transferee consents in writing to be bound by the provisions of the 2018 Plan and applicable award agreement. Transfers of shares may also be made to certain permitted transferees specified under the 2018 Plan.</w:t>
      </w:r>
    </w:p>
    <w:p>
      <w:pPr>
        <w:spacing w:after="0" w:line="95"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xml:space="preserve">  In the event of a “Sale Event” (as defined in the 2018 Plan), all then-unvested shares of restricted stock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those becoming vested as a result of the Sale Event, if applicable) issued under the 2018 Plan shall be forfeited immediately prior to the effective time of any such Sale Event unless assumed, continued or substituted by the successor entity or a parent thereof, with an equitable or proportionate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adjustment as to the number and kind of shares subject to such awards as such parties shall agree (after taking into account any acceleration under the 2018 Plan and/or pursuant to the terms of any award agreement, if applicable). In the event of the forfeiture of unvested shares of restricted stock, such shares shall be repurchased from the holder at a price per share equal to the lower of the original per share purchase price paid by the holder (subject to adjustment as provided in the 2018 Plan, if applicable) or the current fair market value of such shares, determined immediately prior to the effective time of the Sale Event. Notwithstanding the foregoing, in the event of a Sale Event, we shall have the right, but not the obligation, to make or provide for a cash payment to the holders of unvested shares of restricted stock, without consent of the holders, in exchange for the cancellation thereof, in an amount equal to the value as determined by the compensation committee of the consideration payable on a per share basis for our common stock times the number of shares subject to such awards, to be paid at the time of such Sale Event or upon the later vesting of such awards.</w:t>
      </w:r>
    </w:p>
    <w:p>
      <w:pPr>
        <w:spacing w:after="0" w:line="116"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xml:space="preserve">  If, as a result of any reorganization, recapitalization, reclassification, stock dividend, stock split, reverse stock split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change in our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our the assets, the outstanding shares are converted into or exchanged for other securities of our company or any successor entity (or a parent or subsidiary thereof), the compensation committee shall make an appropriate and proportionate adjustment in (i) the number and kind of shares or other securities subject to any then outstanding awards under the 2018 Plan and (ii) the repurchase price, if any, per share subject to each outstanding award.</w:t>
      </w:r>
    </w:p>
    <w:p>
      <w:pPr>
        <w:spacing w:after="0" w:line="116"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Our 2018 Plan was terminated upon adoption of our 2019 Plan. The compensation committee may amend 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 any outstanding award granted under the 2018 Plan for the purpose of satisfying changes in law or for any other lawful purpose, provided that the award holder’s consent will be required if such action shall adversely affect rights under any outstanding award.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42"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Our 2019 Equity Incentive Plan, or 2019 Plan, was initially adopted by our board of directors and approved by our stockholders in August 2019. Our 2019 Plan will terminate on the date that our 2024 Plan becomes effective (as defined and described below).</w:t>
      </w:r>
    </w:p>
    <w:p>
      <w:pPr>
        <w:spacing w:after="0" w:line="73" w:lineRule="exact"/>
        <w:rPr>
          <w:sz w:val="20"/>
          <w:szCs w:val="20"/>
          <w:color w:val="auto"/>
        </w:rPr>
      </w:pPr>
    </w:p>
    <w:p>
      <w:pPr>
        <w:ind w:left="120"/>
        <w:spacing w:after="0"/>
        <w:tabs>
          <w:tab w:leader="none" w:pos="4020" w:val="left"/>
        </w:tabs>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xml:space="preserve">.  As of March 31, 2024,           </w:t>
      </w:r>
      <w:r>
        <w:rPr>
          <w:sz w:val="20"/>
          <w:szCs w:val="20"/>
          <w:color w:val="auto"/>
        </w:rPr>
        <w:tab/>
      </w:r>
      <w:r>
        <w:rPr>
          <w:rFonts w:ascii="Arial" w:cs="Arial" w:eastAsia="Arial" w:hAnsi="Arial"/>
          <w:sz w:val="17"/>
          <w:szCs w:val="17"/>
          <w:color w:val="auto"/>
        </w:rPr>
        <w:t>shares of our common stock had been reserved for issuance pursuant to grants under</w:t>
      </w:r>
    </w:p>
    <w:p>
      <w:pPr>
        <w:spacing w:after="0" w:line="9" w:lineRule="exact"/>
        <w:rPr>
          <w:sz w:val="20"/>
          <w:szCs w:val="20"/>
          <w:color w:val="auto"/>
        </w:rPr>
      </w:pPr>
    </w:p>
    <w:p>
      <w:pPr>
        <w:ind w:left="120"/>
        <w:spacing w:after="0"/>
        <w:tabs>
          <w:tab w:leader="none" w:pos="2800" w:val="left"/>
        </w:tabs>
        <w:rPr>
          <w:sz w:val="20"/>
          <w:szCs w:val="20"/>
          <w:color w:val="auto"/>
        </w:rPr>
      </w:pPr>
      <w:r>
        <w:rPr>
          <w:rFonts w:ascii="Arial" w:cs="Arial" w:eastAsia="Arial" w:hAnsi="Arial"/>
          <w:sz w:val="18"/>
          <w:szCs w:val="18"/>
          <w:color w:val="auto"/>
        </w:rPr>
        <w:t xml:space="preserve">our 2019 Plan, of which           </w:t>
      </w:r>
      <w:r>
        <w:rPr>
          <w:sz w:val="20"/>
          <w:szCs w:val="20"/>
          <w:color w:val="auto"/>
        </w:rPr>
        <w:tab/>
      </w:r>
      <w:r>
        <w:rPr>
          <w:rFonts w:ascii="Arial" w:cs="Arial" w:eastAsia="Arial" w:hAnsi="Arial"/>
          <w:sz w:val="17"/>
          <w:szCs w:val="17"/>
          <w:color w:val="auto"/>
        </w:rPr>
        <w:t>remained available for grant. Only options have been granted under our 2019 Plan, and no additional</w:t>
      </w:r>
    </w:p>
    <w:p>
      <w:pPr>
        <w:ind w:left="120"/>
        <w:spacing w:after="0" w:line="238" w:lineRule="auto"/>
        <w:rPr>
          <w:sz w:val="20"/>
          <w:szCs w:val="20"/>
          <w:color w:val="auto"/>
        </w:rPr>
      </w:pPr>
      <w:r>
        <w:rPr>
          <w:rFonts w:ascii="Arial" w:cs="Arial" w:eastAsia="Arial" w:hAnsi="Arial"/>
          <w:sz w:val="18"/>
          <w:szCs w:val="18"/>
          <w:color w:val="auto"/>
        </w:rPr>
        <w:t>grants will be made under the 2019 Plan following the date our 2024 Plan becomes effective. As of March 31, 2024, options to purchase         shares had been exercised, and         options to purchase         shares remained outstanding, with a weighted-average exercise price of $      per share. As of March 31, 2024,         shares of stock acquired upon the early exercise of options granted under our 2019 Plan remained outstanding and subject to repurchase. Outstanding options (and shares of restricted stock issued upon the early exercise of options) prior to its termination will remain outstanding until they are exercised, as applicable, or are terminated, forfeited or repurchased in accordance with the terms of the 2019 Plan and the applicable award agreements evidencing such awards.</w:t>
      </w:r>
    </w:p>
    <w:p>
      <w:pPr>
        <w:spacing w:after="0" w:line="114"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xml:space="preserve">  Our board of directors, or a committee thereof appointed by our board of directors, referred to as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administers the 2019 Plan and awards granted thereunder. Subject to the terms of the 2019 Plan, the compensation committee has the authority to, among other things, select the persons to whom awards would be granted, construe and interpret our 2019 Plan as well as to prescribe, amend, expand, modify, and rescind or terminate rules and regulations relating to the 2019 Plan.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i w:val="1"/>
          <w:iCs w:val="1"/>
          <w:color w:val="auto"/>
        </w:rPr>
        <w:t>Types of awards; Eligibility.</w:t>
      </w:r>
      <w:r>
        <w:rPr>
          <w:rFonts w:ascii="Arial" w:cs="Arial" w:eastAsia="Arial" w:hAnsi="Arial"/>
          <w:sz w:val="18"/>
          <w:szCs w:val="18"/>
          <w:color w:val="auto"/>
        </w:rPr>
        <w:t xml:space="preserve">  Our 2019 Plan provides for the grant of the awards described below to our employees, consultants,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non-employee directors. Pursuant to the 2019 Plan, ISOs may be granted only to our employees. We may grant all other types of awards to our employees, directors and consultants.</w:t>
      </w:r>
    </w:p>
    <w:p>
      <w:pPr>
        <w:spacing w:after="0" w:line="101"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xml:space="preserve">  The 2019 Plan provides for the grant of ISOs and NQSOs. ISOs may be granted only to our employees or employees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parent and subsidiaries. NQSOs may be granted to eligible employees, consultants and directors or any of the foregoing of our parent or subsidiaries. We are able to issue no more than 122,900,000 shares pursuant to the grant of ISOs under the 2019 Plan. The compensation committee determines the terms of each option award, provided that ISOs are subject to statutory limitations. The compensation committee also determines the exercise price for an option, provided that the exercise price of an option may not be less than the fair market value of our common stock on the date of grant (with certain additional requirements for certain ISOs).</w:t>
      </w:r>
    </w:p>
    <w:p>
      <w:pPr>
        <w:spacing w:after="0" w:line="11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Options granted under the 2019 Plan vest at the rate and/or subject to performance requirements specified by the compensation committee and such vesting schedule is set forth in the option agreement to which such option grant relates. The compensation committee determines the term of options granted under the 2019 Plan, up to a term of 10 years (with certain additional requirements for certain ISOs).</w:t>
      </w:r>
    </w:p>
    <w:p>
      <w:pPr>
        <w:spacing w:after="0" w:line="93"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After the option holder ceases to provide services to us, he or she is able to exercise his or her vested option for the period of time stated in the stock option agreement to which such option relates. Generally, the vested option will remain exercisable for three months after an optionee’s cessation of service, except in the case of termination due to death, disability or termination for cause. An option may not be exercised later than its expiration date. Any unvested shares of restricted stock issued in connection with the early exercise of an option (if any) are subject to our right to repurchase unvested shares upon the holder’s termination of service, as permitted under the 2019 Plan.</w:t>
      </w:r>
    </w:p>
    <w:p>
      <w:pPr>
        <w:spacing w:after="0" w:line="109"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xml:space="preserve">  An RSA is an offer by us to sell shares of our common stock subject to restrictions that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impose. These restrictions may be based on completion of a specified period of service with us or upon the achievement of performance goals during a performance period. The compensation committee determines the price of a restricted stock award. Unless otherwise set forth in the award agreement, vesting will cease on the date the participant no longer provides services to us, and at that time unvested shares will be forfeited to us or subject to repurchase by us.</w:t>
      </w:r>
    </w:p>
    <w:p>
      <w:pPr>
        <w:spacing w:after="0" w:line="109"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xml:space="preserve">  A SAR provides for a payment, in cash or shares of our common stock, to the holder based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The maximum term of a SAR granted under our 2019 Plan is ten years from the date of grant. SARs have not been granted under the 2019 Plan.</w:t>
      </w:r>
    </w:p>
    <w:p>
      <w:pPr>
        <w:spacing w:after="0" w:line="95"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xml:space="preserve">  RSUs represent the right to receive shares of our common stock at a specified date in the future,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of such right due to termination of employment or failure to achieve specified performance goals. If the RSUs have not been forfeited, then on the date specified in the award agreement we will deliver to the holder of the RSUs shares of our common stock, cash or a combination of our common stock and cash as specified in the applicable award agreement. The maximum term of an RSU granted under our 2019 Plan is ten years from the date of grant. RSUs have not been granted under the 2019 Plan.</w:t>
      </w:r>
    </w:p>
    <w:p>
      <w:pPr>
        <w:spacing w:after="0" w:line="109"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i w:val="1"/>
          <w:iCs w:val="1"/>
          <w:color w:val="auto"/>
        </w:rPr>
        <w:t>Limited transferability.</w:t>
      </w:r>
      <w:r>
        <w:rPr>
          <w:rFonts w:ascii="Arial" w:cs="Arial" w:eastAsia="Arial" w:hAnsi="Arial"/>
          <w:sz w:val="18"/>
          <w:szCs w:val="18"/>
          <w:color w:val="auto"/>
        </w:rPr>
        <w:t xml:space="preserve">  Unless otherwise determined by the compensation committee, awards granted under our 2019 Plan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pledged, assigned, hypothecated, transferred or assigned in any manner other than by will or the laws of descent and distribution.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right="40"/>
        <w:spacing w:after="0" w:line="252" w:lineRule="auto"/>
        <w:rPr>
          <w:sz w:val="20"/>
          <w:szCs w:val="20"/>
          <w:color w:val="auto"/>
        </w:rPr>
      </w:pPr>
      <w:r>
        <w:rPr>
          <w:rFonts w:ascii="Arial" w:cs="Arial" w:eastAsia="Arial" w:hAnsi="Arial"/>
          <w:sz w:val="17"/>
          <w:szCs w:val="17"/>
          <w:i w:val="1"/>
          <w:iCs w:val="1"/>
          <w:color w:val="auto"/>
        </w:rPr>
        <w:t>Change in control.  In the event of an “acquisition” or “other combination” (as defined in the 2019 Plan), outstanding awards acquired under our 2019 Plan will be subject to the agreement evidencing such transaction, which need not treat all outstanding awards in an identical manner. Such agreement, without the participant’s consent, shall provide for one or more of the following: (i) the continuation of the outstanding awards (if we are the successor entity); (ii) the assumption of the outstanding awards by the surviving corporation or its parent (if any); (iii) the substitution by the surviving corporation or its parent of substantially equivalent awards for the outstanding awards;</w:t>
      </w:r>
    </w:p>
    <w:p>
      <w:pPr>
        <w:spacing w:after="0" w:line="2" w:lineRule="exact"/>
        <w:rPr>
          <w:sz w:val="20"/>
          <w:szCs w:val="20"/>
          <w:color w:val="auto"/>
        </w:rPr>
      </w:pPr>
    </w:p>
    <w:p>
      <w:pPr>
        <w:ind w:left="120" w:hanging="4"/>
        <w:spacing w:after="0" w:line="238" w:lineRule="auto"/>
        <w:tabs>
          <w:tab w:leader="none" w:pos="42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the full or partial exercisability or vesting and accelerated expiration of awards; (v) the settlement of the fair market value of the outstanding awards (whether or not then vested or exercisable) in cash, cash equivalents, or securities of the successor entity (or its parent, if any), followed by the cancellation of such awards, provided however, that such awards may be cancelled without consideration if such awards have no value, as determined by the compensation committee, in its discretion; or (vi) the termination of any outstanding award, without payment of any consideration, that was not exercised in accordance with its terms upon or before the closing of the transaction.</w:t>
      </w:r>
    </w:p>
    <w:p>
      <w:pPr>
        <w:spacing w:after="0" w:line="11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xml:space="preserve">  In the event that our common stock is changed by a stock dividend, recapitalization, stock split, reverse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subdivision, combination, reclassification, or other change in our capital structure affecting shares without consideration, then in order to prevent diminution or enlargement of the benefits or potential benefits intended to be made available under the 2019 Plan (a) the number and class of shares reserved for issuance under the 2019 Plan, (b) the exercise prices of and number and class of shares subject to outstanding options and SARs, and (c) the purchase prices of and/or number and class of shares subject to other outstanding awards will (to the extent appropriate) be proportionately adjusted, subject to any required action by the board of directors or the stockholders of the Company and compliance with applicable securities or other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fractions of a share will not be issued but will either be paid in cash at the fair market value of such fraction of a Share or will be rounded down to the nearest whole share, as determined by the compensation committee.</w:t>
      </w:r>
    </w:p>
    <w:p>
      <w:pPr>
        <w:spacing w:after="0" w:line="116"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i w:val="1"/>
          <w:iCs w:val="1"/>
          <w:color w:val="auto"/>
        </w:rPr>
        <w:t>Exchange, repricing and buyout of awards</w:t>
      </w:r>
      <w:r>
        <w:rPr>
          <w:rFonts w:ascii="Arial" w:cs="Arial" w:eastAsia="Arial" w:hAnsi="Arial"/>
          <w:sz w:val="18"/>
          <w:szCs w:val="18"/>
          <w:color w:val="auto"/>
        </w:rPr>
        <w:t>.  The compensation committee may, with the consent of the respective participants, issue new</w:t>
      </w:r>
      <w:r>
        <w:rPr>
          <w:rFonts w:ascii="Arial" w:cs="Arial" w:eastAsia="Arial" w:hAnsi="Arial"/>
          <w:sz w:val="18"/>
          <w:szCs w:val="18"/>
          <w:i w:val="1"/>
          <w:iCs w:val="1"/>
          <w:color w:val="auto"/>
        </w:rPr>
        <w:t xml:space="preserve"> </w:t>
      </w:r>
      <w:r>
        <w:rPr>
          <w:rFonts w:ascii="Arial" w:cs="Arial" w:eastAsia="Arial" w:hAnsi="Arial"/>
          <w:sz w:val="18"/>
          <w:szCs w:val="18"/>
          <w:color w:val="auto"/>
        </w:rPr>
        <w:t>awards in exchange for the surrender and cancellation of any or all outstanding awards. The compensation committee may also, without prior stockholder approval, reprice, or reduce the exercise price, of options or buy an award previously granted with payment in cash, shares (including restricted stock) or other consideration, in each case, subject to the terms of the 2019 Plan.</w:t>
      </w:r>
    </w:p>
    <w:p>
      <w:pPr>
        <w:spacing w:after="0" w:line="9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Our 2019 Plan will terminate on the date that our 2024 Plan becomes effective. No termination or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2019 Plan may affect any share previously issued or any then-outstanding award without the consent of the affected participant. Outstanding options may be terminated upon our dissolution or liquidation.</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auto"/>
        </w:rPr>
        <w:t>2024 Equity Incentive Plan</w:t>
      </w:r>
    </w:p>
    <w:p>
      <w:pPr>
        <w:spacing w:after="0" w:line="13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We intend to adopt the 2024 Plan that will become effective on the day prior to the date of the effectiveness of the registration statement for which this prospectus will form a part, and will serve as the successor to the 2019 Plan. The 2024 Plan authorizes the award of ISOs, NSOs, RSAs, SARs, RSUs, cash awards, performance awards and stock bonus awards. We have initially reserved        shares of our common stock, plus (a) any reserved shares not issued or subject to outstanding grants under the 2019 Plan on the effective date of the 2024 Plan, (b) shares that are subject to stock options or other awards granted under the 2019 Plan or the 2018 Plan that cease to be subject to such stock options or other awards by forfeiture or otherwise after the effective date of the 2024 Plan; (c) shares issued under the 2019 Plan or the 2018 Plan before or after the effective date of the 2024 Plan pursuant to the exercise of stock options that are, after the effective date, forfeited; (d) shares issued under the 2019 Plan or the 2018 Plan that are repurchased by the Company at the original purchase price or are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5" w:right="4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otherwise forfeited and (e) shares that are subject to stock options or other awards under the 2019 Plan or the 2018 Plan that are used to pay the exercise price of a stock option or withheld to satisfy the withholding obligations related to any award, for issuance pursuant to awards granted under our 2024 Plan. The number of shares reserved for issuance under our 2024 Plan will increase automatically on January 1 each of 2025 through 2034 by the number of shares equal to the lesser of  % of the aggregate number of outstanding shares of our common stock as of the immediately preceding December 31, or a number as may be determined by our board of directors.</w:t>
      </w:r>
    </w:p>
    <w:p>
      <w:pPr>
        <w:spacing w:after="0" w:line="1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 addition, the following shares will again be available for issuance pursuant to awards granted under our 2024 Plan: (a) shares subject to options or SARs granted under our 2024 Plan that cease to be subject to the option or SAR for any reason other than exercise of the option or SAR, (b) shares subject to awards granted under our 2024 Plan that are subsequently forfeited or repurchased by us at the original issue price, (c)shares subject to awards granted under our 2024 Plan that otherwise terminate without such shares being issued,</w:t>
      </w:r>
    </w:p>
    <w:p>
      <w:pPr>
        <w:ind w:left="120" w:right="160" w:hanging="4"/>
        <w:spacing w:after="0" w:line="242" w:lineRule="auto"/>
        <w:tabs>
          <w:tab w:leader="none" w:pos="3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shares subject to awards granted under our 2024 Plan that are surrendered, cancelled or exchanged for cash or a different award (or combination thereof); and (e) shares used to pay the exercise price, or withheld to satisfy the tax withholding obligations related to an award, granted under our 2024 Plan.</w:t>
      </w:r>
    </w:p>
    <w:p>
      <w:pPr>
        <w:spacing w:after="0" w:line="112" w:lineRule="exact"/>
        <w:rPr>
          <w:sz w:val="20"/>
          <w:szCs w:val="20"/>
          <w:color w:val="auto"/>
        </w:rPr>
      </w:pPr>
    </w:p>
    <w:p>
      <w:pPr>
        <w:ind w:left="120" w:right="20"/>
        <w:spacing w:after="0"/>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xml:space="preserve">  Our 2024 Plan is expected to be administered by our compensation committee, all of the members of which are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directors as defined under applicable law, or by our board of directors acting in place of our compensation committee. Subject to the terms and conditions of the 2024 Plan, the compensation committee will have the authority, among other things, to select the persons to whom awards may be granted, construe and interpret our 2024 Plan as well as to determine the terms of such awards and prescribe, amend and rescind the rules and regulations relating to the 2024 Plan or any award granted thereunder. Our 2024 Plan provides that the board of directors or compensation committee may delegate its authority, including the authority to grant awards, to one or more executive officers to the extent permitted by applicable law,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awards granted to non-employee directors may only be determined by our board of directors.</w:t>
      </w:r>
    </w:p>
    <w:p>
      <w:pPr>
        <w:spacing w:after="0" w:line="9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i w:val="1"/>
          <w:iCs w:val="1"/>
          <w:color w:val="auto"/>
        </w:rPr>
        <w:t>Types of awards; Eligibility.</w:t>
      </w:r>
      <w:r>
        <w:rPr>
          <w:rFonts w:ascii="Arial" w:cs="Arial" w:eastAsia="Arial" w:hAnsi="Arial"/>
          <w:sz w:val="18"/>
          <w:szCs w:val="18"/>
          <w:color w:val="auto"/>
        </w:rPr>
        <w:t xml:space="preserve">  Our 2024 Plan provides for the grant of the awards described below to our employees, consultants,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non-employee directors. Pursuant to the 2024 Plan, ISOs may be granted only to our employees. We may grant all other types of awards to our employees, directors and consultants.</w:t>
      </w:r>
    </w:p>
    <w:p>
      <w:pPr>
        <w:spacing w:after="0" w:line="101"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xml:space="preserve">  The 2024 Plan provides for the grant of ISOs and NQSOs. ISOs may be granted only to our employees or employees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parent, subsidiaries and affiliates. NQSOs may be granted to eligible employees, consultants and directors or any of the foregoing of our parent, subsidiaries or affiliates. We are able to issue no more than         shares pursuant to the grant of ISOs under the 2024 Plan. The compensation committee determines the terms of each option award, provided that ISOs are subject to statutory limitations. The compensation committee also determines the exercise price for an option, provided that the exercise price of an option may not be less than the fair market value of our common stock on the date of grant (with certain additional requirements for certain ISOs).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-414020</wp:posOffset>
            </wp:positionV>
            <wp:extent cx="4572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9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Options granted under the 2024 Plan vest at the rate and/or subject to performance requirements specified by the compensation committee and such vesting schedule is set forth in the option agreement to which such option grant relates. The compensation committee determines the term of options granted under the 2024 Plan, up to a term of 10 years (with certain additional requirements for certain ISOs).</w:t>
      </w:r>
    </w:p>
    <w:p>
      <w:pPr>
        <w:spacing w:after="0" w:line="93"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After the option holder ceases to provide services to us, he or she is able to exercise his or her vested option for the period of time stated in the stock option agreement to which such option relates. Generally, the vested option will remain exercisable for three months after an optionee’s cessation of service, except in the case of termination due to death, disability or termination for cause. An option may not be exercised later than its expiration date.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xml:space="preserve">  An RSA is an offer by us to sell shares of our common stock subject to restrictions that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may impose. These restrictions may be based on completion of a specified period of service with us or upon the achievement of performance goals during a performance period. The compensation committee determines the price of a restricted stock award. Unless otherwise set forth in the award agreement, vesting will cease on the date the participant no longer provides services to us, and at that time unvested shares will be forfeited to us or subject to repurchase by us.</w:t>
      </w:r>
    </w:p>
    <w:p>
      <w:pPr>
        <w:spacing w:after="0" w:line="109"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xml:space="preserve">  A SAR provides for a payment, in cash or shares of our common stock (up to a specified maximum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if determined by our compensation committee), to the holder based upon 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The maximum term of a SAR granted under our 2024 Plan is ten years from the date of grant.</w:t>
      </w:r>
    </w:p>
    <w:p>
      <w:pPr>
        <w:spacing w:after="0" w:line="109"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xml:space="preserve">  RSUs represent the right to receive shares of our common stock at a specified date in the future,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of such right due to termination of employment or failure to achieve specified performance goals. If the RSUs have not been forfeited, then on the date specified in the award agreement we will deliver to the holder of the RSUs shares of our common stock, cash or a combination of our common stock and cash as specified in the applicable award agreement. The maximum term of an RSU granted under our 2024 Plan is ten years from the date of grant.</w:t>
      </w:r>
    </w:p>
    <w:p>
      <w:pPr>
        <w:spacing w:after="0" w:line="95"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xml:space="preserve">  A performance award is an award that is based upon the attainment of performance goals, as established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other terms and conditions specified by the compensation committee, and may be settled in cash, shares (which may consist of, without limitation, restricted stock), other property, or any combination thereof. These awards are subject to forfeiture because of termination of employment or failure to achieve the performance conditions.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bonus awards.</w:t>
      </w:r>
      <w:r>
        <w:rPr>
          <w:rFonts w:ascii="Arial" w:cs="Arial" w:eastAsia="Arial" w:hAnsi="Arial"/>
          <w:sz w:val="18"/>
          <w:szCs w:val="18"/>
          <w:color w:val="auto"/>
        </w:rPr>
        <w:t xml:space="preserve">  A stock bonus is an award of shares of our common stock for past or future services to us. No payment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is required. The compensation committee determines the number of shares to be issued as stock bonus and any restrictions on those shares. These restrictions may be based on completion of a specified period of service with us or upon the achievement of performance goals during a performance period. Unless otherwise set forth in the award agreement, vesting ceases on the date the participant no longer provides services to us, and at that time unvested shares will be forfeited to us or are subject to repurchase by us. A stock bonus award provides for payment in the form of cash, shares of our common stock or a combination thereof, based on the fair market value of shares subject such award as determined by our compensation committee.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xml:space="preserve">  A cash award is an award that is denominated in, or payable to an eligible participant solely in, cash.</w:t>
      </w:r>
    </w:p>
    <w:p>
      <w:pPr>
        <w:spacing w:after="0" w:line="131"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i w:val="1"/>
          <w:iCs w:val="1"/>
          <w:color w:val="auto"/>
        </w:rPr>
        <w:t>Dividend equivalents rights.</w:t>
      </w:r>
      <w:r>
        <w:rPr>
          <w:rFonts w:ascii="Arial" w:cs="Arial" w:eastAsia="Arial" w:hAnsi="Arial"/>
          <w:sz w:val="18"/>
          <w:szCs w:val="18"/>
          <w:color w:val="auto"/>
        </w:rPr>
        <w:t xml:space="preserve">  Dividend equivalent rights may be granted at the discretion of our compensation committee, and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receive the value of dividends, if any, paid by us in respect of the number of shares of our common stock underlying an award. Dividend equivalent rights will be subject to the same vesting or performance conditions as the underlying award and will be paid only at such time as the underlying award has become fully vested. Dividend equivalent rights may be settled in cash, shares or other property, or a combination of thereof as determined by our compensation committee.</w:t>
      </w:r>
    </w:p>
    <w:p>
      <w:pPr>
        <w:spacing w:after="0" w:line="109"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Our 2024 Plan provides that, in the event of a “corporate transaction” (as defined in the 2024 Plan),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awards under the 2024 Plan shall be subject to the agreement evidencing the corporate transaction, which need not treat all outstanding awards in an identical manner. Any or all</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outstanding awards (i) may be continued by the company, if we are the successor entity; (ii) may be assumed or substituted by the successor corporation, or a parent or subsidiary of the successor corporation, for substantially equivalent awards (including, but not limited to, a payment in cash or the right to acquire the same consideration paid to our stockholders pursuant to the corporate transaction), in each case after taking into account appropriate adjustments for the number and kind of shares and exercise prices or (c) the successor corporation may also issue, as replacement of our outstanding shares held by a participant, substantially similar shares, or other property subject to repurchase restrictions no less favorable to the participant. In the event such successor corporation refuses to assume, substitute or replace any award in accordance with the 2024 Plan, then notwithstanding any other provision in the 2024 Plan to the contrary, each such award shall become fully vested and, as applicable, exercisable and any rights of repurchase or forfeiture restrictions thereon will lapse, immediately prior to the consummation of the corporate transaction.</w:t>
      </w:r>
    </w:p>
    <w:p>
      <w:pPr>
        <w:spacing w:after="0" w:line="116" w:lineRule="exact"/>
        <w:rPr>
          <w:sz w:val="20"/>
          <w:szCs w:val="20"/>
          <w:color w:val="auto"/>
        </w:rPr>
      </w:pPr>
    </w:p>
    <w:p>
      <w:pPr>
        <w:ind w:left="120" w:right="100"/>
        <w:spacing w:after="0" w:line="261" w:lineRule="auto"/>
        <w:rPr>
          <w:sz w:val="20"/>
          <w:szCs w:val="20"/>
          <w:color w:val="auto"/>
        </w:rPr>
      </w:pPr>
      <w:r>
        <w:rPr>
          <w:rFonts w:ascii="Arial" w:cs="Arial" w:eastAsia="Arial" w:hAnsi="Arial"/>
          <w:sz w:val="17"/>
          <w:szCs w:val="17"/>
          <w:color w:val="auto"/>
        </w:rPr>
        <w:t>If an award vests in lieu of assumption or substitution in connection with a corporate transaction as provided above, the board of directors or the compensation committee will notify the holder of such award in writing or electronically that such award will be exercisable for a period of time determined by the board of directors or the compensation committee, in its sole discretion, and such award will terminate upon the expiration of such period without consideration. Any determinations by the board of directors or the compensation committee need not treat all outstanding awards in an identical manner, and shall be final and binding on each applicable participant.</w:t>
      </w:r>
    </w:p>
    <w:p>
      <w:pPr>
        <w:spacing w:after="0" w:line="98"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The vesting of all awards granted to our non-employee directors under our 2024 Plan shall accelerate in full in the event of a corporate transaction.</w:t>
      </w:r>
    </w:p>
    <w:p>
      <w:pPr>
        <w:spacing w:after="0" w:line="73"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i w:val="1"/>
          <w:iCs w:val="1"/>
          <w:color w:val="auto"/>
        </w:rPr>
        <w:t>Adjustment.</w:t>
      </w:r>
      <w:r>
        <w:rPr>
          <w:rFonts w:ascii="Arial" w:cs="Arial" w:eastAsia="Arial" w:hAnsi="Arial"/>
          <w:sz w:val="18"/>
          <w:szCs w:val="18"/>
          <w:color w:val="auto"/>
        </w:rPr>
        <w:t xml:space="preserve">  In the event of a change in the number or class of outstanding shares of our common stock, without consideration, by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of a stock dividend, extraordinary dividend or distribution (whether in cash, shares, or other property, other than a regular cash dividend), recapitalization, stock split, reverse stock split, subdivision, combination, consolidation, reclassification, spin-off or similar change in our capital structure, proportional adjustments will be made to the number and class of shares reserved for issuance under our 2024 Plan; the exercise prices, number and class of shares subject to outstanding options or SARs; the number and class of shares subject to other outstanding awards; and any applicable maximum award limits with respect to ISOs.</w:t>
      </w:r>
    </w:p>
    <w:p>
      <w:pPr>
        <w:spacing w:after="0" w:line="111"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i w:val="1"/>
          <w:iCs w:val="1"/>
          <w:color w:val="auto"/>
        </w:rPr>
        <w:t>Exchange, repricing and buyout of awards.</w:t>
      </w:r>
      <w:r>
        <w:rPr>
          <w:rFonts w:ascii="Arial" w:cs="Arial" w:eastAsia="Arial" w:hAnsi="Arial"/>
          <w:sz w:val="18"/>
          <w:szCs w:val="18"/>
          <w:color w:val="auto"/>
        </w:rPr>
        <w:t xml:space="preserve">  Without prior stockholder approval, our compensation committee may (a) reprice options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SARs (and where such repricing is a reduction in the exercise price, the consent of the affected Participants is not required) and (b) with the consent of the respective participants, pay cash or issue new awards in exchange for the surrender and cancellation of any or all outstanding awards.</w:t>
      </w:r>
    </w:p>
    <w:p>
      <w:pPr>
        <w:spacing w:after="0" w:line="106"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2024 Plan with a grant date value that when</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with cash compensation received for his or her service as a director, exceeds $        in a calendar year or $        in the calendar year of his or her initial service as a non-employee director with us.</w:t>
      </w:r>
    </w:p>
    <w:p>
      <w:pPr>
        <w:spacing w:after="0" w:line="88"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i w:val="1"/>
          <w:iCs w:val="1"/>
          <w:color w:val="auto"/>
        </w:rPr>
        <w:t>Clawback.</w:t>
      </w:r>
      <w:r>
        <w:rPr>
          <w:rFonts w:ascii="Arial" w:cs="Arial" w:eastAsia="Arial" w:hAnsi="Arial"/>
          <w:sz w:val="18"/>
          <w:szCs w:val="18"/>
          <w:color w:val="auto"/>
        </w:rPr>
        <w:t xml:space="preserve">  All awards will be subject to clawback or recoupment pursuant to any compensation clawback or recoupment policy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of directors (or a committee thereof) or required by law, to the extent set forth in such policy or applicable agreement.</w:t>
      </w:r>
    </w:p>
    <w:p>
      <w:pPr>
        <w:spacing w:after="0" w:line="8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Unless the compensation committee provides otherwise, the 2024 Plan does not allow for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other than by will or the laws of descent and distribution, and generally only the recipient of an award may exercise it during his or her lifetime.</w:t>
      </w:r>
    </w:p>
    <w:p>
      <w:pPr>
        <w:spacing w:after="0" w:line="101"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i w:val="1"/>
          <w:iCs w:val="1"/>
          <w:color w:val="auto"/>
        </w:rPr>
        <w:t>Foreign Award Recipients</w:t>
      </w:r>
      <w:r>
        <w:rPr>
          <w:rFonts w:ascii="Arial" w:cs="Arial" w:eastAsia="Arial" w:hAnsi="Arial"/>
          <w:sz w:val="18"/>
          <w:szCs w:val="18"/>
          <w:color w:val="auto"/>
        </w:rPr>
        <w:t>. In order to comply with the laws in other countries in which we and our subsidiaries and affiliates operate or</w:t>
      </w:r>
      <w:r>
        <w:rPr>
          <w:rFonts w:ascii="Arial" w:cs="Arial" w:eastAsia="Arial" w:hAnsi="Arial"/>
          <w:sz w:val="18"/>
          <w:szCs w:val="18"/>
          <w:i w:val="1"/>
          <w:iCs w:val="1"/>
          <w:color w:val="auto"/>
        </w:rPr>
        <w:t xml:space="preserve"> </w:t>
      </w:r>
      <w:r>
        <w:rPr>
          <w:rFonts w:ascii="Arial" w:cs="Arial" w:eastAsia="Arial" w:hAnsi="Arial"/>
          <w:sz w:val="18"/>
          <w:szCs w:val="18"/>
          <w:color w:val="auto"/>
        </w:rPr>
        <w:t>have employees or other individuals eligible for awards, the compensation committee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47" w:lineRule="auto"/>
        <w:rPr>
          <w:sz w:val="20"/>
          <w:szCs w:val="20"/>
          <w:color w:val="auto"/>
        </w:rPr>
      </w:pPr>
      <w:r>
        <w:rPr>
          <w:rFonts w:ascii="Arial" w:cs="Arial" w:eastAsia="Arial" w:hAnsi="Arial"/>
          <w:sz w:val="18"/>
          <w:szCs w:val="18"/>
          <w:color w:val="auto"/>
        </w:rPr>
        <w:t>will have the power and authority to modify the terms and conditions of any award granted to individuals outside the United States to comply with applicable foreign laws, establish subplans and modify exercise procedures and other terms and procedures, and take any action that the compensation committee determines to be necessary or advisable to comply with any local governmental regulatory exemptions or approvals.</w:t>
      </w:r>
    </w:p>
    <w:p>
      <w:pPr>
        <w:spacing w:after="0" w:line="10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xml:space="preserve">  Our board of directors may amend our 2024 Plan at any time, subject to stockholder approval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Our 2024 Plan will terminate ten years from the date our board of directors adopts the 2024 Plan unless it is terminated earlier as provided by the terms of the 2024 plan. No termination or amendment of the 2024 Plan may adversely affect any then-outstanding award without the consent of the affected participant, except as is necessary to comply with applicable law, regulation or rule, or as otherwise provided by the terms of the 2024 Plan.</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2024 Employee Stock Purchase Plan</w:t>
      </w:r>
    </w:p>
    <w:p>
      <w:pPr>
        <w:spacing w:after="0" w:line="142" w:lineRule="exact"/>
        <w:rPr>
          <w:sz w:val="20"/>
          <w:szCs w:val="20"/>
          <w:color w:val="auto"/>
        </w:rPr>
      </w:pPr>
    </w:p>
    <w:p>
      <w:pPr>
        <w:ind w:left="120" w:right="320"/>
        <w:spacing w:after="0" w:line="244" w:lineRule="auto"/>
        <w:rPr>
          <w:sz w:val="20"/>
          <w:szCs w:val="20"/>
          <w:color w:val="auto"/>
        </w:rPr>
      </w:pPr>
      <w:r>
        <w:rPr>
          <w:rFonts w:ascii="Arial" w:cs="Arial" w:eastAsia="Arial" w:hAnsi="Arial"/>
          <w:sz w:val="18"/>
          <w:szCs w:val="18"/>
          <w:color w:val="auto"/>
        </w:rPr>
        <w:t>We intend to adopt our ESPP that will become effective on the date of the effectiveness of the registration statement of which this prospectus forms a part. Our ESPP will permit eligible employees to purchase shares of our common stock at a discount, using accumulated payroll deductions, beginning on a date to be determined by our board of directors or our compensation committee. Our ESPP is intended to qualify under Section 423 of the Code, provided that the compensation committee may adopt sub-plans under our ESPP designed to be outside of the scope of Section 423 of the Code for participants who are non-U.S. residents.</w:t>
      </w:r>
    </w:p>
    <w:p>
      <w:pPr>
        <w:spacing w:after="0" w:line="109" w:lineRule="exact"/>
        <w:rPr>
          <w:sz w:val="20"/>
          <w:szCs w:val="20"/>
          <w:color w:val="auto"/>
        </w:rPr>
      </w:pPr>
    </w:p>
    <w:p>
      <w:pPr>
        <w:ind w:left="120" w:right="140"/>
        <w:spacing w:after="0" w:line="259" w:lineRule="auto"/>
        <w:rPr>
          <w:sz w:val="20"/>
          <w:szCs w:val="20"/>
          <w:color w:val="auto"/>
        </w:rPr>
      </w:pPr>
      <w:r>
        <w:rPr>
          <w:rFonts w:ascii="Arial" w:cs="Arial" w:eastAsia="Arial" w:hAnsi="Arial"/>
          <w:sz w:val="17"/>
          <w:szCs w:val="17"/>
          <w:i w:val="1"/>
          <w:iCs w:val="1"/>
          <w:color w:val="auto"/>
        </w:rPr>
        <w:t>Shares available.</w:t>
      </w:r>
      <w:r>
        <w:rPr>
          <w:rFonts w:ascii="Arial" w:cs="Arial" w:eastAsia="Arial" w:hAnsi="Arial"/>
          <w:sz w:val="17"/>
          <w:szCs w:val="17"/>
          <w:color w:val="auto"/>
        </w:rPr>
        <w:t xml:space="preserve">  We have initially reserved        shares of our common stock for sale under our ESPP. The aggregate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reserved for sale under our ESPP will increase automatically on January 1st of each of 2025 through 2034 by the number of shares equal to the lesser of % of aggregate number of shares of all classes of our common stock, plus the total number of shares of our common stock as of the immediately preceding December 31 (rounded to the nearest whole share) or a number of shares as may be determined by our board of directors or our compensation committee in any particular year. The aggregate number of shares issued over the term of our ESPP, subject to stock-splits, recapitalizations or similar events, may not exceed        shares of our common stock.</w:t>
      </w:r>
    </w:p>
    <w:p>
      <w:pPr>
        <w:spacing w:after="0" w:line="84"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xml:space="preserve">  Our ESPP is expected to be administered by our compensation committee. Among other things, the administrator will</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authority to determine eligibility for participation in the ESPP, designate separate offerings under the ESPP, and construe, interpret and apply the terms of the ESPP.</w:t>
      </w:r>
    </w:p>
    <w:p>
      <w:pPr>
        <w:spacing w:after="0" w:line="10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xml:space="preserve">  Employees eligible to participate in any offering pursuant to the ESPP generally include any employee that is employed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or certain of our designated subsidiaries at the beginning of the offering period. However, our compensation committee may exclude the following employees from the ESPP (other than where such exclusion is prohibited by applicable law): employees who do not meet eligibility requirements that the compensation committee may choose to impose (within the limits permitted by the Code); employees who are not employed by the company or a designated subsidiary prior to the beginning of an offering period or prior to such other time period as specified by the compensation committee, employees who have been employed for less than two years, employees who are customarily employed for 20 hours or less per week, or for five months or less in a calendar year, certain “highly compensated” employees as determined in accordance with applicable tax laws, or employees resident in a foreign jurisdiction whose participation is either prohibited under local law, or where compliance with local law would violate Section 423 of the Code, may not be eligible to participate in the ESPP or individuals who provide services to the company or any of its designated subsidiaries who are reclassified as common law employees for any reason except for federal income and employment tax purposes . In addition, any employee who owns (or is deemed to own as a result of attribution) 5% or more of the total combined voting power or value of all classes of our capital stock, or the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capital stock of one of our qualifying subsidiaries, or who will own such amount as a result of participation in the ESPP, will not be eligible to participate in the ESPP.</w:t>
      </w:r>
    </w:p>
    <w:p>
      <w:pPr>
        <w:spacing w:after="0" w:line="86"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i w:val="1"/>
          <w:iCs w:val="1"/>
          <w:color w:val="auto"/>
        </w:rPr>
        <w:t>Offerings.</w:t>
      </w:r>
      <w:r>
        <w:rPr>
          <w:rFonts w:ascii="Arial" w:cs="Arial" w:eastAsia="Arial" w:hAnsi="Arial"/>
          <w:sz w:val="18"/>
          <w:szCs w:val="18"/>
          <w:color w:val="auto"/>
        </w:rPr>
        <w:t xml:space="preserve">  Under our ESPP, eligible employees will be offered the option to purchase shares of our common stock at a discount over a</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offering periods, which may be consecutive or overlapping, through accumulated payroll deductions over the period. Each offering period may itself consist of one or more purchase periods. No offering period may be longer than 27 months.</w:t>
      </w:r>
    </w:p>
    <w:p>
      <w:pPr>
        <w:spacing w:after="0" w:line="101"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xml:space="preserve">  Participating employees will be able to purchase the offered shares of our common stock by accumulating funds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deductions. Participants may select a rate of payroll deduction between 1% and 15% of their eligible compensation. A participant may not purchase more than        (or such greater or lesser number as the compensation committee may determine) shares during any one purchase period. A participant may not subscribe for more than $25,000 in fair market value of shares of our common stock (determined as of the date the offering period commences) in any calendar year in which the offering is in effect, however, the administrator, in its discretion, may set a lower maximum amount of shares which may be purchased.</w:t>
      </w:r>
    </w:p>
    <w:p>
      <w:pPr>
        <w:spacing w:after="0" w:line="98"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The purchase price for shares of our common stock purchased under the ESPP will be 85% of the lesser of the fair market value of our common stock on (i) the first trading day of the applicable offering period or (ii) the last trading day of each purchase period in the applicable offering period.</w:t>
      </w:r>
    </w:p>
    <w:p>
      <w:pPr>
        <w:spacing w:after="0" w:line="101"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Once an employee becomes a participant in an offering period, the participant will be automatically enrolled in each subsequent offering period at the same contribution level. A participant may reduce his or her contribution in accordance with procedures set forth by the compensation committee and may withdraw from participation in the ESPP at any time prior the end of an offering period, or such other time as may be specified by the compensation committee. Upon withdrawal, the accumulated payroll deductions will be returned to the participant without interest.</w:t>
      </w:r>
    </w:p>
    <w:p>
      <w:pPr>
        <w:spacing w:after="0" w:line="109"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i w:val="1"/>
          <w:iCs w:val="1"/>
          <w:color w:val="auto"/>
        </w:rPr>
        <w:t>Adjustments upon recapitalization.</w:t>
      </w:r>
      <w:r>
        <w:rPr>
          <w:rFonts w:ascii="Arial" w:cs="Arial" w:eastAsia="Arial" w:hAnsi="Arial"/>
          <w:sz w:val="18"/>
          <w:szCs w:val="18"/>
          <w:color w:val="auto"/>
        </w:rPr>
        <w:t xml:space="preserve">  If the number of outstanding shares of our common stock is changed by stock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stock split, reverse stock split, subdivision, combination, reclassification or similar change in our capital structure without consideration, then our compensation committee will proportionately adjust the number and class of common stock that is available under the ESPP, the purchase price and number of shares any participant has elected to purchase as well as the maximum number of shares which may be issued under the ESPP and which may be purchased by a participant.</w:t>
      </w:r>
    </w:p>
    <w:p>
      <w:pPr>
        <w:spacing w:after="0" w:line="95"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In the event of a “corporate transaction” (as defined in the ESPP), each outstanding right to purchase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assumed or an equivalent option substituted by the successor corporation or a parent or a subsidiary of the successor corporation. In the event that the successor corporation refuses to assume or substitute for the purchase right, any offering period that commenced prior to the closing of the proposed change of control transaction will be shortened and terminated on a new purchase date. The new purchase date will occur on or prior to the closing of the proposed corporate transaction, and our ESPP will then terminate on the closing of the corporate transaction.</w:t>
      </w:r>
    </w:p>
    <w:p>
      <w:pPr>
        <w:spacing w:after="0" w:line="11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xml:space="preserve">  A participant may not assign, transfer, pledge or otherwise dispose of payroll deductions credited to his or her account, or</w:t>
      </w:r>
      <w:r>
        <w:rPr>
          <w:rFonts w:ascii="Arial" w:cs="Arial" w:eastAsia="Arial" w:hAnsi="Arial"/>
          <w:sz w:val="18"/>
          <w:szCs w:val="18"/>
          <w:i w:val="1"/>
          <w:iCs w:val="1"/>
          <w:color w:val="auto"/>
        </w:rPr>
        <w:t xml:space="preserve"> </w:t>
      </w:r>
      <w:r>
        <w:rPr>
          <w:rFonts w:ascii="Arial" w:cs="Arial" w:eastAsia="Arial" w:hAnsi="Arial"/>
          <w:sz w:val="18"/>
          <w:szCs w:val="18"/>
          <w:color w:val="auto"/>
        </w:rPr>
        <w:t>any rights with regard to an election to purchase shares pursuant to the ESPP other than by will or the laws of descent or distribution.</w:t>
      </w:r>
    </w:p>
    <w:p>
      <w:pPr>
        <w:spacing w:after="0" w:line="86"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xml:space="preserve">  The administrator may amend, suspend or terminate the ESPP at any time without stockholder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except to the extent such amendment would increase the number of shares available for issuance under our ESPP, change the class or designation of employees eligible for participation in the ESPP or otherwise as required by law. If our ESPP is terminated, the compensation committee may elect to terminate all outstanding offering periods immediately, upon the next purchase date (which may be sooner than originally</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5" w:right="4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Our ESPP will continue until the earlier to occur of (a) termination of the ESPP by our board of directors, (b) issuance of all of the shares reserved for issuance under the ESPP, or (c) the tenth anniversary of the effective date under the ESPP.</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sponsor a retirement savings plan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401(k) plan from their eligible earnings up to the statutorily prescribed annual limit under the Code. Participants who are projected to reach 50 years of age or older during a calendar year may contribute additional amounts based on the statutory limits for catch-up contributions. Participant contributions are held in trust as required by law. Currently, we match each participant’s contribution up to a safe harbor maximum of 3% of his or her eligible compensation, not to exceed $3,000 per plan year, with participants vesting immediately and fully in such matching contributions.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benefits</w:t>
      </w:r>
    </w:p>
    <w:p>
      <w:pPr>
        <w:spacing w:after="0" w:line="12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Limitations on liability and indemnification matters</w:t>
      </w:r>
    </w:p>
    <w:p>
      <w:pPr>
        <w:spacing w:after="0" w:line="135"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Our restated certificate of incorporation that will become effective in connection with the completion of this offering contains provisions that limit the liability of our directors and officers for monetary damages to the fullest extent permitted by the Delaware General Corporation Law, or DGCL. Consequently, our directors and officers will not be personally liable to us or our stockholders for monetary damages for any breach of fiduciary duties as directors or officers, except liability for:</w:t>
      </w:r>
    </w:p>
    <w:p>
      <w:pPr>
        <w:spacing w:after="0" w:line="106" w:lineRule="exact"/>
        <w:rPr>
          <w:sz w:val="20"/>
          <w:szCs w:val="20"/>
          <w:color w:val="auto"/>
        </w:rPr>
      </w:pPr>
    </w:p>
    <w:p>
      <w:pPr>
        <w:ind w:left="340" w:hanging="224"/>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us or our stockholders;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44" w:lineRule="exact"/>
        <w:rPr>
          <w:rFonts w:ascii="Arial" w:cs="Arial" w:eastAsia="Arial" w:hAnsi="Arial"/>
          <w:sz w:val="18"/>
          <w:szCs w:val="18"/>
          <w:color w:val="auto"/>
        </w:rPr>
      </w:pPr>
    </w:p>
    <w:p>
      <w:pPr>
        <w:ind w:left="340" w:right="240" w:hanging="224"/>
        <w:spacing w:after="0" w:line="271"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 respect to directors, unlawful payments of dividends or unlawful stock repurchases or redemptions as provided in Section 174 of the DGCL; or</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4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Our restated certificate of incorporation and our restated bylaws that will become effective in connection with the completion of this offering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w:t>
      </w:r>
    </w:p>
    <w:p>
      <w:pPr>
        <w:spacing w:after="0" w:line="109"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executive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06"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8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95"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8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we have been informed that, in the opinion of the SEC, such indemnification is against public policy as expressed in the Securities Act and is therefore unenforceable.</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320" w:top="455" w:right="4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Certain relationships and related party transactions</w:t>
      </w:r>
    </w:p>
    <w:p>
      <w:pPr>
        <w:spacing w:after="0" w:line="168"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addition to the compensation arrangements, including any employment, termination of employment and change in control arrangements, with our directors and executive officers, including those discussed in the sections entitled “Management” and “Executive compensation,” the following is a description of each transaction since January 1, 2021 and each currently proposed transaction in which:</w:t>
      </w:r>
    </w:p>
    <w:p>
      <w:pPr>
        <w:spacing w:after="0" w:line="84" w:lineRule="exact"/>
        <w:rPr>
          <w:sz w:val="20"/>
          <w:szCs w:val="20"/>
          <w:color w:val="auto"/>
        </w:rPr>
      </w:pPr>
    </w:p>
    <w:p>
      <w:pPr>
        <w:ind w:left="340" w:hanging="224"/>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44" w:lineRule="exact"/>
        <w:rPr>
          <w:rFonts w:ascii="Arial" w:cs="Arial" w:eastAsia="Arial" w:hAnsi="Arial"/>
          <w:sz w:val="18"/>
          <w:szCs w:val="18"/>
          <w:color w:val="auto"/>
        </w:rPr>
      </w:pPr>
    </w:p>
    <w:p>
      <w:pPr>
        <w:ind w:left="340" w:right="60" w:hanging="224"/>
        <w:spacing w:after="0" w:line="271"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involved exceeded or will exceed the lesser of $120,000 and 1.0% of our average total assets at year-end for the prior two completed fiscal years; and</w:t>
      </w:r>
    </w:p>
    <w:p>
      <w:pPr>
        <w:spacing w:after="0" w:line="86" w:lineRule="exact"/>
        <w:rPr>
          <w:rFonts w:ascii="Arial" w:cs="Arial" w:eastAsia="Arial" w:hAnsi="Arial"/>
          <w:sz w:val="18"/>
          <w:szCs w:val="18"/>
          <w:color w:val="auto"/>
        </w:rPr>
      </w:pPr>
    </w:p>
    <w:p>
      <w:pPr>
        <w:ind w:left="340" w:right="220" w:hanging="224"/>
        <w:spacing w:after="0" w:line="271"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5.0% of our capital stock, or an affiliate or immediate family member of the foregoing persons, had or will have a direct or indirect material interest.</w:t>
      </w:r>
    </w:p>
    <w:p>
      <w:pPr>
        <w:spacing w:after="0" w:line="86"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 other than compensation arrangements, which are described where required under the section entitled “Executive compensation.”</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Series B Preferred Stock financing</w:t>
      </w:r>
    </w:p>
    <w:p>
      <w:pPr>
        <w:spacing w:after="0" w:line="148" w:lineRule="exact"/>
        <w:rPr>
          <w:sz w:val="20"/>
          <w:szCs w:val="20"/>
          <w:color w:val="auto"/>
        </w:rPr>
      </w:pPr>
    </w:p>
    <w:p>
      <w:pPr>
        <w:ind w:left="120" w:right="140"/>
        <w:spacing w:after="0" w:line="245" w:lineRule="auto"/>
        <w:rPr>
          <w:sz w:val="20"/>
          <w:szCs w:val="20"/>
          <w:color w:val="auto"/>
        </w:rPr>
      </w:pPr>
      <w:r>
        <w:rPr>
          <w:rFonts w:ascii="Arial" w:cs="Arial" w:eastAsia="Arial" w:hAnsi="Arial"/>
          <w:sz w:val="18"/>
          <w:szCs w:val="18"/>
          <w:color w:val="auto"/>
        </w:rPr>
        <w:t>From December 2020 through February 2021, we sold an aggregate of 57,563,188 shares of our Series B Preferred Stock, at a price per share of $2.75 for total gross proceeds of $158.3 million. Each share of our Series B Preferred Stock will automatically convert</w:t>
      </w:r>
    </w:p>
    <w:p>
      <w:pPr>
        <w:ind w:left="120" w:right="180"/>
        <w:spacing w:after="0" w:line="242" w:lineRule="auto"/>
        <w:rPr>
          <w:sz w:val="20"/>
          <w:szCs w:val="20"/>
          <w:color w:val="auto"/>
        </w:rPr>
      </w:pPr>
      <w:r>
        <w:rPr>
          <w:rFonts w:ascii="Arial" w:cs="Arial" w:eastAsia="Arial" w:hAnsi="Arial"/>
          <w:sz w:val="18"/>
          <w:szCs w:val="18"/>
          <w:color w:val="auto"/>
        </w:rPr>
        <w:t>into        shares of our common stock immediately prior to the completion of this offering. Pursuant to the Investor Rights Agreement, or IRA, holders of our Series B Preferred Stock are entitled to certain registration rights. See the section entitled “Description of capital stock—Registration rights” for additional information.</w:t>
      </w:r>
    </w:p>
    <w:p>
      <w:pPr>
        <w:spacing w:after="0" w:line="98"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The following table summarizes the Series B Preferred Stock purchased by members of our board of directors or their affiliates and holders of more than 5% of our outstanding capital stock. The terms of these purchases were the same for all purchasers of our Series B Preferred Stock. Please refer to the section entitled “Principal stockholders” for additional information regarding the shares held by these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3720" w:type="dxa"/>
            <w:vAlign w:val="bottom"/>
          </w:tcPr>
          <w:p>
            <w:pPr>
              <w:jc w:val="right"/>
              <w:spacing w:after="0"/>
              <w:rPr>
                <w:sz w:val="20"/>
                <w:szCs w:val="20"/>
                <w:color w:val="auto"/>
              </w:rPr>
            </w:pPr>
            <w:r>
              <w:rPr>
                <w:rFonts w:ascii="Arial" w:cs="Arial" w:eastAsia="Arial" w:hAnsi="Arial"/>
                <w:sz w:val="16"/>
                <w:szCs w:val="16"/>
                <w:b w:val="1"/>
                <w:bCs w:val="1"/>
                <w:color w:val="auto"/>
              </w:rPr>
              <w:t>Shares of</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5940" w:type="dxa"/>
            <w:vAlign w:val="bottom"/>
          </w:tcPr>
          <w:p>
            <w:pPr>
              <w:spacing w:after="0"/>
              <w:rPr>
                <w:sz w:val="16"/>
                <w:szCs w:val="16"/>
                <w:color w:val="auto"/>
              </w:rPr>
            </w:pPr>
          </w:p>
        </w:tc>
        <w:tc>
          <w:tcPr>
            <w:tcW w:w="3720" w:type="dxa"/>
            <w:vAlign w:val="bottom"/>
          </w:tcPr>
          <w:p>
            <w:pPr>
              <w:jc w:val="right"/>
              <w:spacing w:after="0"/>
              <w:rPr>
                <w:sz w:val="20"/>
                <w:szCs w:val="20"/>
                <w:color w:val="auto"/>
              </w:rPr>
            </w:pPr>
            <w:r>
              <w:rPr>
                <w:rFonts w:ascii="Arial" w:cs="Arial" w:eastAsia="Arial" w:hAnsi="Arial"/>
                <w:sz w:val="16"/>
                <w:szCs w:val="16"/>
                <w:b w:val="1"/>
                <w:bCs w:val="1"/>
                <w:color w:val="auto"/>
              </w:rPr>
              <w:t>Series B</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Total cash</w:t>
            </w:r>
          </w:p>
        </w:tc>
      </w:tr>
      <w:tr>
        <w:trPr>
          <w:trHeight w:val="189"/>
        </w:trPr>
        <w:tc>
          <w:tcPr>
            <w:tcW w:w="5940" w:type="dxa"/>
            <w:vAlign w:val="bottom"/>
          </w:tcPr>
          <w:p>
            <w:pPr>
              <w:spacing w:after="0"/>
              <w:rPr>
                <w:sz w:val="16"/>
                <w:szCs w:val="16"/>
                <w:color w:val="auto"/>
              </w:rPr>
            </w:pPr>
          </w:p>
        </w:tc>
        <w:tc>
          <w:tcPr>
            <w:tcW w:w="3720" w:type="dxa"/>
            <w:vAlign w:val="bottom"/>
          </w:tcPr>
          <w:p>
            <w:pPr>
              <w:jc w:val="right"/>
              <w:spacing w:after="0"/>
              <w:rPr>
                <w:sz w:val="20"/>
                <w:szCs w:val="20"/>
                <w:color w:val="auto"/>
              </w:rPr>
            </w:pPr>
            <w:r>
              <w:rPr>
                <w:rFonts w:ascii="Arial" w:cs="Arial" w:eastAsia="Arial" w:hAnsi="Arial"/>
                <w:sz w:val="16"/>
                <w:szCs w:val="16"/>
                <w:b w:val="1"/>
                <w:bCs w:val="1"/>
                <w:color w:val="auto"/>
              </w:rPr>
              <w:t>Preferred</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purchase</w:t>
            </w:r>
          </w:p>
        </w:tc>
      </w:tr>
      <w:tr>
        <w:trPr>
          <w:trHeight w:val="203"/>
        </w:trPr>
        <w:tc>
          <w:tcPr>
            <w:tcW w:w="5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stockholder</w:t>
            </w:r>
          </w:p>
        </w:tc>
        <w:tc>
          <w:tcPr>
            <w:tcW w:w="3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Stock</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price($)</w:t>
            </w: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ARCH Ventures(1)</w:t>
            </w:r>
          </w:p>
        </w:tc>
        <w:tc>
          <w:tcPr>
            <w:tcW w:w="3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12,727,272</w:t>
            </w:r>
          </w:p>
        </w:tc>
        <w:tc>
          <w:tcPr>
            <w:tcW w:w="2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34,999,998</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Entity affiliated with GV(2)</w:t>
            </w:r>
          </w:p>
        </w:tc>
        <w:tc>
          <w:tcPr>
            <w:tcW w:w="3720" w:type="dxa"/>
            <w:vAlign w:val="bottom"/>
          </w:tcPr>
          <w:p>
            <w:pPr>
              <w:jc w:val="right"/>
              <w:spacing w:after="0" w:line="202" w:lineRule="exact"/>
              <w:rPr>
                <w:sz w:val="20"/>
                <w:szCs w:val="20"/>
                <w:color w:val="auto"/>
              </w:rPr>
            </w:pPr>
            <w:r>
              <w:rPr>
                <w:rFonts w:ascii="Arial" w:cs="Arial" w:eastAsia="Arial" w:hAnsi="Arial"/>
                <w:sz w:val="18"/>
                <w:szCs w:val="18"/>
                <w:color w:val="auto"/>
              </w:rPr>
              <w:t>6,363,637</w:t>
            </w:r>
          </w:p>
        </w:tc>
        <w:tc>
          <w:tcPr>
            <w:tcW w:w="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17,500,002</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Foresite Capital Fund IV, L.P.(3)</w:t>
            </w:r>
          </w:p>
        </w:tc>
        <w:tc>
          <w:tcPr>
            <w:tcW w:w="3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5,000,000</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13,750,000</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City Hill, LLC(4)</w:t>
            </w:r>
          </w:p>
        </w:tc>
        <w:tc>
          <w:tcPr>
            <w:tcW w:w="3720" w:type="dxa"/>
            <w:vAlign w:val="bottom"/>
          </w:tcPr>
          <w:p>
            <w:pPr>
              <w:jc w:val="right"/>
              <w:spacing w:after="0" w:line="202" w:lineRule="exact"/>
              <w:rPr>
                <w:sz w:val="20"/>
                <w:szCs w:val="20"/>
                <w:color w:val="auto"/>
              </w:rPr>
            </w:pPr>
            <w:r>
              <w:rPr>
                <w:rFonts w:ascii="Arial" w:cs="Arial" w:eastAsia="Arial" w:hAnsi="Arial"/>
                <w:sz w:val="18"/>
                <w:szCs w:val="18"/>
                <w:color w:val="auto"/>
              </w:rPr>
              <w:t>2,231,381</w:t>
            </w:r>
          </w:p>
        </w:tc>
        <w:tc>
          <w:tcPr>
            <w:tcW w:w="2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6,136,298</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Charles Homcy, M.D.(5)</w:t>
            </w:r>
          </w:p>
        </w:tc>
        <w:tc>
          <w:tcPr>
            <w:tcW w:w="3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72,727</w:t>
            </w:r>
          </w:p>
        </w:tc>
        <w:tc>
          <w:tcPr>
            <w:tcW w:w="2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51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spacing w:after="0" w:line="264" w:lineRule="exact"/>
        <w:rPr>
          <w:sz w:val="20"/>
          <w:szCs w:val="20"/>
          <w:color w:val="auto"/>
        </w:rPr>
      </w:pPr>
    </w:p>
    <w:p>
      <w:pPr>
        <w:ind w:left="440" w:right="380" w:hanging="324"/>
        <w:spacing w:after="0" w:line="281" w:lineRule="auto"/>
        <w:tabs>
          <w:tab w:leader="none" w:pos="4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Consists of shares purchased by ARCH Venture Fund X, L.P. and ARCH Venture Fund X Overage, L.P. ARCH Ventures holds more than 5% of our outstanding capital stock. Jonathan Lim, M.D., a member of our board of directors, is affiliated with ARCH Ventures.</w:t>
      </w:r>
    </w:p>
    <w:p>
      <w:pPr>
        <w:spacing w:after="0" w:line="27" w:lineRule="exact"/>
        <w:rPr>
          <w:rFonts w:ascii="Arial" w:cs="Arial" w:eastAsia="Arial" w:hAnsi="Arial"/>
          <w:sz w:val="13"/>
          <w:szCs w:val="13"/>
          <w:color w:val="auto"/>
        </w:rPr>
      </w:pPr>
    </w:p>
    <w:p>
      <w:pPr>
        <w:ind w:left="440" w:right="80" w:hanging="324"/>
        <w:spacing w:after="0" w:line="281" w:lineRule="auto"/>
        <w:tabs>
          <w:tab w:leader="none" w:pos="4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Consists of shares purchased by GV 2019, L.P., which, together with its affiliate GV 2023, L.P., holds more than 5% of our outstanding capital stock. Brendan Bulik-Sullivan, Ph.D. and Richard Scheller, Ph.D., each a member of our board of directors, are affiliated with GV 2019, L.P.</w:t>
      </w:r>
    </w:p>
    <w:p>
      <w:pPr>
        <w:spacing w:after="0" w:line="27" w:lineRule="exact"/>
        <w:rPr>
          <w:rFonts w:ascii="Arial" w:cs="Arial" w:eastAsia="Arial" w:hAnsi="Arial"/>
          <w:sz w:val="13"/>
          <w:szCs w:val="13"/>
          <w:color w:val="auto"/>
        </w:rPr>
      </w:pPr>
    </w:p>
    <w:p>
      <w:pPr>
        <w:ind w:left="440" w:hanging="324"/>
        <w:spacing w:after="0"/>
        <w:tabs>
          <w:tab w:leader="none" w:pos="4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Consists of shares purchased by Foresite Capital Fund IV, L.P. and Foresite Capital Fund V, L.P., which as of such financing, held more than 5% of our outstanding capital stock.</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Consists of shares purchased by City Hill, LLC. Jonathan Lim, M.D., a member of our board of directors, is affiliated with City Hill, LLC.</w:t>
      </w:r>
    </w:p>
    <w:p>
      <w:pPr>
        <w:spacing w:after="0" w:line="93" w:lineRule="exact"/>
        <w:rPr>
          <w:rFonts w:ascii="Arial" w:cs="Arial" w:eastAsia="Arial" w:hAnsi="Arial"/>
          <w:sz w:val="13"/>
          <w:szCs w:val="13"/>
          <w:color w:val="auto"/>
        </w:rPr>
      </w:pPr>
    </w:p>
    <w:p>
      <w:pPr>
        <w:ind w:left="440" w:hanging="324"/>
        <w:spacing w:after="0"/>
        <w:tabs>
          <w:tab w:leader="none" w:pos="4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Consists of shares purchased by Charles Homcy, M.D., a member of our board of directors.</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Series C Preferred Stock financing</w:t>
      </w:r>
    </w:p>
    <w:p>
      <w:pPr>
        <w:spacing w:after="0" w:line="148" w:lineRule="exact"/>
        <w:rPr>
          <w:sz w:val="20"/>
          <w:szCs w:val="20"/>
          <w:color w:val="auto"/>
        </w:rPr>
      </w:pPr>
    </w:p>
    <w:p>
      <w:pPr>
        <w:ind w:left="120" w:right="360"/>
        <w:spacing w:after="0" w:line="259" w:lineRule="auto"/>
        <w:rPr>
          <w:sz w:val="20"/>
          <w:szCs w:val="20"/>
          <w:color w:val="auto"/>
        </w:rPr>
      </w:pPr>
      <w:r>
        <w:rPr>
          <w:rFonts w:ascii="Arial" w:cs="Arial" w:eastAsia="Arial" w:hAnsi="Arial"/>
          <w:sz w:val="17"/>
          <w:szCs w:val="17"/>
          <w:color w:val="auto"/>
        </w:rPr>
        <w:t>From December 2021 through March 2022, we sold an aggregate of 40,866,704 shares of our Series C Preferred Stock, at a price per share of $2.9515 for total gross proceeds of $120.6 million. Each share of our Series C Preferred Stock will automatically convert into</w:t>
      </w:r>
    </w:p>
    <w:p>
      <w:pPr>
        <w:spacing w:after="0" w:line="1" w:lineRule="exact"/>
        <w:rPr>
          <w:sz w:val="20"/>
          <w:szCs w:val="20"/>
          <w:color w:val="auto"/>
        </w:rPr>
      </w:pPr>
    </w:p>
    <w:p>
      <w:pPr>
        <w:ind w:left="120" w:right="440"/>
        <w:spacing w:after="0" w:line="242" w:lineRule="auto"/>
        <w:rPr>
          <w:sz w:val="20"/>
          <w:szCs w:val="20"/>
          <w:color w:val="auto"/>
        </w:rPr>
      </w:pPr>
      <w:r>
        <w:rPr>
          <w:rFonts w:ascii="Arial" w:cs="Arial" w:eastAsia="Arial" w:hAnsi="Arial"/>
          <w:sz w:val="18"/>
          <w:szCs w:val="18"/>
          <w:color w:val="auto"/>
        </w:rPr>
        <w:t>      shares of our common stock immediately prior to the completion of this offering. Pursuant to the IRA, holders of our Series C Preferred Stock are entitled to certain registration rights. See the section entitled “Description of capital stock—Registration rights” for additional information.</w:t>
      </w:r>
    </w:p>
    <w:p>
      <w:pPr>
        <w:spacing w:after="0" w:line="112"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The following table summarizes the Series C Preferred Stock purchased by members of our board of directors or their affiliates and holders of more than 5% of our outstanding capital stock. The terms of these purchases were the same for all purchasers of our Series C Preferred Stock. Please refer to the section entitled “Principal stockholders” for additional information regarding the shares held by these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080" w:type="dxa"/>
            <w:vAlign w:val="bottom"/>
          </w:tcPr>
          <w:p>
            <w:pPr>
              <w:spacing w:after="0"/>
              <w:rPr>
                <w:sz w:val="16"/>
                <w:szCs w:val="16"/>
                <w:color w:val="auto"/>
              </w:rPr>
            </w:pPr>
          </w:p>
        </w:tc>
        <w:tc>
          <w:tcPr>
            <w:tcW w:w="3260" w:type="dxa"/>
            <w:vAlign w:val="bottom"/>
          </w:tcPr>
          <w:p>
            <w:pPr>
              <w:jc w:val="right"/>
              <w:spacing w:after="0"/>
              <w:rPr>
                <w:sz w:val="20"/>
                <w:szCs w:val="20"/>
                <w:color w:val="auto"/>
              </w:rPr>
            </w:pPr>
            <w:r>
              <w:rPr>
                <w:rFonts w:ascii="Arial" w:cs="Arial" w:eastAsia="Arial" w:hAnsi="Arial"/>
                <w:sz w:val="16"/>
                <w:szCs w:val="16"/>
                <w:b w:val="1"/>
                <w:bCs w:val="1"/>
                <w:color w:val="auto"/>
              </w:rPr>
              <w:t>Shares of</w:t>
            </w:r>
          </w:p>
        </w:tc>
        <w:tc>
          <w:tcPr>
            <w:tcW w:w="32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cash</w:t>
            </w:r>
          </w:p>
        </w:tc>
        <w:tc>
          <w:tcPr>
            <w:tcW w:w="0" w:type="dxa"/>
            <w:vAlign w:val="bottom"/>
          </w:tcPr>
          <w:p>
            <w:pPr>
              <w:spacing w:after="0"/>
              <w:rPr>
                <w:sz w:val="1"/>
                <w:szCs w:val="1"/>
                <w:color w:val="auto"/>
              </w:rPr>
            </w:pPr>
          </w:p>
        </w:tc>
      </w:tr>
      <w:tr>
        <w:trPr>
          <w:trHeight w:val="176"/>
        </w:trPr>
        <w:tc>
          <w:tcPr>
            <w:tcW w:w="6080" w:type="dxa"/>
            <w:vAlign w:val="bottom"/>
          </w:tcPr>
          <w:p>
            <w:pPr>
              <w:spacing w:after="0"/>
              <w:rPr>
                <w:sz w:val="15"/>
                <w:szCs w:val="15"/>
                <w:color w:val="auto"/>
              </w:rPr>
            </w:pPr>
          </w:p>
        </w:tc>
        <w:tc>
          <w:tcPr>
            <w:tcW w:w="3260" w:type="dxa"/>
            <w:vAlign w:val="bottom"/>
          </w:tcPr>
          <w:p>
            <w:pPr>
              <w:jc w:val="right"/>
              <w:spacing w:after="0" w:line="175" w:lineRule="exact"/>
              <w:rPr>
                <w:sz w:val="20"/>
                <w:szCs w:val="20"/>
                <w:color w:val="auto"/>
              </w:rPr>
            </w:pPr>
            <w:r>
              <w:rPr>
                <w:rFonts w:ascii="Arial" w:cs="Arial" w:eastAsia="Arial" w:hAnsi="Arial"/>
                <w:sz w:val="16"/>
                <w:szCs w:val="16"/>
                <w:b w:val="1"/>
                <w:bCs w:val="1"/>
                <w:color w:val="auto"/>
              </w:rPr>
              <w:t>Series C</w:t>
            </w:r>
          </w:p>
        </w:tc>
        <w:tc>
          <w:tcPr>
            <w:tcW w:w="3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3260" w:type="dxa"/>
            <w:vAlign w:val="bottom"/>
          </w:tcPr>
          <w:p>
            <w:pPr>
              <w:jc w:val="right"/>
              <w:spacing w:after="0"/>
              <w:rPr>
                <w:sz w:val="20"/>
                <w:szCs w:val="20"/>
                <w:color w:val="auto"/>
              </w:rPr>
            </w:pPr>
            <w:r>
              <w:rPr>
                <w:rFonts w:ascii="Arial" w:cs="Arial" w:eastAsia="Arial" w:hAnsi="Arial"/>
                <w:sz w:val="16"/>
                <w:szCs w:val="16"/>
                <w:b w:val="1"/>
                <w:bCs w:val="1"/>
                <w:color w:val="auto"/>
              </w:rPr>
              <w:t>Preferred</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purchase</w:t>
            </w:r>
          </w:p>
        </w:tc>
        <w:tc>
          <w:tcPr>
            <w:tcW w:w="0" w:type="dxa"/>
            <w:vAlign w:val="bottom"/>
          </w:tcPr>
          <w:p>
            <w:pPr>
              <w:spacing w:after="0"/>
              <w:rPr>
                <w:sz w:val="1"/>
                <w:szCs w:val="1"/>
                <w:color w:val="auto"/>
              </w:rPr>
            </w:pPr>
          </w:p>
        </w:tc>
      </w:tr>
      <w:tr>
        <w:trPr>
          <w:trHeight w:val="217"/>
        </w:trPr>
        <w:tc>
          <w:tcPr>
            <w:tcW w:w="6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stockholder</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Stock</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Matrix Capital Management Master Fund L.P.(1)</w:t>
            </w:r>
          </w:p>
        </w:tc>
        <w:tc>
          <w:tcPr>
            <w:tcW w:w="3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20,328,646</w:t>
            </w:r>
          </w:p>
        </w:tc>
        <w:tc>
          <w:tcPr>
            <w:tcW w:w="3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59,999,998.67</w:t>
            </w:r>
          </w:p>
        </w:tc>
        <w:tc>
          <w:tcPr>
            <w:tcW w:w="0" w:type="dxa"/>
            <w:vAlign w:val="bottom"/>
          </w:tcPr>
          <w:p>
            <w:pPr>
              <w:spacing w:after="0"/>
              <w:rPr>
                <w:sz w:val="1"/>
                <w:szCs w:val="1"/>
                <w:color w:val="auto"/>
              </w:rPr>
            </w:pPr>
          </w:p>
        </w:tc>
      </w:tr>
      <w:tr>
        <w:trPr>
          <w:trHeight w:val="239"/>
        </w:trPr>
        <w:tc>
          <w:tcPr>
            <w:tcW w:w="6080" w:type="dxa"/>
            <w:vAlign w:val="bottom"/>
          </w:tcPr>
          <w:p>
            <w:pPr>
              <w:spacing w:after="0"/>
              <w:rPr>
                <w:sz w:val="20"/>
                <w:szCs w:val="20"/>
                <w:color w:val="auto"/>
              </w:rPr>
            </w:pPr>
            <w:r>
              <w:rPr>
                <w:rFonts w:ascii="Arial" w:cs="Arial" w:eastAsia="Arial" w:hAnsi="Arial"/>
                <w:sz w:val="18"/>
                <w:szCs w:val="18"/>
                <w:color w:val="auto"/>
              </w:rPr>
              <w:t>Charles Homcy, M.D(2)</w:t>
            </w:r>
          </w:p>
        </w:tc>
        <w:tc>
          <w:tcPr>
            <w:tcW w:w="3260" w:type="dxa"/>
            <w:vAlign w:val="bottom"/>
          </w:tcPr>
          <w:p>
            <w:pPr>
              <w:jc w:val="right"/>
              <w:spacing w:after="0"/>
              <w:rPr>
                <w:sz w:val="20"/>
                <w:szCs w:val="20"/>
                <w:color w:val="auto"/>
              </w:rPr>
            </w:pPr>
            <w:r>
              <w:rPr>
                <w:rFonts w:ascii="Arial" w:cs="Arial" w:eastAsia="Arial" w:hAnsi="Arial"/>
                <w:sz w:val="18"/>
                <w:szCs w:val="18"/>
                <w:color w:val="auto"/>
              </w:rPr>
              <w:t>169,405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499,998.86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519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228" w:lineRule="exact"/>
        <w:rPr>
          <w:sz w:val="20"/>
          <w:szCs w:val="20"/>
          <w:color w:val="auto"/>
        </w:rPr>
      </w:pPr>
    </w:p>
    <w:p>
      <w:pPr>
        <w:ind w:left="440" w:right="140" w:hanging="324"/>
        <w:spacing w:after="0" w:line="281" w:lineRule="auto"/>
        <w:tabs>
          <w:tab w:leader="none" w:pos="4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Consists of shares purchased by Matrix Capital Management Master Fund, L.P. which holds more than 5% of our outstanding capital stock. Andy Tran, a member of our board of directors, is affiliated with Matrix Capital Management Master Fund, L.P.</w:t>
      </w:r>
    </w:p>
    <w:p>
      <w:pPr>
        <w:spacing w:after="0" w:line="27" w:lineRule="exact"/>
        <w:rPr>
          <w:rFonts w:ascii="Arial" w:cs="Arial" w:eastAsia="Arial" w:hAnsi="Arial"/>
          <w:sz w:val="13"/>
          <w:szCs w:val="13"/>
          <w:color w:val="auto"/>
        </w:rPr>
      </w:pPr>
    </w:p>
    <w:p>
      <w:pPr>
        <w:ind w:left="440" w:hanging="324"/>
        <w:spacing w:after="0"/>
        <w:tabs>
          <w:tab w:leader="none" w:pos="4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Consists of shares purchased by Charles Homcy, M.D., a member of our board of directors.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Convertible promissory notes financing</w:t>
      </w:r>
    </w:p>
    <w:p>
      <w:pPr>
        <w:spacing w:after="0" w:line="14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From December 2023 through April 2024, we sold $40.7 million aggregate principal amount of our convertible promissory notes to certain purchasers in a private placement. The notes bear interest at a rate of 8% per annum, compounded annually. Upon occurrence of an initial public offering pursuant to which all shares of our preferred stock are converted into common stock resulting in aggregate gross proceeds to us of at least $50.0 million, the outstanding convertible promissory notes shall be converted automatically into an amount of common stock equal to (i) the sum of (a) all then outstanding principal amount of convertible promissory notes, (b) all then accrued but unpaid interest and (c) all other amounts (including fees and expenses) then accrued but unpaid under the-then principal amount of convertible promissory notes outstanding multiplied by (ii) 80% of the price per share to the public of the shares of common stock issued in the initial public offering. The notes mature on December 15, 2026.</w:t>
      </w:r>
    </w:p>
    <w:p>
      <w:pPr>
        <w:spacing w:after="0" w:line="99"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8"/>
          <w:szCs w:val="18"/>
          <w:color w:val="auto"/>
        </w:rPr>
        <w:t>The following table summarizes the notes purchased by members of our board of directors or their affiliates and holders of more than 5% of our outstanding capital stock. The terms of these purchases were the same for all purchasers of the notes. Please refer to the section entitled “Principal stockholders” for additional information regarding the shares held by these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6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principal amount</w:t>
            </w:r>
          </w:p>
        </w:tc>
      </w:tr>
      <w:tr>
        <w:trPr>
          <w:trHeight w:val="189"/>
        </w:trPr>
        <w:tc>
          <w:tcPr>
            <w:tcW w:w="65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of notes</w:t>
            </w:r>
          </w:p>
        </w:tc>
      </w:tr>
      <w:tr>
        <w:trPr>
          <w:trHeight w:val="203"/>
        </w:trPr>
        <w:tc>
          <w:tcPr>
            <w:tcW w:w="6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stockholder</w:t>
            </w:r>
          </w:p>
        </w:tc>
        <w:tc>
          <w:tcPr>
            <w:tcW w:w="30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purchased ($)</w:t>
            </w: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ARCH Ventures(1)</w:t>
            </w:r>
          </w:p>
        </w:tc>
        <w:tc>
          <w:tcPr>
            <w:tcW w:w="3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5,000,000.00</w:t>
            </w:r>
          </w:p>
        </w:tc>
        <w:tc>
          <w:tcPr>
            <w:tcW w:w="80" w:type="dxa"/>
            <w:vAlign w:val="bottom"/>
            <w:shd w:val="clear" w:color="auto" w:fill="CCEEFF"/>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Affiliates of Third Rock Ventures(2).</w:t>
            </w:r>
          </w:p>
        </w:tc>
        <w:tc>
          <w:tcPr>
            <w:tcW w:w="3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10,000,000.00</w:t>
            </w:r>
          </w:p>
        </w:tc>
        <w:tc>
          <w:tcPr>
            <w:tcW w:w="8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Entity affiliated with GV(3)</w:t>
            </w:r>
          </w:p>
        </w:tc>
        <w:tc>
          <w:tcPr>
            <w:tcW w:w="3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2,500,000.00</w:t>
            </w:r>
          </w:p>
        </w:tc>
        <w:tc>
          <w:tcPr>
            <w:tcW w:w="80" w:type="dxa"/>
            <w:vAlign w:val="bottom"/>
            <w:shd w:val="clear" w:color="auto" w:fill="CCEEFF"/>
          </w:tcPr>
          <w:p>
            <w:pPr>
              <w:spacing w:after="0"/>
              <w:rPr>
                <w:sz w:val="17"/>
                <w:szCs w:val="17"/>
                <w:color w:val="auto"/>
              </w:rPr>
            </w:pPr>
          </w:p>
        </w:tc>
      </w:tr>
      <w:tr>
        <w:trPr>
          <w:trHeight w:val="203"/>
        </w:trPr>
        <w:tc>
          <w:tcPr>
            <w:tcW w:w="6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Entities affiliated with Charles Homcy, M.D.(4)</w:t>
            </w:r>
          </w:p>
        </w:tc>
        <w:tc>
          <w:tcPr>
            <w:tcW w:w="3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75,000.00</w:t>
            </w:r>
          </w:p>
        </w:tc>
        <w:tc>
          <w:tcPr>
            <w:tcW w:w="80" w:type="dxa"/>
            <w:vAlign w:val="bottom"/>
          </w:tcPr>
          <w:p>
            <w:pPr>
              <w:spacing w:after="0"/>
              <w:rPr>
                <w:sz w:val="17"/>
                <w:szCs w:val="17"/>
                <w:color w:val="auto"/>
              </w:rPr>
            </w:pPr>
          </w:p>
        </w:tc>
      </w:tr>
    </w:tbl>
    <w:p>
      <w:pPr>
        <w:spacing w:after="0" w:line="82" w:lineRule="exact"/>
        <w:rPr>
          <w:sz w:val="20"/>
          <w:szCs w:val="20"/>
          <w:color w:val="auto"/>
        </w:rPr>
      </w:pPr>
    </w:p>
    <w:p>
      <w:pPr>
        <w:ind w:left="440" w:right="440" w:hanging="324"/>
        <w:spacing w:after="0" w:line="281" w:lineRule="auto"/>
        <w:tabs>
          <w:tab w:leader="none" w:pos="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Consists of notes purchased by ARCH Venture Fund X, L.P. and ARCH Venture Fund X Overage, L.P. ARCH Ventures holds more than 5% of our outstanding capital stock. Jonathan Lim, M.D., a member of our board of directors, is affiliated with ARCH Ventures.</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440" w:right="100" w:hanging="324"/>
        <w:spacing w:after="0" w:line="281" w:lineRule="auto"/>
        <w:tabs>
          <w:tab w:leader="none" w:pos="4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Consists of notes purchased by Third Rock Ventures IV, L.P. Entities affiliated with Third Rock Ventures hold more than 5% of our outstanding capital stock. Charles Homcy, M.D. and Jeffrey Tong, Ph.D., each a member of our board of directors, are affiliated with Third Rock Ventures.</w:t>
      </w:r>
    </w:p>
    <w:p>
      <w:pPr>
        <w:spacing w:after="0" w:line="27" w:lineRule="exact"/>
        <w:rPr>
          <w:rFonts w:ascii="Arial" w:cs="Arial" w:eastAsia="Arial" w:hAnsi="Arial"/>
          <w:sz w:val="13"/>
          <w:szCs w:val="13"/>
          <w:color w:val="auto"/>
        </w:rPr>
      </w:pPr>
    </w:p>
    <w:p>
      <w:pPr>
        <w:ind w:left="440" w:right="160" w:hanging="324"/>
        <w:spacing w:after="0" w:line="281" w:lineRule="auto"/>
        <w:tabs>
          <w:tab w:leader="none" w:pos="4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Consists of notes purchased by GV 2023, L.P. which, together with its affiliate GV 2019, L.P., holds more than 5% of our outstanding capital stock. Brendan Bulik-Sullivan, Ph.D. and Richard Scheller, Ph.D., each a member of our board of directors, are affiliated with GV 2019, L.P. and GV 2023, L.P.</w:t>
      </w:r>
    </w:p>
    <w:p>
      <w:pPr>
        <w:spacing w:after="0" w:line="27" w:lineRule="exact"/>
        <w:rPr>
          <w:rFonts w:ascii="Arial" w:cs="Arial" w:eastAsia="Arial" w:hAnsi="Arial"/>
          <w:sz w:val="13"/>
          <w:szCs w:val="13"/>
          <w:color w:val="auto"/>
        </w:rPr>
      </w:pPr>
    </w:p>
    <w:p>
      <w:pPr>
        <w:ind w:left="440" w:hanging="324"/>
        <w:spacing w:after="0"/>
        <w:tabs>
          <w:tab w:leader="none" w:pos="4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Consists of notes purchased by Charles J. Homcy Revocable Trust UA 11/4/1998, of which Charles Homcy, M.D., a member of our board of directors, is the trustee.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Consulting agreement with Charles Homcy, M.D.</w:t>
      </w:r>
    </w:p>
    <w:p>
      <w:pPr>
        <w:spacing w:after="0" w:line="135" w:lineRule="exact"/>
        <w:rPr>
          <w:sz w:val="20"/>
          <w:szCs w:val="20"/>
          <w:color w:val="auto"/>
        </w:rPr>
      </w:pPr>
    </w:p>
    <w:p>
      <w:pPr>
        <w:ind w:left="120" w:right="100"/>
        <w:spacing w:after="0" w:line="255" w:lineRule="auto"/>
        <w:rPr>
          <w:sz w:val="20"/>
          <w:szCs w:val="20"/>
          <w:color w:val="auto"/>
        </w:rPr>
      </w:pPr>
      <w:r>
        <w:rPr>
          <w:rFonts w:ascii="Arial" w:cs="Arial" w:eastAsia="Arial" w:hAnsi="Arial"/>
          <w:sz w:val="17"/>
          <w:szCs w:val="17"/>
          <w:color w:val="auto"/>
        </w:rPr>
        <w:t>In November 2019, we entered into a consulting agreement with Charles Homcy, M.D., a member of our board of directors, for consulting services after receiving the unanimous written consent of the disinterested directors. Pursuant to the consulting agreement, we make payments of $240,000 per year to Dr. Homcy for such consulting services, payable monthly in arrears. In addition, in April 2024,</w:t>
      </w:r>
    </w:p>
    <w:p>
      <w:pPr>
        <w:spacing w:after="0" w:line="2" w:lineRule="exact"/>
        <w:rPr>
          <w:sz w:val="20"/>
          <w:szCs w:val="20"/>
          <w:color w:val="auto"/>
        </w:rPr>
      </w:pPr>
    </w:p>
    <w:p>
      <w:pPr>
        <w:ind w:left="120" w:right="580"/>
        <w:spacing w:after="0" w:line="250" w:lineRule="auto"/>
        <w:rPr>
          <w:sz w:val="20"/>
          <w:szCs w:val="20"/>
          <w:color w:val="auto"/>
        </w:rPr>
      </w:pPr>
      <w:r>
        <w:rPr>
          <w:rFonts w:ascii="Arial" w:cs="Arial" w:eastAsia="Arial" w:hAnsi="Arial"/>
          <w:sz w:val="18"/>
          <w:szCs w:val="18"/>
          <w:color w:val="auto"/>
        </w:rPr>
        <w:t>Dr. Homcy was granted an option to purchase 450,000 shares of our common stock, which vest monthly over the three-year period starting March 1, 2024 subject to Dr. Homcy’s continued provision of services to the Company.</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Advisor agreement with Richard Scheller, Ph.D.</w:t>
      </w:r>
    </w:p>
    <w:p>
      <w:pPr>
        <w:spacing w:after="0" w:line="135"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In July 2021, we entered into an advisor agreement with Richard Scheller, Ph.D., a member of our board of directors, for advisory services after receiving the unanimous written consent of the disinterested directors. Pursuant to the advisor agreement, we make payments of $60,000 per year for such advisory services, payable monthly in arrears. In addition, pursuant to the advisor agreement, we granted</w:t>
      </w:r>
    </w:p>
    <w:p>
      <w:pPr>
        <w:spacing w:after="0" w:line="2" w:lineRule="exact"/>
        <w:rPr>
          <w:sz w:val="20"/>
          <w:szCs w:val="20"/>
          <w:color w:val="auto"/>
        </w:rPr>
      </w:pPr>
    </w:p>
    <w:p>
      <w:pPr>
        <w:ind w:left="120" w:right="420"/>
        <w:spacing w:after="0" w:line="250" w:lineRule="auto"/>
        <w:rPr>
          <w:sz w:val="20"/>
          <w:szCs w:val="20"/>
          <w:color w:val="auto"/>
        </w:rPr>
      </w:pPr>
      <w:r>
        <w:rPr>
          <w:rFonts w:ascii="Arial" w:cs="Arial" w:eastAsia="Arial" w:hAnsi="Arial"/>
          <w:sz w:val="18"/>
          <w:szCs w:val="18"/>
          <w:color w:val="auto"/>
        </w:rPr>
        <w:t>Dr. Scheller an option to purchase 78,185 shares of our common stock under the 2019 Plan, which vested monthly over the one-year period immediately following the date of grant.</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Investors’ rights agreement</w:t>
      </w:r>
    </w:p>
    <w:p>
      <w:pPr>
        <w:spacing w:after="0" w:line="135"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We entered into the IRA with certain holders of our redeemable convertible preferred stock, including entities with which certain of our directors are affiliated and who hold more than 5% of our outstanding capital stock. These stockholders are entitled to rights with respect to the registration of their shares under the Securities Act following this offering. See the section entitled “Description of capital stock— Registration rights” for additional information.</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Indemnification agreements</w:t>
      </w:r>
    </w:p>
    <w:p>
      <w:pPr>
        <w:spacing w:after="0" w:line="13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In connection with this offering, we intend to enter into new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executive officers. See the section entitled “Executive compensation—Limitations on liability and indemnification matters” for additional information.</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135"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color w:val="auto"/>
        </w:rPr>
        <w:t>In connection with this offering, we intend to adopt a written related person transactions policy that provides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the lesser of $120,000 and 1.0% of our total assets will be presented to our audit committee (or the committee composed solely of independent directors, if applicable) for review, consideration and approval. In approving or rejecting any such proposal, we expect that our audit committee (or the committee composed solely of independent directors, if applicable) will consider the relevant facts and circumstances available and deemed relevant to the audit committee (or the committee composed solely of independent directors, if applicable),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Principal stockholders</w:t>
      </w:r>
    </w:p>
    <w:p>
      <w:pPr>
        <w:spacing w:after="0" w:line="168" w:lineRule="exact"/>
        <w:rPr>
          <w:sz w:val="20"/>
          <w:szCs w:val="20"/>
          <w:color w:val="auto"/>
        </w:rPr>
      </w:pPr>
    </w:p>
    <w:p>
      <w:pPr>
        <w:ind w:left="120" w:right="120"/>
        <w:spacing w:after="0" w:line="301" w:lineRule="auto"/>
        <w:rPr>
          <w:sz w:val="20"/>
          <w:szCs w:val="20"/>
          <w:color w:val="auto"/>
        </w:rPr>
      </w:pPr>
      <w:r>
        <w:rPr>
          <w:rFonts w:ascii="Arial" w:cs="Arial" w:eastAsia="Arial" w:hAnsi="Arial"/>
          <w:sz w:val="17"/>
          <w:szCs w:val="17"/>
          <w:color w:val="auto"/>
        </w:rPr>
        <w:t>The following table and accompanying footnotes set forth certain information with respect to the beneficial ownership of shares of our common stock as of March 31, 2024, and as adjusted to reflect the shares of our common stock to be issued and sold in this offering, for:</w:t>
      </w:r>
    </w:p>
    <w:p>
      <w:pPr>
        <w:spacing w:after="0" w:line="63" w:lineRule="exact"/>
        <w:rPr>
          <w:sz w:val="20"/>
          <w:szCs w:val="20"/>
          <w:color w:val="auto"/>
        </w:rPr>
      </w:pPr>
    </w:p>
    <w:p>
      <w:pPr>
        <w:ind w:left="340" w:hanging="224"/>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44" w:lineRule="exact"/>
        <w:rPr>
          <w:rFonts w:ascii="Arial" w:cs="Arial" w:eastAsia="Arial" w:hAnsi="Arial"/>
          <w:sz w:val="18"/>
          <w:szCs w:val="18"/>
          <w:color w:val="auto"/>
        </w:rPr>
      </w:pPr>
    </w:p>
    <w:p>
      <w:pPr>
        <w:ind w:left="340" w:right="280" w:hanging="224"/>
        <w:spacing w:after="0" w:line="271"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the outstanding shares of our common stock.</w:t>
      </w:r>
    </w:p>
    <w:p>
      <w:pPr>
        <w:spacing w:after="0" w:line="86"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to our knowledge, the persons and entities named in the table below have sole voting and sole investment power with respect to all shares of our common stock that they beneficially owned, subject to applicable community property laws.</w:t>
      </w:r>
    </w:p>
    <w:p>
      <w:pPr>
        <w:spacing w:after="0" w:line="88"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Beneficial ownership prior to this offering is based on         shares of our common stock outstanding as of March 31, 2024, assuming (i) the automatic conversion of all outstanding shares of our redeemable convertible preferred stock into shares of our common stock immediately prior to the completion of this offering. Beneficial ownership after this offering is based on        shares of our common stock outstanding, assuming (i) the automatic conversion of all outstanding shares of our redeemable convertible preferred stock into shares of our common stock outstanding as described above, (ii) the automatic conversion of all principal and accrued and unpaid interest on our outstanding convertible promissory notes into         shares of our common stock immediately prior to the completion of this</w:t>
      </w:r>
    </w:p>
    <w:p>
      <w:pPr>
        <w:spacing w:after="0" w:line="1" w:lineRule="exact"/>
        <w:rPr>
          <w:sz w:val="20"/>
          <w:szCs w:val="20"/>
          <w:color w:val="auto"/>
        </w:rPr>
      </w:pPr>
    </w:p>
    <w:p>
      <w:pPr>
        <w:ind w:left="120" w:right="60"/>
        <w:spacing w:after="0" w:line="234" w:lineRule="auto"/>
        <w:rPr>
          <w:sz w:val="20"/>
          <w:szCs w:val="20"/>
          <w:color w:val="auto"/>
        </w:rPr>
      </w:pPr>
      <w:r>
        <w:rPr>
          <w:rFonts w:ascii="Arial" w:cs="Arial" w:eastAsia="Arial" w:hAnsi="Arial"/>
          <w:sz w:val="18"/>
          <w:szCs w:val="18"/>
          <w:color w:val="auto"/>
        </w:rPr>
        <w:t>offering, based upon an assumed initial public offering price of $        per share, which is the midpoint of the estimated price range set forth on the cover of this prospectus, and (iii)        shares of our common stock issued by us in this offering, assuming that the underwriters do not exercise their option to purchase up to an additional        shares of our common stock from us in part or in full. In</w:t>
      </w:r>
    </w:p>
    <w:p>
      <w:pPr>
        <w:spacing w:after="0" w:line="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computing the number of shares of common stock beneficially owned by a person and the percentage ownership of that person, we deemed to be outstanding all shares of our common stock subject to stock options held by that person or entity that are currently exercisable or that will become exercisable within 60 days of March 31, 2024. We did not deem these shares outstanding, however, for the purpose of computing the percentage ownership of any other person.</w:t>
      </w:r>
    </w:p>
    <w:p>
      <w:pPr>
        <w:spacing w:after="0" w:line="113"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Unless otherwise indicated, the address of each beneficial owner listed in the table below is c/o Maze Therapeutics, Inc., 171 Oyster Point Blvd., Suite 300, 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Number of</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Percentage of</w:t>
            </w:r>
          </w:p>
        </w:tc>
      </w:tr>
      <w:tr>
        <w:trPr>
          <w:trHeight w:val="189"/>
        </w:trPr>
        <w:tc>
          <w:tcPr>
            <w:tcW w:w="4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shares</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shares</w:t>
            </w:r>
          </w:p>
        </w:tc>
      </w:tr>
      <w:tr>
        <w:trPr>
          <w:trHeight w:val="189"/>
        </w:trPr>
        <w:tc>
          <w:tcPr>
            <w:tcW w:w="4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beneficially</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beneficially</w:t>
            </w:r>
          </w:p>
        </w:tc>
      </w:tr>
      <w:tr>
        <w:trPr>
          <w:trHeight w:val="203"/>
        </w:trPr>
        <w:tc>
          <w:tcPr>
            <w:tcW w:w="4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owned</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owned (%)</w:t>
            </w:r>
          </w:p>
        </w:tc>
      </w:tr>
      <w:tr>
        <w:trPr>
          <w:trHeight w:val="168"/>
        </w:trPr>
        <w:tc>
          <w:tcPr>
            <w:tcW w:w="4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160"/>
              <w:spacing w:after="0" w:line="168" w:lineRule="exact"/>
              <w:rPr>
                <w:sz w:val="20"/>
                <w:szCs w:val="20"/>
                <w:color w:val="auto"/>
              </w:rPr>
            </w:pPr>
            <w:r>
              <w:rPr>
                <w:rFonts w:ascii="Arial" w:cs="Arial" w:eastAsia="Arial" w:hAnsi="Arial"/>
                <w:sz w:val="16"/>
                <w:szCs w:val="16"/>
                <w:b w:val="1"/>
                <w:bCs w:val="1"/>
                <w:color w:val="auto"/>
              </w:rPr>
              <w:t>Before</w:t>
            </w:r>
          </w:p>
        </w:tc>
        <w:tc>
          <w:tcPr>
            <w:tcW w:w="4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After</w:t>
            </w:r>
          </w:p>
        </w:tc>
        <w:tc>
          <w:tcPr>
            <w:tcW w:w="580" w:type="dxa"/>
            <w:vAlign w:val="bottom"/>
          </w:tcPr>
          <w:p>
            <w:pPr>
              <w:spacing w:after="0"/>
              <w:rPr>
                <w:sz w:val="14"/>
                <w:szCs w:val="14"/>
                <w:color w:val="auto"/>
              </w:rPr>
            </w:pPr>
          </w:p>
        </w:tc>
        <w:tc>
          <w:tcPr>
            <w:tcW w:w="680" w:type="dxa"/>
            <w:vAlign w:val="bottom"/>
            <w:tcBorders>
              <w:top w:val="single" w:sz="8" w:color="auto"/>
            </w:tcBorders>
            <w:gridSpan w:val="2"/>
          </w:tcPr>
          <w:p>
            <w:pPr>
              <w:jc w:val="right"/>
              <w:ind w:right="60"/>
              <w:spacing w:after="0" w:line="168" w:lineRule="exact"/>
              <w:rPr>
                <w:sz w:val="20"/>
                <w:szCs w:val="20"/>
                <w:color w:val="auto"/>
              </w:rPr>
            </w:pPr>
            <w:r>
              <w:rPr>
                <w:rFonts w:ascii="Arial" w:cs="Arial" w:eastAsia="Arial" w:hAnsi="Arial"/>
                <w:sz w:val="16"/>
                <w:szCs w:val="16"/>
                <w:b w:val="1"/>
                <w:bCs w:val="1"/>
                <w:color w:val="auto"/>
              </w:rPr>
              <w:t>Before</w:t>
            </w:r>
          </w:p>
        </w:tc>
        <w:tc>
          <w:tcPr>
            <w:tcW w:w="5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After</w:t>
            </w:r>
          </w:p>
        </w:tc>
        <w:tc>
          <w:tcPr>
            <w:tcW w:w="60" w:type="dxa"/>
            <w:vAlign w:val="bottom"/>
          </w:tcPr>
          <w:p>
            <w:pPr>
              <w:spacing w:after="0"/>
              <w:rPr>
                <w:sz w:val="14"/>
                <w:szCs w:val="14"/>
                <w:color w:val="auto"/>
              </w:rPr>
            </w:pPr>
          </w:p>
        </w:tc>
      </w:tr>
      <w:tr>
        <w:trPr>
          <w:trHeight w:val="203"/>
        </w:trPr>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beneficial owner</w:t>
            </w:r>
          </w:p>
        </w:tc>
        <w:tc>
          <w:tcPr>
            <w:tcW w:w="16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offering</w:t>
            </w:r>
          </w:p>
        </w:tc>
        <w:tc>
          <w:tcPr>
            <w:tcW w:w="4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6"/>
                <w:szCs w:val="16"/>
                <w:b w:val="1"/>
                <w:bCs w:val="1"/>
                <w:color w:val="auto"/>
              </w:rPr>
              <w:t>offering</w:t>
            </w: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offering</w:t>
            </w:r>
          </w:p>
        </w:tc>
        <w:tc>
          <w:tcPr>
            <w:tcW w:w="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7"/>
              </w:rPr>
              <w:t>offering</w:t>
            </w:r>
          </w:p>
        </w:tc>
      </w:tr>
      <w:tr>
        <w:trPr>
          <w:trHeight w:val="48"/>
        </w:trPr>
        <w:tc>
          <w:tcPr>
            <w:tcW w:w="4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Directors and named executive officers:</w:t>
            </w:r>
          </w:p>
        </w:tc>
        <w:tc>
          <w:tcPr>
            <w:tcW w:w="1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Jason Coloma, Ph.D.(1)</w:t>
            </w:r>
          </w:p>
        </w:tc>
        <w:tc>
          <w:tcPr>
            <w:tcW w:w="1660" w:type="dxa"/>
            <w:vAlign w:val="bottom"/>
          </w:tcPr>
          <w:p>
            <w:pPr>
              <w:spacing w:after="0"/>
              <w:rPr>
                <w:sz w:val="17"/>
                <w:szCs w:val="17"/>
                <w:color w:val="auto"/>
              </w:rPr>
            </w:pPr>
          </w:p>
        </w:tc>
        <w:tc>
          <w:tcPr>
            <w:tcW w:w="1480" w:type="dxa"/>
            <w:vAlign w:val="bottom"/>
            <w:gridSpan w:val="3"/>
          </w:tcPr>
          <w:p>
            <w:pPr>
              <w:ind w:left="540"/>
              <w:spacing w:after="0" w:line="202" w:lineRule="exact"/>
              <w:rPr>
                <w:sz w:val="20"/>
                <w:szCs w:val="20"/>
                <w:color w:val="auto"/>
              </w:rPr>
            </w:pPr>
            <w:r>
              <w:rPr>
                <w:rFonts w:ascii="Arial" w:cs="Arial" w:eastAsia="Arial" w:hAnsi="Arial"/>
                <w:sz w:val="18"/>
                <w:szCs w:val="18"/>
                <w:color w:val="auto"/>
              </w:rPr>
              <w:t xml:space="preserve">           </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Harold Bernstein, M.D., Ph.D(2)</w:t>
            </w:r>
          </w:p>
        </w:tc>
        <w:tc>
          <w:tcPr>
            <w:tcW w:w="1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Atul Dandekar(3)</w:t>
            </w:r>
          </w:p>
        </w:tc>
        <w:tc>
          <w:tcPr>
            <w:tcW w:w="1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Charles Homcy, M.D.(4)</w:t>
            </w:r>
          </w:p>
        </w:tc>
        <w:tc>
          <w:tcPr>
            <w:tcW w:w="1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9"/>
        </w:trPr>
        <w:tc>
          <w:tcPr>
            <w:tcW w:w="4380" w:type="dxa"/>
            <w:vAlign w:val="bottom"/>
          </w:tcPr>
          <w:p>
            <w:pPr>
              <w:spacing w:after="0"/>
              <w:rPr>
                <w:sz w:val="20"/>
                <w:szCs w:val="20"/>
                <w:color w:val="auto"/>
              </w:rPr>
            </w:pPr>
            <w:r>
              <w:rPr>
                <w:rFonts w:ascii="Arial" w:cs="Arial" w:eastAsia="Arial" w:hAnsi="Arial"/>
                <w:sz w:val="18"/>
                <w:szCs w:val="18"/>
                <w:color w:val="auto"/>
              </w:rPr>
              <w:t>Nancy C. Andrews, M.D., Ph.D.(5)</w:t>
            </w:r>
          </w:p>
        </w:tc>
        <w:tc>
          <w:tcPr>
            <w:tcW w:w="1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66"/>
        </w:trPr>
        <w:tc>
          <w:tcPr>
            <w:tcW w:w="4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362"/>
        </w:trPr>
        <w:tc>
          <w:tcPr>
            <w:tcW w:w="4380" w:type="dxa"/>
            <w:vAlign w:val="bottom"/>
          </w:tcPr>
          <w:p>
            <w:pPr>
              <w:spacing w:after="0"/>
              <w:rPr>
                <w:sz w:val="24"/>
                <w:szCs w:val="24"/>
                <w:color w:val="auto"/>
              </w:rPr>
            </w:pP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175</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Number of</w:t>
            </w:r>
          </w:p>
        </w:tc>
        <w:tc>
          <w:tcPr>
            <w:tcW w:w="74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Percentage of</w:t>
            </w:r>
          </w:p>
        </w:tc>
      </w:tr>
      <w:tr>
        <w:trPr>
          <w:trHeight w:val="189"/>
        </w:trPr>
        <w:tc>
          <w:tcPr>
            <w:tcW w:w="6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shares</w:t>
            </w:r>
          </w:p>
        </w:tc>
        <w:tc>
          <w:tcPr>
            <w:tcW w:w="74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shares</w:t>
            </w:r>
          </w:p>
        </w:tc>
      </w:tr>
      <w:tr>
        <w:trPr>
          <w:trHeight w:val="189"/>
        </w:trPr>
        <w:tc>
          <w:tcPr>
            <w:tcW w:w="6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beneficially</w:t>
            </w:r>
          </w:p>
        </w:tc>
        <w:tc>
          <w:tcPr>
            <w:tcW w:w="74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beneficially</w:t>
            </w:r>
          </w:p>
        </w:tc>
      </w:tr>
      <w:tr>
        <w:trPr>
          <w:trHeight w:val="203"/>
        </w:trPr>
        <w:tc>
          <w:tcPr>
            <w:tcW w:w="6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owned</w:t>
            </w:r>
          </w:p>
        </w:tc>
        <w:tc>
          <w:tcPr>
            <w:tcW w:w="7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owned (%)</w:t>
            </w:r>
          </w:p>
        </w:tc>
      </w:tr>
      <w:tr>
        <w:trPr>
          <w:trHeight w:val="168"/>
        </w:trPr>
        <w:tc>
          <w:tcPr>
            <w:tcW w:w="6380" w:type="dxa"/>
            <w:vAlign w:val="bottom"/>
          </w:tcPr>
          <w:p>
            <w:pPr>
              <w:spacing w:after="0"/>
              <w:rPr>
                <w:sz w:val="14"/>
                <w:szCs w:val="14"/>
                <w:color w:val="auto"/>
              </w:rPr>
            </w:pPr>
          </w:p>
        </w:tc>
        <w:tc>
          <w:tcPr>
            <w:tcW w:w="820" w:type="dxa"/>
            <w:vAlign w:val="bottom"/>
            <w:tcBorders>
              <w:top w:val="single" w:sz="8" w:color="auto"/>
            </w:tcBorders>
          </w:tcPr>
          <w:p>
            <w:pPr>
              <w:jc w:val="right"/>
              <w:ind w:right="139"/>
              <w:spacing w:after="0" w:line="168" w:lineRule="exact"/>
              <w:rPr>
                <w:sz w:val="20"/>
                <w:szCs w:val="20"/>
                <w:color w:val="auto"/>
              </w:rPr>
            </w:pPr>
            <w:r>
              <w:rPr>
                <w:rFonts w:ascii="Arial" w:cs="Arial" w:eastAsia="Arial" w:hAnsi="Arial"/>
                <w:sz w:val="16"/>
                <w:szCs w:val="16"/>
                <w:b w:val="1"/>
                <w:bCs w:val="1"/>
                <w:color w:val="auto"/>
              </w:rPr>
              <w:t>Before</w:t>
            </w:r>
          </w:p>
        </w:tc>
        <w:tc>
          <w:tcPr>
            <w:tcW w:w="11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After</w:t>
            </w:r>
          </w:p>
        </w:tc>
        <w:tc>
          <w:tcPr>
            <w:tcW w:w="700" w:type="dxa"/>
            <w:vAlign w:val="bottom"/>
          </w:tcPr>
          <w:p>
            <w:pPr>
              <w:spacing w:after="0"/>
              <w:rPr>
                <w:sz w:val="14"/>
                <w:szCs w:val="14"/>
                <w:color w:val="auto"/>
              </w:rPr>
            </w:pPr>
          </w:p>
        </w:tc>
        <w:tc>
          <w:tcPr>
            <w:tcW w:w="740" w:type="dxa"/>
            <w:vAlign w:val="bottom"/>
            <w:tcBorders>
              <w:top w:val="single" w:sz="8" w:color="auto"/>
            </w:tcBorders>
          </w:tcPr>
          <w:p>
            <w:pPr>
              <w:jc w:val="right"/>
              <w:ind w:right="39"/>
              <w:spacing w:after="0" w:line="168" w:lineRule="exact"/>
              <w:rPr>
                <w:sz w:val="20"/>
                <w:szCs w:val="20"/>
                <w:color w:val="auto"/>
              </w:rPr>
            </w:pPr>
            <w:r>
              <w:rPr>
                <w:rFonts w:ascii="Arial" w:cs="Arial" w:eastAsia="Arial" w:hAnsi="Arial"/>
                <w:sz w:val="16"/>
                <w:szCs w:val="16"/>
                <w:b w:val="1"/>
                <w:bCs w:val="1"/>
                <w:color w:val="auto"/>
              </w:rPr>
              <w:t>Before</w:t>
            </w:r>
          </w:p>
        </w:tc>
        <w:tc>
          <w:tcPr>
            <w:tcW w:w="12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After</w:t>
            </w:r>
          </w:p>
        </w:tc>
        <w:tc>
          <w:tcPr>
            <w:tcW w:w="20" w:type="dxa"/>
            <w:vAlign w:val="bottom"/>
          </w:tcPr>
          <w:p>
            <w:pPr>
              <w:spacing w:after="0"/>
              <w:rPr>
                <w:sz w:val="14"/>
                <w:szCs w:val="14"/>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6"/>
                <w:szCs w:val="16"/>
                <w:b w:val="1"/>
                <w:bCs w:val="1"/>
                <w:color w:val="auto"/>
              </w:rPr>
              <w:t>Name of beneficial owner</w:t>
            </w:r>
          </w:p>
        </w:tc>
        <w:tc>
          <w:tcPr>
            <w:tcW w:w="82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offering</w:t>
            </w:r>
          </w:p>
        </w:tc>
        <w:tc>
          <w:tcPr>
            <w:tcW w:w="182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offering</w:t>
            </w: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offering</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offering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Brendan Bulik-Sullivan, Ph.D.(6)</w:t>
      </w:r>
    </w:p>
    <w:p>
      <w:pPr>
        <w:ind w:left="120"/>
        <w:spacing w:after="0" w:line="235" w:lineRule="auto"/>
        <w:rPr>
          <w:sz w:val="20"/>
          <w:szCs w:val="20"/>
          <w:color w:val="auto"/>
        </w:rPr>
      </w:pPr>
      <w:r>
        <w:rPr>
          <w:rFonts w:ascii="Arial" w:cs="Arial" w:eastAsia="Arial" w:hAnsi="Arial"/>
          <w:sz w:val="18"/>
          <w:szCs w:val="18"/>
          <w:color w:val="auto"/>
        </w:rPr>
        <w:t>Sekar Kathiresan, M.D.(7)</w:t>
      </w:r>
    </w:p>
    <w:p>
      <w:pPr>
        <w:ind w:left="120"/>
        <w:spacing w:after="0" w:line="235" w:lineRule="auto"/>
        <w:rPr>
          <w:sz w:val="20"/>
          <w:szCs w:val="20"/>
          <w:color w:val="auto"/>
        </w:rPr>
      </w:pPr>
      <w:r>
        <w:rPr>
          <w:rFonts w:ascii="Arial" w:cs="Arial" w:eastAsia="Arial" w:hAnsi="Arial"/>
          <w:sz w:val="18"/>
          <w:szCs w:val="18"/>
          <w:color w:val="auto"/>
        </w:rPr>
        <w:t>Jonathan Lim, M.D.(8)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Richard Scheller, Ph.D.(9)</w:t>
      </w:r>
    </w:p>
    <w:p>
      <w:pPr>
        <w:ind w:left="120"/>
        <w:spacing w:after="0" w:line="235" w:lineRule="auto"/>
        <w:rPr>
          <w:sz w:val="20"/>
          <w:szCs w:val="20"/>
          <w:color w:val="auto"/>
        </w:rPr>
      </w:pPr>
      <w:r>
        <w:rPr>
          <w:rFonts w:ascii="Arial" w:cs="Arial" w:eastAsia="Arial" w:hAnsi="Arial"/>
          <w:sz w:val="18"/>
          <w:szCs w:val="18"/>
          <w:color w:val="auto"/>
        </w:rPr>
        <w:t>Catherine Angell Sohn, Pharm.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Daniel Spiegelman(11)</w:t>
      </w:r>
    </w:p>
    <w:p>
      <w:pPr>
        <w:ind w:left="120"/>
        <w:spacing w:after="0" w:line="235" w:lineRule="auto"/>
        <w:rPr>
          <w:sz w:val="20"/>
          <w:szCs w:val="20"/>
          <w:color w:val="auto"/>
        </w:rPr>
      </w:pPr>
      <w:r>
        <w:rPr>
          <w:rFonts w:ascii="Arial" w:cs="Arial" w:eastAsia="Arial" w:hAnsi="Arial"/>
          <w:sz w:val="18"/>
          <w:szCs w:val="18"/>
          <w:color w:val="auto"/>
        </w:rPr>
        <w:t>Jeffrey Tong, Ph.D.(12)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Andy Tran(13)</w:t>
      </w:r>
    </w:p>
    <w:p>
      <w:pPr>
        <w:ind w:left="120"/>
        <w:spacing w:after="0"/>
        <w:rPr>
          <w:sz w:val="20"/>
          <w:szCs w:val="20"/>
          <w:color w:val="auto"/>
        </w:rPr>
      </w:pPr>
      <w:r>
        <w:rPr>
          <w:rFonts w:ascii="Arial" w:cs="Arial" w:eastAsia="Arial" w:hAnsi="Arial"/>
          <w:sz w:val="18"/>
          <w:szCs w:val="18"/>
          <w:color w:val="auto"/>
        </w:rPr>
        <w:t>All executive officers and directors as a group (13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5% stockholders: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Entities affiliated with ARCH Venture Partners and related entities(14)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Entities affiliated with GV(15)</w:t>
      </w:r>
    </w:p>
    <w:p>
      <w:pPr>
        <w:ind w:left="120"/>
        <w:spacing w:after="0" w:line="235" w:lineRule="auto"/>
        <w:rPr>
          <w:sz w:val="20"/>
          <w:szCs w:val="20"/>
          <w:color w:val="auto"/>
        </w:rPr>
      </w:pPr>
      <w:r>
        <w:rPr>
          <w:rFonts w:ascii="Arial" w:cs="Arial" w:eastAsia="Arial" w:hAnsi="Arial"/>
          <w:sz w:val="18"/>
          <w:szCs w:val="18"/>
          <w:color w:val="auto"/>
        </w:rPr>
        <w:t>Entities affiliated with Third Rock Ventures(16)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Matrix Capital Management Master Fund, L.P.(17)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608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61"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0" w:type="dxa"/>
            <w:vAlign w:val="bottom"/>
          </w:tcPr>
          <w:p>
            <w:pPr>
              <w:jc w:val="right"/>
              <w:ind w:right="73"/>
              <w:spacing w:after="0"/>
              <w:rPr>
                <w:sz w:val="20"/>
                <w:szCs w:val="20"/>
                <w:color w:val="auto"/>
              </w:rPr>
            </w:pPr>
            <w:r>
              <w:rPr>
                <w:rFonts w:ascii="Arial" w:cs="Arial" w:eastAsia="Arial" w:hAnsi="Arial"/>
                <w:sz w:val="13"/>
                <w:szCs w:val="13"/>
                <w:color w:val="auto"/>
                <w:w w:val="87"/>
              </w:rPr>
              <w:t>(1)</w:t>
            </w:r>
          </w:p>
        </w:tc>
        <w:tc>
          <w:tcPr>
            <w:tcW w:w="1360" w:type="dxa"/>
            <w:vAlign w:val="bottom"/>
          </w:tcPr>
          <w:p>
            <w:pPr>
              <w:ind w:left="120"/>
              <w:spacing w:after="0"/>
              <w:rPr>
                <w:sz w:val="20"/>
                <w:szCs w:val="20"/>
                <w:color w:val="auto"/>
              </w:rPr>
            </w:pPr>
            <w:r>
              <w:rPr>
                <w:rFonts w:ascii="Arial" w:cs="Arial" w:eastAsia="Arial" w:hAnsi="Arial"/>
                <w:sz w:val="13"/>
                <w:szCs w:val="13"/>
                <w:color w:val="auto"/>
              </w:rPr>
              <w:t xml:space="preserve">Represents (i)        </w:t>
            </w:r>
          </w:p>
        </w:tc>
        <w:tc>
          <w:tcPr>
            <w:tcW w:w="2360" w:type="dxa"/>
            <w:vAlign w:val="bottom"/>
          </w:tcPr>
          <w:p>
            <w:pPr>
              <w:ind w:left="60"/>
              <w:spacing w:after="0"/>
              <w:rPr>
                <w:sz w:val="20"/>
                <w:szCs w:val="20"/>
                <w:color w:val="auto"/>
              </w:rPr>
            </w:pPr>
            <w:r>
              <w:rPr>
                <w:rFonts w:ascii="Arial" w:cs="Arial" w:eastAsia="Arial" w:hAnsi="Arial"/>
                <w:sz w:val="13"/>
                <w:szCs w:val="13"/>
                <w:color w:val="auto"/>
                <w:w w:val="97"/>
              </w:rPr>
              <w:t>   shares of common stock, of which  </w:t>
            </w:r>
          </w:p>
        </w:tc>
        <w:tc>
          <w:tcPr>
            <w:tcW w:w="420" w:type="dxa"/>
            <w:vAlign w:val="bottom"/>
          </w:tcPr>
          <w:p>
            <w:pPr>
              <w:ind w:left="80"/>
              <w:spacing w:after="0"/>
              <w:rPr>
                <w:sz w:val="20"/>
                <w:szCs w:val="20"/>
                <w:color w:val="auto"/>
              </w:rPr>
            </w:pPr>
            <w:r>
              <w:rPr>
                <w:rFonts w:ascii="Arial" w:cs="Arial" w:eastAsia="Arial" w:hAnsi="Arial"/>
                <w:sz w:val="13"/>
                <w:szCs w:val="13"/>
                <w:color w:val="auto"/>
              </w:rPr>
              <w:t xml:space="preserve">       </w:t>
            </w:r>
          </w:p>
        </w:tc>
        <w:tc>
          <w:tcPr>
            <w:tcW w:w="6560" w:type="dxa"/>
            <w:vAlign w:val="bottom"/>
          </w:tcPr>
          <w:p>
            <w:pPr>
              <w:ind w:left="100"/>
              <w:spacing w:after="0"/>
              <w:rPr>
                <w:sz w:val="20"/>
                <w:szCs w:val="20"/>
                <w:color w:val="auto"/>
              </w:rPr>
            </w:pPr>
            <w:r>
              <w:rPr>
                <w:rFonts w:ascii="Arial" w:cs="Arial" w:eastAsia="Arial" w:hAnsi="Arial"/>
                <w:sz w:val="13"/>
                <w:szCs w:val="13"/>
                <w:color w:val="auto"/>
              </w:rPr>
              <w:t>are unvested and subject to repurchase by the Company if Dr. Coloma ceases to provide service to the</w:t>
            </w:r>
          </w:p>
        </w:tc>
      </w:tr>
      <w:tr>
        <w:trPr>
          <w:trHeight w:val="176"/>
        </w:trPr>
        <w:tc>
          <w:tcPr>
            <w:tcW w:w="300" w:type="dxa"/>
            <w:vAlign w:val="bottom"/>
          </w:tcPr>
          <w:p>
            <w:pPr>
              <w:spacing w:after="0"/>
              <w:rPr>
                <w:sz w:val="15"/>
                <w:szCs w:val="15"/>
                <w:color w:val="auto"/>
              </w:rPr>
            </w:pPr>
          </w:p>
        </w:tc>
        <w:tc>
          <w:tcPr>
            <w:tcW w:w="3720" w:type="dxa"/>
            <w:vAlign w:val="bottom"/>
            <w:gridSpan w:val="2"/>
          </w:tcPr>
          <w:p>
            <w:pPr>
              <w:ind w:left="120"/>
              <w:spacing w:after="0"/>
              <w:rPr>
                <w:sz w:val="20"/>
                <w:szCs w:val="20"/>
                <w:color w:val="auto"/>
              </w:rPr>
            </w:pPr>
            <w:r>
              <w:rPr>
                <w:rFonts w:ascii="Arial" w:cs="Arial" w:eastAsia="Arial" w:hAnsi="Arial"/>
                <w:sz w:val="13"/>
                <w:szCs w:val="13"/>
                <w:color w:val="auto"/>
              </w:rPr>
              <w:t xml:space="preserve">Company prior to the vesting of the shares, and (ii)           </w:t>
            </w:r>
          </w:p>
        </w:tc>
        <w:tc>
          <w:tcPr>
            <w:tcW w:w="6980" w:type="dxa"/>
            <w:vAlign w:val="bottom"/>
            <w:gridSpan w:val="2"/>
          </w:tcPr>
          <w:p>
            <w:pPr>
              <w:ind w:left="60"/>
              <w:spacing w:after="0"/>
              <w:rPr>
                <w:sz w:val="20"/>
                <w:szCs w:val="20"/>
                <w:color w:val="auto"/>
              </w:rPr>
            </w:pPr>
            <w:r>
              <w:rPr>
                <w:rFonts w:ascii="Arial" w:cs="Arial" w:eastAsia="Arial" w:hAnsi="Arial"/>
                <w:sz w:val="13"/>
                <w:szCs w:val="13"/>
                <w:color w:val="auto"/>
              </w:rPr>
              <w:t>shares underlying options to purchase common stock that are exercisable within 60 days of March 31, 2024.</w:t>
            </w:r>
          </w:p>
        </w:tc>
      </w:tr>
      <w:tr>
        <w:trPr>
          <w:trHeight w:val="202"/>
        </w:trPr>
        <w:tc>
          <w:tcPr>
            <w:tcW w:w="300" w:type="dxa"/>
            <w:vAlign w:val="bottom"/>
          </w:tcPr>
          <w:p>
            <w:pPr>
              <w:jc w:val="right"/>
              <w:ind w:right="73"/>
              <w:spacing w:after="0"/>
              <w:rPr>
                <w:sz w:val="20"/>
                <w:szCs w:val="20"/>
                <w:color w:val="auto"/>
              </w:rPr>
            </w:pPr>
            <w:r>
              <w:rPr>
                <w:rFonts w:ascii="Arial" w:cs="Arial" w:eastAsia="Arial" w:hAnsi="Arial"/>
                <w:sz w:val="13"/>
                <w:szCs w:val="13"/>
                <w:color w:val="auto"/>
                <w:w w:val="87"/>
              </w:rPr>
              <w:t>(2)</w:t>
            </w:r>
          </w:p>
        </w:tc>
        <w:tc>
          <w:tcPr>
            <w:tcW w:w="1360" w:type="dxa"/>
            <w:vAlign w:val="bottom"/>
          </w:tcPr>
          <w:p>
            <w:pPr>
              <w:ind w:left="120"/>
              <w:spacing w:after="0"/>
              <w:rPr>
                <w:sz w:val="20"/>
                <w:szCs w:val="20"/>
                <w:color w:val="auto"/>
              </w:rPr>
            </w:pPr>
            <w:r>
              <w:rPr>
                <w:rFonts w:ascii="Arial" w:cs="Arial" w:eastAsia="Arial" w:hAnsi="Arial"/>
                <w:sz w:val="13"/>
                <w:szCs w:val="13"/>
                <w:color w:val="auto"/>
              </w:rPr>
              <w:t xml:space="preserve">Represents (i)        </w:t>
            </w:r>
          </w:p>
        </w:tc>
        <w:tc>
          <w:tcPr>
            <w:tcW w:w="9340" w:type="dxa"/>
            <w:vAlign w:val="bottom"/>
            <w:gridSpan w:val="3"/>
          </w:tcPr>
          <w:p>
            <w:pPr>
              <w:ind w:left="60"/>
              <w:spacing w:after="0"/>
              <w:rPr>
                <w:sz w:val="20"/>
                <w:szCs w:val="20"/>
                <w:color w:val="auto"/>
              </w:rPr>
            </w:pPr>
            <w:r>
              <w:rPr>
                <w:rFonts w:ascii="Arial" w:cs="Arial" w:eastAsia="Arial" w:hAnsi="Arial"/>
                <w:sz w:val="13"/>
                <w:szCs w:val="13"/>
                <w:color w:val="auto"/>
              </w:rPr>
              <w:t>   shares of common stock, of which are unvested and subject to repurchase by the Company if Dr. Bernstein ceases to provide service to the Company</w:t>
            </w:r>
          </w:p>
        </w:tc>
      </w:tr>
      <w:tr>
        <w:trPr>
          <w:trHeight w:val="176"/>
        </w:trPr>
        <w:tc>
          <w:tcPr>
            <w:tcW w:w="300" w:type="dxa"/>
            <w:vAlign w:val="bottom"/>
          </w:tcPr>
          <w:p>
            <w:pPr>
              <w:spacing w:after="0"/>
              <w:rPr>
                <w:sz w:val="15"/>
                <w:szCs w:val="15"/>
                <w:color w:val="auto"/>
              </w:rPr>
            </w:pPr>
          </w:p>
        </w:tc>
        <w:tc>
          <w:tcPr>
            <w:tcW w:w="10700" w:type="dxa"/>
            <w:vAlign w:val="bottom"/>
            <w:gridSpan w:val="4"/>
          </w:tcPr>
          <w:p>
            <w:pPr>
              <w:ind w:left="120"/>
              <w:spacing w:after="0"/>
              <w:rPr>
                <w:sz w:val="20"/>
                <w:szCs w:val="20"/>
                <w:color w:val="auto"/>
              </w:rPr>
            </w:pPr>
            <w:r>
              <w:rPr>
                <w:rFonts w:ascii="Arial" w:cs="Arial" w:eastAsia="Arial" w:hAnsi="Arial"/>
                <w:sz w:val="13"/>
                <w:szCs w:val="13"/>
                <w:color w:val="auto"/>
              </w:rPr>
              <w:t>prior to the vesting of the shares, and (ii)            shares underlying options to purchase common stock that are exercisable within 60 days of March 31, 2024.</w:t>
            </w:r>
          </w:p>
        </w:tc>
      </w:tr>
      <w:tr>
        <w:trPr>
          <w:trHeight w:val="202"/>
        </w:trPr>
        <w:tc>
          <w:tcPr>
            <w:tcW w:w="300" w:type="dxa"/>
            <w:vAlign w:val="bottom"/>
          </w:tcPr>
          <w:p>
            <w:pPr>
              <w:jc w:val="right"/>
              <w:ind w:right="73"/>
              <w:spacing w:after="0"/>
              <w:rPr>
                <w:sz w:val="20"/>
                <w:szCs w:val="20"/>
                <w:color w:val="auto"/>
              </w:rPr>
            </w:pPr>
            <w:r>
              <w:rPr>
                <w:rFonts w:ascii="Arial" w:cs="Arial" w:eastAsia="Arial" w:hAnsi="Arial"/>
                <w:sz w:val="13"/>
                <w:szCs w:val="13"/>
                <w:color w:val="auto"/>
                <w:w w:val="87"/>
              </w:rPr>
              <w:t>(3)</w:t>
            </w:r>
          </w:p>
        </w:tc>
        <w:tc>
          <w:tcPr>
            <w:tcW w:w="1360" w:type="dxa"/>
            <w:vAlign w:val="bottom"/>
          </w:tcPr>
          <w:p>
            <w:pPr>
              <w:ind w:left="120"/>
              <w:spacing w:after="0"/>
              <w:rPr>
                <w:sz w:val="20"/>
                <w:szCs w:val="20"/>
                <w:color w:val="auto"/>
              </w:rPr>
            </w:pPr>
            <w:r>
              <w:rPr>
                <w:rFonts w:ascii="Arial" w:cs="Arial" w:eastAsia="Arial" w:hAnsi="Arial"/>
                <w:sz w:val="13"/>
                <w:szCs w:val="13"/>
                <w:color w:val="auto"/>
              </w:rPr>
              <w:t xml:space="preserve">Represents          </w:t>
            </w:r>
          </w:p>
        </w:tc>
        <w:tc>
          <w:tcPr>
            <w:tcW w:w="9340" w:type="dxa"/>
            <w:vAlign w:val="bottom"/>
            <w:gridSpan w:val="3"/>
          </w:tcPr>
          <w:p>
            <w:pPr>
              <w:ind w:left="40"/>
              <w:spacing w:after="0"/>
              <w:rPr>
                <w:sz w:val="20"/>
                <w:szCs w:val="20"/>
                <w:color w:val="auto"/>
              </w:rPr>
            </w:pPr>
            <w:r>
              <w:rPr>
                <w:rFonts w:ascii="Arial" w:cs="Arial" w:eastAsia="Arial" w:hAnsi="Arial"/>
                <w:sz w:val="13"/>
                <w:szCs w:val="13"/>
                <w:color w:val="auto"/>
              </w:rPr>
              <w:t>shares of common stock, all of which are unvested and subject to repurchase by the Company if Mr. Dandekar ceases to provide service to the Company</w:t>
            </w:r>
          </w:p>
        </w:tc>
      </w:tr>
      <w:tr>
        <w:trPr>
          <w:trHeight w:val="176"/>
        </w:trPr>
        <w:tc>
          <w:tcPr>
            <w:tcW w:w="300" w:type="dxa"/>
            <w:vAlign w:val="bottom"/>
          </w:tcPr>
          <w:p>
            <w:pPr>
              <w:spacing w:after="0"/>
              <w:rPr>
                <w:sz w:val="15"/>
                <w:szCs w:val="15"/>
                <w:color w:val="auto"/>
              </w:rPr>
            </w:pPr>
          </w:p>
        </w:tc>
        <w:tc>
          <w:tcPr>
            <w:tcW w:w="3720" w:type="dxa"/>
            <w:vAlign w:val="bottom"/>
            <w:gridSpan w:val="2"/>
          </w:tcPr>
          <w:p>
            <w:pPr>
              <w:ind w:left="120"/>
              <w:spacing w:after="0"/>
              <w:rPr>
                <w:sz w:val="20"/>
                <w:szCs w:val="20"/>
                <w:color w:val="auto"/>
              </w:rPr>
            </w:pPr>
            <w:r>
              <w:rPr>
                <w:rFonts w:ascii="Arial" w:cs="Arial" w:eastAsia="Arial" w:hAnsi="Arial"/>
                <w:sz w:val="13"/>
                <w:szCs w:val="13"/>
                <w:color w:val="auto"/>
              </w:rPr>
              <w:t>prior to the vesting of the shares.</w:t>
            </w:r>
          </w:p>
        </w:tc>
        <w:tc>
          <w:tcPr>
            <w:tcW w:w="420" w:type="dxa"/>
            <w:vAlign w:val="bottom"/>
          </w:tcPr>
          <w:p>
            <w:pPr>
              <w:spacing w:after="0"/>
              <w:rPr>
                <w:sz w:val="15"/>
                <w:szCs w:val="15"/>
                <w:color w:val="auto"/>
              </w:rPr>
            </w:pPr>
          </w:p>
        </w:tc>
        <w:tc>
          <w:tcPr>
            <w:tcW w:w="6560" w:type="dxa"/>
            <w:vAlign w:val="bottom"/>
          </w:tcPr>
          <w:p>
            <w:pPr>
              <w:spacing w:after="0"/>
              <w:rPr>
                <w:sz w:val="15"/>
                <w:szCs w:val="15"/>
                <w:color w:val="auto"/>
              </w:rPr>
            </w:pPr>
          </w:p>
        </w:tc>
      </w:tr>
      <w:tr>
        <w:trPr>
          <w:trHeight w:val="202"/>
        </w:trPr>
        <w:tc>
          <w:tcPr>
            <w:tcW w:w="300" w:type="dxa"/>
            <w:vAlign w:val="bottom"/>
          </w:tcPr>
          <w:p>
            <w:pPr>
              <w:jc w:val="right"/>
              <w:ind w:right="73"/>
              <w:spacing w:after="0"/>
              <w:rPr>
                <w:sz w:val="20"/>
                <w:szCs w:val="20"/>
                <w:color w:val="auto"/>
              </w:rPr>
            </w:pPr>
            <w:r>
              <w:rPr>
                <w:rFonts w:ascii="Arial" w:cs="Arial" w:eastAsia="Arial" w:hAnsi="Arial"/>
                <w:sz w:val="13"/>
                <w:szCs w:val="13"/>
                <w:color w:val="auto"/>
                <w:w w:val="87"/>
              </w:rPr>
              <w:t>(4)</w:t>
            </w:r>
          </w:p>
        </w:tc>
        <w:tc>
          <w:tcPr>
            <w:tcW w:w="1360" w:type="dxa"/>
            <w:vAlign w:val="bottom"/>
          </w:tcPr>
          <w:p>
            <w:pPr>
              <w:ind w:left="120"/>
              <w:spacing w:after="0"/>
              <w:rPr>
                <w:sz w:val="20"/>
                <w:szCs w:val="20"/>
                <w:color w:val="auto"/>
              </w:rPr>
            </w:pPr>
            <w:r>
              <w:rPr>
                <w:rFonts w:ascii="Arial" w:cs="Arial" w:eastAsia="Arial" w:hAnsi="Arial"/>
                <w:sz w:val="13"/>
                <w:szCs w:val="13"/>
                <w:color w:val="auto"/>
              </w:rPr>
              <w:t xml:space="preserve">Represents (i)        </w:t>
            </w:r>
          </w:p>
        </w:tc>
        <w:tc>
          <w:tcPr>
            <w:tcW w:w="2360" w:type="dxa"/>
            <w:vAlign w:val="bottom"/>
          </w:tcPr>
          <w:p>
            <w:pPr>
              <w:ind w:left="60"/>
              <w:spacing w:after="0"/>
              <w:rPr>
                <w:sz w:val="20"/>
                <w:szCs w:val="20"/>
                <w:color w:val="auto"/>
              </w:rPr>
            </w:pPr>
            <w:r>
              <w:rPr>
                <w:rFonts w:ascii="Arial" w:cs="Arial" w:eastAsia="Arial" w:hAnsi="Arial"/>
                <w:sz w:val="13"/>
                <w:szCs w:val="13"/>
                <w:color w:val="auto"/>
              </w:rPr>
              <w:t>   shares of common stock, and (iii)  </w:t>
            </w:r>
          </w:p>
        </w:tc>
        <w:tc>
          <w:tcPr>
            <w:tcW w:w="420" w:type="dxa"/>
            <w:vAlign w:val="bottom"/>
          </w:tcPr>
          <w:p>
            <w:pPr>
              <w:ind w:left="20"/>
              <w:spacing w:after="0"/>
              <w:rPr>
                <w:sz w:val="20"/>
                <w:szCs w:val="20"/>
                <w:color w:val="auto"/>
              </w:rPr>
            </w:pPr>
            <w:r>
              <w:rPr>
                <w:rFonts w:ascii="Arial" w:cs="Arial" w:eastAsia="Arial" w:hAnsi="Arial"/>
                <w:sz w:val="13"/>
                <w:szCs w:val="13"/>
                <w:color w:val="auto"/>
              </w:rPr>
              <w:t xml:space="preserve">       </w:t>
            </w:r>
          </w:p>
        </w:tc>
        <w:tc>
          <w:tcPr>
            <w:tcW w:w="6560" w:type="dxa"/>
            <w:vAlign w:val="bottom"/>
          </w:tcPr>
          <w:p>
            <w:pPr>
              <w:ind w:left="40"/>
              <w:spacing w:after="0"/>
              <w:rPr>
                <w:sz w:val="20"/>
                <w:szCs w:val="20"/>
                <w:color w:val="auto"/>
              </w:rPr>
            </w:pPr>
            <w:r>
              <w:rPr>
                <w:rFonts w:ascii="Arial" w:cs="Arial" w:eastAsia="Arial" w:hAnsi="Arial"/>
                <w:sz w:val="13"/>
                <w:szCs w:val="13"/>
                <w:color w:val="auto"/>
              </w:rPr>
              <w:t>shares underlying options to purchase common stock that are exercisable within 60 days of March 31, 2024.</w:t>
            </w:r>
          </w:p>
        </w:tc>
      </w:tr>
      <w:tr>
        <w:trPr>
          <w:trHeight w:val="149"/>
        </w:trPr>
        <w:tc>
          <w:tcPr>
            <w:tcW w:w="300" w:type="dxa"/>
            <w:vAlign w:val="bottom"/>
          </w:tcPr>
          <w:p>
            <w:pPr>
              <w:spacing w:after="0"/>
              <w:rPr>
                <w:sz w:val="12"/>
                <w:szCs w:val="12"/>
                <w:color w:val="auto"/>
              </w:rPr>
            </w:pPr>
          </w:p>
        </w:tc>
        <w:tc>
          <w:tcPr>
            <w:tcW w:w="10700" w:type="dxa"/>
            <w:vAlign w:val="bottom"/>
            <w:gridSpan w:val="4"/>
          </w:tcPr>
          <w:p>
            <w:pPr>
              <w:ind w:left="120"/>
              <w:spacing w:after="0"/>
              <w:rPr>
                <w:sz w:val="20"/>
                <w:szCs w:val="20"/>
                <w:color w:val="auto"/>
              </w:rPr>
            </w:pPr>
            <w:r>
              <w:rPr>
                <w:rFonts w:ascii="Arial" w:cs="Arial" w:eastAsia="Arial" w:hAnsi="Arial"/>
                <w:sz w:val="13"/>
                <w:szCs w:val="13"/>
                <w:color w:val="auto"/>
              </w:rPr>
              <w:t>Dr. Homcy, chair of our board of directors, was a partner of Third Rock Ventures, LLC, an affiliate of Third Rock Ventures IV, L.P. and Third Rock Ventures V, L.P., until October</w:t>
            </w:r>
          </w:p>
        </w:tc>
      </w:tr>
      <w:tr>
        <w:trPr>
          <w:trHeight w:val="148"/>
        </w:trPr>
        <w:tc>
          <w:tcPr>
            <w:tcW w:w="300" w:type="dxa"/>
            <w:vAlign w:val="bottom"/>
          </w:tcPr>
          <w:p>
            <w:pPr>
              <w:spacing w:after="0"/>
              <w:rPr>
                <w:sz w:val="12"/>
                <w:szCs w:val="12"/>
                <w:color w:val="auto"/>
              </w:rPr>
            </w:pPr>
          </w:p>
        </w:tc>
        <w:tc>
          <w:tcPr>
            <w:tcW w:w="10700" w:type="dxa"/>
            <w:vAlign w:val="bottom"/>
            <w:gridSpan w:val="4"/>
          </w:tcPr>
          <w:p>
            <w:pPr>
              <w:ind w:left="120"/>
              <w:spacing w:after="0"/>
              <w:rPr>
                <w:sz w:val="20"/>
                <w:szCs w:val="20"/>
                <w:color w:val="auto"/>
              </w:rPr>
            </w:pPr>
            <w:r>
              <w:rPr>
                <w:rFonts w:ascii="Arial" w:cs="Arial" w:eastAsia="Arial" w:hAnsi="Arial"/>
                <w:sz w:val="13"/>
                <w:szCs w:val="13"/>
                <w:color w:val="auto"/>
              </w:rPr>
              <w:t>2019 and now serves in an advisory capacity. Dr. Homcy does not have voting or dispositive power over the shares held by Third Rock Ventures IV, L.P. and Third Rock Ventures</w:t>
            </w:r>
          </w:p>
        </w:tc>
      </w:tr>
      <w:tr>
        <w:trPr>
          <w:trHeight w:val="176"/>
        </w:trPr>
        <w:tc>
          <w:tcPr>
            <w:tcW w:w="300" w:type="dxa"/>
            <w:vAlign w:val="bottom"/>
          </w:tcPr>
          <w:p>
            <w:pPr>
              <w:spacing w:after="0"/>
              <w:rPr>
                <w:sz w:val="15"/>
                <w:szCs w:val="15"/>
                <w:color w:val="auto"/>
              </w:rPr>
            </w:pPr>
          </w:p>
        </w:tc>
        <w:tc>
          <w:tcPr>
            <w:tcW w:w="10700" w:type="dxa"/>
            <w:vAlign w:val="bottom"/>
            <w:gridSpan w:val="4"/>
          </w:tcPr>
          <w:p>
            <w:pPr>
              <w:ind w:left="120"/>
              <w:spacing w:after="0"/>
              <w:rPr>
                <w:sz w:val="20"/>
                <w:szCs w:val="20"/>
                <w:color w:val="auto"/>
              </w:rPr>
            </w:pPr>
            <w:r>
              <w:rPr>
                <w:rFonts w:ascii="Arial" w:cs="Arial" w:eastAsia="Arial" w:hAnsi="Arial"/>
                <w:sz w:val="13"/>
                <w:szCs w:val="13"/>
                <w:color w:val="auto"/>
              </w:rPr>
              <w:t>V, L.P. See note (16) below for more information regarding Third Rock Ventures IV, L.P. and Third Rock Ventures V, L.P.</w:t>
            </w:r>
          </w:p>
        </w:tc>
      </w:tr>
      <w:tr>
        <w:trPr>
          <w:trHeight w:val="230"/>
        </w:trPr>
        <w:tc>
          <w:tcPr>
            <w:tcW w:w="300" w:type="dxa"/>
            <w:vAlign w:val="bottom"/>
          </w:tcPr>
          <w:p>
            <w:pPr>
              <w:jc w:val="right"/>
              <w:ind w:right="73"/>
              <w:spacing w:after="0"/>
              <w:rPr>
                <w:sz w:val="20"/>
                <w:szCs w:val="20"/>
                <w:color w:val="auto"/>
              </w:rPr>
            </w:pPr>
            <w:r>
              <w:rPr>
                <w:rFonts w:ascii="Arial" w:cs="Arial" w:eastAsia="Arial" w:hAnsi="Arial"/>
                <w:sz w:val="13"/>
                <w:szCs w:val="13"/>
                <w:color w:val="auto"/>
                <w:w w:val="87"/>
              </w:rPr>
              <w:t>(5)</w:t>
            </w:r>
          </w:p>
        </w:tc>
        <w:tc>
          <w:tcPr>
            <w:tcW w:w="1360" w:type="dxa"/>
            <w:vAlign w:val="bottom"/>
          </w:tcPr>
          <w:p>
            <w:pPr>
              <w:ind w:left="120"/>
              <w:spacing w:after="0"/>
              <w:rPr>
                <w:sz w:val="20"/>
                <w:szCs w:val="20"/>
                <w:color w:val="auto"/>
              </w:rPr>
            </w:pPr>
            <w:r>
              <w:rPr>
                <w:rFonts w:ascii="Arial" w:cs="Arial" w:eastAsia="Arial" w:hAnsi="Arial"/>
                <w:sz w:val="13"/>
                <w:szCs w:val="13"/>
                <w:color w:val="auto"/>
              </w:rPr>
              <w:t xml:space="preserve">Represents           </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shares underlying options to purchase common stock that are exercisable within 60 days of March 31, 2024.</w:t>
            </w:r>
          </w:p>
        </w:tc>
      </w:tr>
    </w:tbl>
    <w:p>
      <w:pPr>
        <w:spacing w:after="0" w:line="67" w:lineRule="exact"/>
        <w:rPr>
          <w:sz w:val="20"/>
          <w:szCs w:val="20"/>
          <w:color w:val="auto"/>
        </w:rPr>
      </w:pPr>
    </w:p>
    <w:p>
      <w:pPr>
        <w:jc w:val="both"/>
        <w:ind w:left="540" w:hanging="424"/>
        <w:spacing w:after="0" w:line="266" w:lineRule="auto"/>
        <w:tabs>
          <w:tab w:leader="none" w:pos="5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Represents        . Dr. Bulik-Sullivan, a member of our board of directors, is a general partner at GV., an affiliate of GV 2019, L.P. and GV 2023, L.P. Dr. Bulik-Sullivan does not have voting or dispositive power over the shares held directly by GV 2019, L.P. or GV 2023, L.P. See note (15) below for more information regarding GV 2019, L.P. and GV 2023, L.P.</w:t>
      </w:r>
    </w:p>
    <w:p>
      <w:pPr>
        <w:spacing w:after="0" w:line="195" w:lineRule="exact"/>
        <w:rPr>
          <w:rFonts w:ascii="Arial" w:cs="Arial" w:eastAsia="Arial" w:hAnsi="Arial"/>
          <w:sz w:val="13"/>
          <w:szCs w:val="13"/>
          <w:color w:val="auto"/>
        </w:rPr>
      </w:pPr>
    </w:p>
    <w:p>
      <w:pPr>
        <w:ind w:left="540" w:hanging="424"/>
        <w:spacing w:after="0"/>
        <w:tabs>
          <w:tab w:leader="none" w:pos="5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Represents            shares underlying options to purchase common stock that are exercisable within 60 days of March 31, 2024.</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0" w:type="dxa"/>
            <w:vAlign w:val="bottom"/>
          </w:tcPr>
          <w:p>
            <w:pPr>
              <w:spacing w:after="0"/>
              <w:rPr>
                <w:sz w:val="20"/>
                <w:szCs w:val="20"/>
                <w:color w:val="auto"/>
              </w:rPr>
            </w:pPr>
            <w:r>
              <w:rPr>
                <w:rFonts w:ascii="Arial" w:cs="Arial" w:eastAsia="Arial" w:hAnsi="Arial"/>
                <w:sz w:val="13"/>
                <w:szCs w:val="13"/>
                <w:color w:val="auto"/>
              </w:rPr>
              <w:t>(8)</w:t>
            </w:r>
          </w:p>
        </w:tc>
        <w:tc>
          <w:tcPr>
            <w:tcW w:w="10660" w:type="dxa"/>
            <w:vAlign w:val="bottom"/>
            <w:gridSpan w:val="7"/>
          </w:tcPr>
          <w:p>
            <w:pPr>
              <w:ind w:left="80"/>
              <w:spacing w:after="0"/>
              <w:rPr>
                <w:sz w:val="20"/>
                <w:szCs w:val="20"/>
                <w:color w:val="auto"/>
              </w:rPr>
            </w:pPr>
            <w:r>
              <w:rPr>
                <w:rFonts w:ascii="Arial" w:cs="Arial" w:eastAsia="Arial" w:hAnsi="Arial"/>
                <w:sz w:val="13"/>
                <w:szCs w:val="13"/>
                <w:color w:val="auto"/>
              </w:rPr>
              <w:t>Represents (i) stock options of             shares of common stock of which             are unvested and subject to repurchase by the Company if Dr. Lim ceases to provide service</w:t>
            </w:r>
          </w:p>
        </w:tc>
      </w:tr>
      <w:tr>
        <w:trPr>
          <w:trHeight w:val="148"/>
        </w:trPr>
        <w:tc>
          <w:tcPr>
            <w:tcW w:w="340" w:type="dxa"/>
            <w:vAlign w:val="bottom"/>
          </w:tcPr>
          <w:p>
            <w:pPr>
              <w:spacing w:after="0"/>
              <w:rPr>
                <w:sz w:val="12"/>
                <w:szCs w:val="12"/>
                <w:color w:val="auto"/>
              </w:rPr>
            </w:pPr>
          </w:p>
        </w:tc>
        <w:tc>
          <w:tcPr>
            <w:tcW w:w="3720" w:type="dxa"/>
            <w:vAlign w:val="bottom"/>
            <w:gridSpan w:val="5"/>
          </w:tcPr>
          <w:p>
            <w:pPr>
              <w:ind w:left="80"/>
              <w:spacing w:after="0"/>
              <w:rPr>
                <w:sz w:val="20"/>
                <w:szCs w:val="20"/>
                <w:color w:val="auto"/>
              </w:rPr>
            </w:pPr>
            <w:r>
              <w:rPr>
                <w:rFonts w:ascii="Arial" w:cs="Arial" w:eastAsia="Arial" w:hAnsi="Arial"/>
                <w:sz w:val="13"/>
                <w:szCs w:val="13"/>
                <w:color w:val="auto"/>
              </w:rPr>
              <w:t xml:space="preserve">to the Company prior to the vesting of the shares, and (ii)     </w:t>
            </w:r>
          </w:p>
        </w:tc>
        <w:tc>
          <w:tcPr>
            <w:tcW w:w="340" w:type="dxa"/>
            <w:vAlign w:val="bottom"/>
          </w:tcPr>
          <w:p>
            <w:pPr>
              <w:ind w:left="80"/>
              <w:spacing w:after="0"/>
              <w:rPr>
                <w:sz w:val="20"/>
                <w:szCs w:val="20"/>
                <w:color w:val="auto"/>
              </w:rPr>
            </w:pPr>
            <w:r>
              <w:rPr>
                <w:rFonts w:ascii="Arial" w:cs="Arial" w:eastAsia="Arial" w:hAnsi="Arial"/>
                <w:sz w:val="13"/>
                <w:szCs w:val="13"/>
                <w:color w:val="auto"/>
              </w:rPr>
              <w:t xml:space="preserve">    </w:t>
            </w:r>
          </w:p>
        </w:tc>
        <w:tc>
          <w:tcPr>
            <w:tcW w:w="6600" w:type="dxa"/>
            <w:vAlign w:val="bottom"/>
          </w:tcPr>
          <w:p>
            <w:pPr>
              <w:jc w:val="right"/>
              <w:ind w:right="305"/>
              <w:spacing w:after="0"/>
              <w:rPr>
                <w:sz w:val="20"/>
                <w:szCs w:val="20"/>
                <w:color w:val="auto"/>
              </w:rPr>
            </w:pPr>
            <w:r>
              <w:rPr>
                <w:rFonts w:ascii="Arial" w:cs="Arial" w:eastAsia="Arial" w:hAnsi="Arial"/>
                <w:sz w:val="13"/>
                <w:szCs w:val="13"/>
                <w:color w:val="auto"/>
              </w:rPr>
              <w:t>shares of common stock held by City Hill, LLC. Dr. Lim, a member of our board of directors, is Managing</w:t>
            </w:r>
          </w:p>
        </w:tc>
      </w:tr>
      <w:tr>
        <w:trPr>
          <w:trHeight w:val="149"/>
        </w:trPr>
        <w:tc>
          <w:tcPr>
            <w:tcW w:w="340" w:type="dxa"/>
            <w:vAlign w:val="bottom"/>
          </w:tcPr>
          <w:p>
            <w:pPr>
              <w:spacing w:after="0"/>
              <w:rPr>
                <w:sz w:val="12"/>
                <w:szCs w:val="12"/>
                <w:color w:val="auto"/>
              </w:rPr>
            </w:pPr>
          </w:p>
        </w:tc>
        <w:tc>
          <w:tcPr>
            <w:tcW w:w="10660" w:type="dxa"/>
            <w:vAlign w:val="bottom"/>
            <w:gridSpan w:val="7"/>
          </w:tcPr>
          <w:p>
            <w:pPr>
              <w:ind w:left="80"/>
              <w:spacing w:after="0"/>
              <w:rPr>
                <w:sz w:val="20"/>
                <w:szCs w:val="20"/>
                <w:color w:val="auto"/>
              </w:rPr>
            </w:pPr>
            <w:r>
              <w:rPr>
                <w:rFonts w:ascii="Arial" w:cs="Arial" w:eastAsia="Arial" w:hAnsi="Arial"/>
                <w:sz w:val="13"/>
                <w:szCs w:val="13"/>
                <w:color w:val="auto"/>
              </w:rPr>
              <w:t>Partner and Founder of City Hill, LLC and is a venture partner at ARCH Venture Partners, LLC, an affiliate of ARCH Venture Fund X, L.P. and ARCH Venture Fund X Overage,</w:t>
            </w:r>
          </w:p>
        </w:tc>
      </w:tr>
      <w:tr>
        <w:trPr>
          <w:trHeight w:val="148"/>
        </w:trPr>
        <w:tc>
          <w:tcPr>
            <w:tcW w:w="340" w:type="dxa"/>
            <w:vAlign w:val="bottom"/>
          </w:tcPr>
          <w:p>
            <w:pPr>
              <w:spacing w:after="0"/>
              <w:rPr>
                <w:sz w:val="12"/>
                <w:szCs w:val="12"/>
                <w:color w:val="auto"/>
              </w:rPr>
            </w:pPr>
          </w:p>
        </w:tc>
        <w:tc>
          <w:tcPr>
            <w:tcW w:w="10660" w:type="dxa"/>
            <w:vAlign w:val="bottom"/>
            <w:gridSpan w:val="7"/>
          </w:tcPr>
          <w:p>
            <w:pPr>
              <w:ind w:left="80"/>
              <w:spacing w:after="0"/>
              <w:rPr>
                <w:sz w:val="20"/>
                <w:szCs w:val="20"/>
                <w:color w:val="auto"/>
              </w:rPr>
            </w:pPr>
            <w:r>
              <w:rPr>
                <w:rFonts w:ascii="Arial" w:cs="Arial" w:eastAsia="Arial" w:hAnsi="Arial"/>
                <w:sz w:val="13"/>
                <w:szCs w:val="13"/>
                <w:color w:val="auto"/>
              </w:rPr>
              <w:t>L.P. Dr. Lim does not have voting or dispositive power over the shares held by ARCH Venture Fund X, L.P. and ARCH Venture Fund X Overage, L.P. See note (14) below for</w:t>
            </w:r>
          </w:p>
        </w:tc>
      </w:tr>
      <w:tr>
        <w:trPr>
          <w:trHeight w:val="176"/>
        </w:trPr>
        <w:tc>
          <w:tcPr>
            <w:tcW w:w="340" w:type="dxa"/>
            <w:vAlign w:val="bottom"/>
          </w:tcPr>
          <w:p>
            <w:pPr>
              <w:spacing w:after="0"/>
              <w:rPr>
                <w:sz w:val="15"/>
                <w:szCs w:val="15"/>
                <w:color w:val="auto"/>
              </w:rPr>
            </w:pPr>
          </w:p>
        </w:tc>
        <w:tc>
          <w:tcPr>
            <w:tcW w:w="10660" w:type="dxa"/>
            <w:vAlign w:val="bottom"/>
            <w:gridSpan w:val="7"/>
          </w:tcPr>
          <w:p>
            <w:pPr>
              <w:ind w:left="80"/>
              <w:spacing w:after="0"/>
              <w:rPr>
                <w:sz w:val="20"/>
                <w:szCs w:val="20"/>
                <w:color w:val="auto"/>
              </w:rPr>
            </w:pPr>
            <w:r>
              <w:rPr>
                <w:rFonts w:ascii="Arial" w:cs="Arial" w:eastAsia="Arial" w:hAnsi="Arial"/>
                <w:sz w:val="13"/>
                <w:szCs w:val="13"/>
                <w:color w:val="auto"/>
              </w:rPr>
              <w:t>more information regarding ARCH Venture Fund X, L.P. and ARCH Venture Fund X Overage, L.P.</w:t>
            </w:r>
          </w:p>
        </w:tc>
      </w:tr>
      <w:tr>
        <w:trPr>
          <w:trHeight w:val="202"/>
        </w:trPr>
        <w:tc>
          <w:tcPr>
            <w:tcW w:w="340" w:type="dxa"/>
            <w:vAlign w:val="bottom"/>
          </w:tcPr>
          <w:p>
            <w:pPr>
              <w:spacing w:after="0"/>
              <w:rPr>
                <w:sz w:val="20"/>
                <w:szCs w:val="20"/>
                <w:color w:val="auto"/>
              </w:rPr>
            </w:pPr>
            <w:r>
              <w:rPr>
                <w:rFonts w:ascii="Arial" w:cs="Arial" w:eastAsia="Arial" w:hAnsi="Arial"/>
                <w:sz w:val="13"/>
                <w:szCs w:val="13"/>
                <w:color w:val="auto"/>
              </w:rPr>
              <w:t>(9)</w:t>
            </w:r>
          </w:p>
        </w:tc>
        <w:tc>
          <w:tcPr>
            <w:tcW w:w="1040" w:type="dxa"/>
            <w:vAlign w:val="bottom"/>
            <w:gridSpan w:val="2"/>
          </w:tcPr>
          <w:p>
            <w:pPr>
              <w:ind w:left="80"/>
              <w:spacing w:after="0"/>
              <w:rPr>
                <w:sz w:val="20"/>
                <w:szCs w:val="20"/>
                <w:color w:val="auto"/>
              </w:rPr>
            </w:pPr>
            <w:r>
              <w:rPr>
                <w:rFonts w:ascii="Arial" w:cs="Arial" w:eastAsia="Arial" w:hAnsi="Arial"/>
                <w:sz w:val="13"/>
                <w:szCs w:val="13"/>
                <w:color w:val="auto"/>
                <w:w w:val="95"/>
              </w:rPr>
              <w:t>Represents (i)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2400" w:type="dxa"/>
            <w:vAlign w:val="bottom"/>
          </w:tcPr>
          <w:p>
            <w:pPr>
              <w:ind w:left="60"/>
              <w:spacing w:after="0"/>
              <w:rPr>
                <w:sz w:val="20"/>
                <w:szCs w:val="20"/>
                <w:color w:val="auto"/>
              </w:rPr>
            </w:pPr>
            <w:r>
              <w:rPr>
                <w:rFonts w:ascii="Arial" w:cs="Arial" w:eastAsia="Arial" w:hAnsi="Arial"/>
                <w:sz w:val="13"/>
                <w:szCs w:val="13"/>
                <w:color w:val="auto"/>
                <w:w w:val="99"/>
              </w:rPr>
              <w:t>   shares of common stock, of which  </w:t>
            </w:r>
          </w:p>
        </w:tc>
        <w:tc>
          <w:tcPr>
            <w:tcW w:w="340" w:type="dxa"/>
            <w:vAlign w:val="bottom"/>
          </w:tcPr>
          <w:p>
            <w:pPr>
              <w:ind w:left="40"/>
              <w:spacing w:after="0"/>
              <w:rPr>
                <w:sz w:val="20"/>
                <w:szCs w:val="20"/>
                <w:color w:val="auto"/>
              </w:rPr>
            </w:pPr>
            <w:r>
              <w:rPr>
                <w:rFonts w:ascii="Arial" w:cs="Arial" w:eastAsia="Arial" w:hAnsi="Arial"/>
                <w:sz w:val="13"/>
                <w:szCs w:val="13"/>
                <w:color w:val="auto"/>
              </w:rPr>
              <w:t xml:space="preserve">       </w:t>
            </w:r>
          </w:p>
        </w:tc>
        <w:tc>
          <w:tcPr>
            <w:tcW w:w="6600" w:type="dxa"/>
            <w:vAlign w:val="bottom"/>
          </w:tcPr>
          <w:p>
            <w:pPr>
              <w:jc w:val="right"/>
              <w:ind w:right="285"/>
              <w:spacing w:after="0"/>
              <w:rPr>
                <w:sz w:val="20"/>
                <w:szCs w:val="20"/>
                <w:color w:val="auto"/>
              </w:rPr>
            </w:pPr>
            <w:r>
              <w:rPr>
                <w:rFonts w:ascii="Arial" w:cs="Arial" w:eastAsia="Arial" w:hAnsi="Arial"/>
                <w:sz w:val="13"/>
                <w:szCs w:val="13"/>
                <w:color w:val="auto"/>
              </w:rPr>
              <w:t>shares are unvested shares and subject to repurchase if Dr. Scheller ceases to provide services to the</w:t>
            </w:r>
          </w:p>
        </w:tc>
      </w:tr>
      <w:tr>
        <w:trPr>
          <w:trHeight w:val="149"/>
        </w:trPr>
        <w:tc>
          <w:tcPr>
            <w:tcW w:w="340" w:type="dxa"/>
            <w:vAlign w:val="bottom"/>
          </w:tcPr>
          <w:p>
            <w:pPr>
              <w:spacing w:after="0"/>
              <w:rPr>
                <w:sz w:val="12"/>
                <w:szCs w:val="12"/>
                <w:color w:val="auto"/>
              </w:rPr>
            </w:pPr>
          </w:p>
        </w:tc>
        <w:tc>
          <w:tcPr>
            <w:tcW w:w="3720" w:type="dxa"/>
            <w:vAlign w:val="bottom"/>
            <w:gridSpan w:val="5"/>
          </w:tcPr>
          <w:p>
            <w:pPr>
              <w:ind w:left="80"/>
              <w:spacing w:after="0"/>
              <w:rPr>
                <w:sz w:val="20"/>
                <w:szCs w:val="20"/>
                <w:color w:val="auto"/>
              </w:rPr>
            </w:pPr>
            <w:r>
              <w:rPr>
                <w:rFonts w:ascii="Arial" w:cs="Arial" w:eastAsia="Arial" w:hAnsi="Arial"/>
                <w:sz w:val="13"/>
                <w:szCs w:val="13"/>
                <w:color w:val="auto"/>
              </w:rPr>
              <w:t xml:space="preserve">Company prior to the vesting of the shares, and (ii)           </w:t>
            </w:r>
          </w:p>
        </w:tc>
        <w:tc>
          <w:tcPr>
            <w:tcW w:w="6940" w:type="dxa"/>
            <w:vAlign w:val="bottom"/>
            <w:gridSpan w:val="2"/>
          </w:tcPr>
          <w:p>
            <w:pPr>
              <w:jc w:val="right"/>
              <w:ind w:right="385"/>
              <w:spacing w:after="0"/>
              <w:rPr>
                <w:sz w:val="20"/>
                <w:szCs w:val="20"/>
                <w:color w:val="auto"/>
              </w:rPr>
            </w:pPr>
            <w:r>
              <w:rPr>
                <w:rFonts w:ascii="Arial" w:cs="Arial" w:eastAsia="Arial" w:hAnsi="Arial"/>
                <w:sz w:val="13"/>
                <w:szCs w:val="13"/>
                <w:color w:val="auto"/>
              </w:rPr>
              <w:t>shares underlying options to purchase common stock that are exercisable within 60 days of March 31, 2024.</w:t>
            </w:r>
          </w:p>
        </w:tc>
      </w:tr>
      <w:tr>
        <w:trPr>
          <w:trHeight w:val="148"/>
        </w:trPr>
        <w:tc>
          <w:tcPr>
            <w:tcW w:w="340" w:type="dxa"/>
            <w:vAlign w:val="bottom"/>
          </w:tcPr>
          <w:p>
            <w:pPr>
              <w:spacing w:after="0"/>
              <w:rPr>
                <w:sz w:val="12"/>
                <w:szCs w:val="12"/>
                <w:color w:val="auto"/>
              </w:rPr>
            </w:pPr>
          </w:p>
        </w:tc>
        <w:tc>
          <w:tcPr>
            <w:tcW w:w="10660" w:type="dxa"/>
            <w:vAlign w:val="bottom"/>
            <w:gridSpan w:val="7"/>
          </w:tcPr>
          <w:p>
            <w:pPr>
              <w:ind w:left="80"/>
              <w:spacing w:after="0"/>
              <w:rPr>
                <w:sz w:val="20"/>
                <w:szCs w:val="20"/>
                <w:color w:val="auto"/>
              </w:rPr>
            </w:pPr>
            <w:r>
              <w:rPr>
                <w:rFonts w:ascii="Arial" w:cs="Arial" w:eastAsia="Arial" w:hAnsi="Arial"/>
                <w:sz w:val="13"/>
                <w:szCs w:val="13"/>
                <w:color w:val="auto"/>
              </w:rPr>
              <w:t>Dr. Scheller, a member of our board of directors, is an advisor at GV, an affiliate of GV 2019, L.P. and GV 2023, L.P. Dr. Scheller does not have voting or dispositive power over</w:t>
            </w:r>
          </w:p>
        </w:tc>
      </w:tr>
      <w:tr>
        <w:trPr>
          <w:trHeight w:val="176"/>
        </w:trPr>
        <w:tc>
          <w:tcPr>
            <w:tcW w:w="340" w:type="dxa"/>
            <w:vAlign w:val="bottom"/>
          </w:tcPr>
          <w:p>
            <w:pPr>
              <w:spacing w:after="0"/>
              <w:rPr>
                <w:sz w:val="15"/>
                <w:szCs w:val="15"/>
                <w:color w:val="auto"/>
              </w:rPr>
            </w:pPr>
          </w:p>
        </w:tc>
        <w:tc>
          <w:tcPr>
            <w:tcW w:w="10660" w:type="dxa"/>
            <w:vAlign w:val="bottom"/>
            <w:gridSpan w:val="7"/>
          </w:tcPr>
          <w:p>
            <w:pPr>
              <w:ind w:left="80"/>
              <w:spacing w:after="0"/>
              <w:rPr>
                <w:sz w:val="20"/>
                <w:szCs w:val="20"/>
                <w:color w:val="auto"/>
              </w:rPr>
            </w:pPr>
            <w:r>
              <w:rPr>
                <w:rFonts w:ascii="Arial" w:cs="Arial" w:eastAsia="Arial" w:hAnsi="Arial"/>
                <w:sz w:val="13"/>
                <w:szCs w:val="13"/>
                <w:color w:val="auto"/>
              </w:rPr>
              <w:t>the shares held by GV 2019, L.P. and GV 2023, L.P.] See note (15) below for more information regarding GV 2019, L.P. and GV 2023, L.P.</w:t>
            </w:r>
          </w:p>
        </w:tc>
      </w:tr>
      <w:tr>
        <w:trPr>
          <w:trHeight w:val="230"/>
        </w:trPr>
        <w:tc>
          <w:tcPr>
            <w:tcW w:w="340" w:type="dxa"/>
            <w:vAlign w:val="bottom"/>
          </w:tcPr>
          <w:p>
            <w:pPr>
              <w:spacing w:after="0"/>
              <w:rPr>
                <w:sz w:val="20"/>
                <w:szCs w:val="20"/>
                <w:color w:val="auto"/>
              </w:rPr>
            </w:pPr>
            <w:r>
              <w:rPr>
                <w:rFonts w:ascii="Arial" w:cs="Arial" w:eastAsia="Arial" w:hAnsi="Arial"/>
                <w:sz w:val="13"/>
                <w:szCs w:val="13"/>
                <w:color w:val="auto"/>
              </w:rPr>
              <w:t>(10)</w:t>
            </w:r>
          </w:p>
        </w:tc>
        <w:tc>
          <w:tcPr>
            <w:tcW w:w="900" w:type="dxa"/>
            <w:vAlign w:val="bottom"/>
          </w:tcPr>
          <w:p>
            <w:pPr>
              <w:ind w:left="80"/>
              <w:spacing w:after="0"/>
              <w:rPr>
                <w:sz w:val="20"/>
                <w:szCs w:val="20"/>
                <w:color w:val="auto"/>
              </w:rPr>
            </w:pPr>
            <w:r>
              <w:rPr>
                <w:rFonts w:ascii="Arial" w:cs="Arial" w:eastAsia="Arial" w:hAnsi="Arial"/>
                <w:sz w:val="13"/>
                <w:szCs w:val="13"/>
                <w:color w:val="auto"/>
                <w:w w:val="96"/>
              </w:rPr>
              <w:t>Represents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shares underlying options to purchase common stock that are exercisable within 60 days of March 31, 2024.</w:t>
            </w:r>
          </w:p>
        </w:tc>
      </w:tr>
      <w:tr>
        <w:trPr>
          <w:trHeight w:val="243"/>
        </w:trPr>
        <w:tc>
          <w:tcPr>
            <w:tcW w:w="340" w:type="dxa"/>
            <w:vAlign w:val="bottom"/>
          </w:tcPr>
          <w:p>
            <w:pPr>
              <w:spacing w:after="0"/>
              <w:rPr>
                <w:sz w:val="20"/>
                <w:szCs w:val="20"/>
                <w:color w:val="auto"/>
              </w:rPr>
            </w:pPr>
            <w:r>
              <w:rPr>
                <w:rFonts w:ascii="Arial" w:cs="Arial" w:eastAsia="Arial" w:hAnsi="Arial"/>
                <w:sz w:val="13"/>
                <w:szCs w:val="13"/>
                <w:color w:val="auto"/>
              </w:rPr>
              <w:t>(11)</w:t>
            </w:r>
          </w:p>
        </w:tc>
        <w:tc>
          <w:tcPr>
            <w:tcW w:w="900" w:type="dxa"/>
            <w:vAlign w:val="bottom"/>
          </w:tcPr>
          <w:p>
            <w:pPr>
              <w:ind w:left="80"/>
              <w:spacing w:after="0"/>
              <w:rPr>
                <w:sz w:val="20"/>
                <w:szCs w:val="20"/>
                <w:color w:val="auto"/>
              </w:rPr>
            </w:pPr>
            <w:r>
              <w:rPr>
                <w:rFonts w:ascii="Arial" w:cs="Arial" w:eastAsia="Arial" w:hAnsi="Arial"/>
                <w:sz w:val="13"/>
                <w:szCs w:val="13"/>
                <w:color w:val="auto"/>
                <w:w w:val="96"/>
              </w:rPr>
              <w:t>Represents  </w:t>
            </w:r>
          </w:p>
        </w:tc>
        <w:tc>
          <w:tcPr>
            <w:tcW w:w="140" w:type="dxa"/>
            <w:vAlign w:val="bottom"/>
          </w:tcPr>
          <w:p>
            <w:pPr>
              <w:ind w:left="60"/>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shares underlying options to purchase common stock that are exercisable within 60 days of March 31, 2024.</w:t>
            </w:r>
          </w:p>
        </w:tc>
      </w:tr>
      <w:tr>
        <w:trPr>
          <w:trHeight w:val="367"/>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0" w:type="dxa"/>
            <w:vAlign w:val="bottom"/>
          </w:tcPr>
          <w:p>
            <w:pPr>
              <w:jc w:val="right"/>
              <w:ind w:right="5265"/>
              <w:spacing w:after="0"/>
              <w:rPr>
                <w:sz w:val="20"/>
                <w:szCs w:val="20"/>
                <w:color w:val="auto"/>
              </w:rPr>
            </w:pPr>
            <w:r>
              <w:rPr>
                <w:rFonts w:ascii="Arial" w:cs="Arial" w:eastAsia="Arial" w:hAnsi="Arial"/>
                <w:sz w:val="18"/>
                <w:szCs w:val="18"/>
                <w:color w:val="auto"/>
              </w:rPr>
              <w:t>176</w:t>
            </w:r>
          </w:p>
        </w:tc>
      </w:tr>
    </w:tbl>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both"/>
        <w:ind w:left="540" w:right="80" w:hanging="424"/>
        <w:spacing w:after="0" w:line="259" w:lineRule="auto"/>
        <w:tabs>
          <w:tab w:leader="none" w:pos="5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Represents        shares. Dr. Tong, a member of our board of directors, is a partner of Third Rock Ventures, an affiliate of Third Rock Ventures IV, L.P. Dr. Tong does not have voting or dispositive power over the shares held by Third Rock Ventures IV, L.P. and Third Rock Ventures V, L.P. See note (16) below for more information regarding Third Rock Ventures IV, L.P.</w:t>
      </w:r>
    </w:p>
    <w:p>
      <w:pPr>
        <w:spacing w:after="0" w:line="42" w:lineRule="exact"/>
        <w:rPr>
          <w:rFonts w:ascii="Arial" w:cs="Arial" w:eastAsia="Arial" w:hAnsi="Arial"/>
          <w:sz w:val="13"/>
          <w:szCs w:val="13"/>
          <w:color w:val="auto"/>
        </w:rPr>
      </w:pPr>
    </w:p>
    <w:p>
      <w:pPr>
        <w:ind w:left="540" w:right="280" w:hanging="424"/>
        <w:spacing w:after="0" w:line="281" w:lineRule="auto"/>
        <w:tabs>
          <w:tab w:leader="none" w:pos="5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Represents        shares. Mr. Tran, a member of our board of directors, is a principal at Matrix Capital Management LP. Mr. Tran does not have voting or dispositive power over the shares held by Matrix Capital Management Master Fund, L.P. See note (17) below for more information regarding Matrix Capital Management Master Fund, L.P.</w:t>
      </w:r>
    </w:p>
    <w:p>
      <w:pPr>
        <w:spacing w:after="0" w:line="27" w:lineRule="exact"/>
        <w:rPr>
          <w:rFonts w:ascii="Arial" w:cs="Arial" w:eastAsia="Arial" w:hAnsi="Arial"/>
          <w:sz w:val="13"/>
          <w:szCs w:val="13"/>
          <w:color w:val="auto"/>
        </w:rPr>
      </w:pPr>
    </w:p>
    <w:p>
      <w:pPr>
        <w:ind w:left="540" w:hanging="424"/>
        <w:spacing w:after="0" w:line="244" w:lineRule="auto"/>
        <w:tabs>
          <w:tab w:leader="none" w:pos="5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Represents        shares held of record by ARCH Venture Fund X, L.P., or ARCH X, and shares held of record by ARCH Venture Fund X Overage, L.P., or ARCH X Overage. ARCH Venture Partners X, L.P., or AVP X LP, is the sole general partner of ARCH X. ARCH Venture Partners X Overage, L.P., or AVP X Overage LP, is the sole general partner of ARCH X Overage. ARCH Venture Partners X, LLC, or AVP X LLC, is the sole general partner of each of AVP X LP and AVP X Overage LP. Keith Crandell, Kristina Burow, Steven Gillis, and Robert Nelsen, collectively the AVP X Committee Members, comprise the investment committee of AVP X LLC. AVP X LP and AVP X Overage LP may be deemed to beneficially own the shares held by ARCH X and ARCH X Overage, respectively, AVP X LLC may be deemed to beneficially own the shares held by ARCH X and ARCH X Overage, and each of the AVP X Committee Members may be deemed to share the power to direct the disposition and vote of the shares held by ARCH X and ARCH X Overage. Each of AVP X LP, AVP X Overage LP, AVP X LLC, and the AVP X Committee Members disclaims beneficial ownership except to any pecuniary interest therein. The address of the ARCH Venture Partners entities is 8755 W. Higgins Road, Suite 1025, Chicago, IL 60631.</w:t>
      </w: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0" w:type="dxa"/>
            <w:vAlign w:val="bottom"/>
          </w:tcPr>
          <w:p>
            <w:pPr>
              <w:jc w:val="right"/>
              <w:ind w:right="33"/>
              <w:spacing w:after="0"/>
              <w:rPr>
                <w:sz w:val="20"/>
                <w:szCs w:val="20"/>
                <w:color w:val="auto"/>
              </w:rPr>
            </w:pPr>
            <w:r>
              <w:rPr>
                <w:rFonts w:ascii="Arial" w:cs="Arial" w:eastAsia="Arial" w:hAnsi="Arial"/>
                <w:sz w:val="13"/>
                <w:szCs w:val="13"/>
                <w:color w:val="auto"/>
                <w:w w:val="94"/>
              </w:rPr>
              <w:t>(15)</w:t>
            </w:r>
          </w:p>
        </w:tc>
        <w:tc>
          <w:tcPr>
            <w:tcW w:w="1280" w:type="dxa"/>
            <w:vAlign w:val="bottom"/>
          </w:tcPr>
          <w:p>
            <w:pPr>
              <w:ind w:left="80"/>
              <w:spacing w:after="0"/>
              <w:rPr>
                <w:sz w:val="20"/>
                <w:szCs w:val="20"/>
                <w:color w:val="auto"/>
              </w:rPr>
            </w:pPr>
            <w:r>
              <w:rPr>
                <w:rFonts w:ascii="Arial" w:cs="Arial" w:eastAsia="Arial" w:hAnsi="Arial"/>
                <w:sz w:val="13"/>
                <w:szCs w:val="13"/>
                <w:color w:val="auto"/>
              </w:rPr>
              <w:t xml:space="preserve">Represents          </w:t>
            </w:r>
          </w:p>
        </w:tc>
        <w:tc>
          <w:tcPr>
            <w:tcW w:w="9380" w:type="dxa"/>
            <w:vAlign w:val="bottom"/>
          </w:tcPr>
          <w:p>
            <w:pPr>
              <w:ind w:left="80"/>
              <w:spacing w:after="0"/>
              <w:rPr>
                <w:sz w:val="20"/>
                <w:szCs w:val="20"/>
                <w:color w:val="auto"/>
              </w:rPr>
            </w:pPr>
            <w:r>
              <w:rPr>
                <w:rFonts w:ascii="Arial" w:cs="Arial" w:eastAsia="Arial" w:hAnsi="Arial"/>
                <w:sz w:val="13"/>
                <w:szCs w:val="13"/>
                <w:color w:val="auto"/>
              </w:rPr>
              <w:t>shares held of record by GV 2019, L.P. and            shares held of record by GV 2023, L.P. GV 2019 GP, L.P. (the general partner of GV 2019, L.P.), GV</w:t>
            </w:r>
          </w:p>
        </w:tc>
      </w:tr>
      <w:tr>
        <w:trPr>
          <w:trHeight w:val="148"/>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2019 GP, L.L.C. (the general partner of GV 2019 GP, L.P.), Alphabet Holdings LLC (the sole member of GV 2019 GP, L.L.C.), XXVI Holdings Inc. (the sole member of Alphabet</w:t>
            </w:r>
          </w:p>
        </w:tc>
      </w:tr>
      <w:tr>
        <w:trPr>
          <w:trHeight w:val="148"/>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Holdings LLC), and Alphabet Inc. (the controlling stockholder of XXVI Holdings Inc.) may be deemed to share power to vote or dispose of the shares held directly by GV 2019,</w:t>
            </w:r>
          </w:p>
        </w:tc>
      </w:tr>
      <w:tr>
        <w:trPr>
          <w:trHeight w:val="148"/>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L.P. GV 2023 GP, L.P. (the general partner of GV 2023, L.P.), GV 2023 GP, L.L.C., (the general partner of GV 2023 GP, L.P.), Alphabet Holdings LLC (the sole member of GV</w:t>
            </w:r>
          </w:p>
        </w:tc>
      </w:tr>
      <w:tr>
        <w:trPr>
          <w:trHeight w:val="148"/>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2023 GP, L.L.C.), XXVI Holdings Inc. (the sole member of Alphabet Holdings LLC), and Alphabet Inc. (the controlling stockholder of XXVI Holdings Inc.) may be deemed to share</w:t>
            </w:r>
          </w:p>
        </w:tc>
      </w:tr>
      <w:tr>
        <w:trPr>
          <w:trHeight w:val="149"/>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power to vote or dispose of the shares held directly by GV 2023, L.P. The principal business address of each of the entities listed above is 1600 Amphitheatre Parkway, Mountain</w:t>
            </w:r>
          </w:p>
        </w:tc>
      </w:tr>
      <w:tr>
        <w:trPr>
          <w:trHeight w:val="176"/>
        </w:trPr>
        <w:tc>
          <w:tcPr>
            <w:tcW w:w="340" w:type="dxa"/>
            <w:vAlign w:val="bottom"/>
          </w:tcPr>
          <w:p>
            <w:pPr>
              <w:spacing w:after="0"/>
              <w:rPr>
                <w:sz w:val="15"/>
                <w:szCs w:val="15"/>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View, California 94043.</w:t>
            </w:r>
          </w:p>
        </w:tc>
      </w:tr>
      <w:tr>
        <w:trPr>
          <w:trHeight w:val="202"/>
        </w:trPr>
        <w:tc>
          <w:tcPr>
            <w:tcW w:w="340" w:type="dxa"/>
            <w:vAlign w:val="bottom"/>
          </w:tcPr>
          <w:p>
            <w:pPr>
              <w:jc w:val="right"/>
              <w:ind w:right="33"/>
              <w:spacing w:after="0"/>
              <w:rPr>
                <w:sz w:val="20"/>
                <w:szCs w:val="20"/>
                <w:color w:val="auto"/>
              </w:rPr>
            </w:pPr>
            <w:r>
              <w:rPr>
                <w:rFonts w:ascii="Arial" w:cs="Arial" w:eastAsia="Arial" w:hAnsi="Arial"/>
                <w:sz w:val="13"/>
                <w:szCs w:val="13"/>
                <w:color w:val="auto"/>
                <w:w w:val="94"/>
              </w:rPr>
              <w:t>(16)</w:t>
            </w:r>
          </w:p>
        </w:tc>
        <w:tc>
          <w:tcPr>
            <w:tcW w:w="1280" w:type="dxa"/>
            <w:vAlign w:val="bottom"/>
          </w:tcPr>
          <w:p>
            <w:pPr>
              <w:ind w:left="80"/>
              <w:spacing w:after="0"/>
              <w:rPr>
                <w:sz w:val="20"/>
                <w:szCs w:val="20"/>
                <w:color w:val="auto"/>
              </w:rPr>
            </w:pPr>
            <w:r>
              <w:rPr>
                <w:rFonts w:ascii="Arial" w:cs="Arial" w:eastAsia="Arial" w:hAnsi="Arial"/>
                <w:sz w:val="13"/>
                <w:szCs w:val="13"/>
                <w:color w:val="auto"/>
              </w:rPr>
              <w:t xml:space="preserve">Represents          </w:t>
            </w:r>
          </w:p>
        </w:tc>
        <w:tc>
          <w:tcPr>
            <w:tcW w:w="9380" w:type="dxa"/>
            <w:vAlign w:val="bottom"/>
          </w:tcPr>
          <w:p>
            <w:pPr>
              <w:ind w:left="80"/>
              <w:spacing w:after="0"/>
              <w:rPr>
                <w:sz w:val="20"/>
                <w:szCs w:val="20"/>
                <w:color w:val="auto"/>
              </w:rPr>
            </w:pPr>
            <w:r>
              <w:rPr>
                <w:rFonts w:ascii="Arial" w:cs="Arial" w:eastAsia="Arial" w:hAnsi="Arial"/>
                <w:sz w:val="13"/>
                <w:szCs w:val="13"/>
                <w:color w:val="auto"/>
              </w:rPr>
              <w:t>shares held of record by Third Rock Ventures IV, L.P. and            shares held of record by Third Rock Ventures V, L.P. The general partner of Third Rock</w:t>
            </w:r>
          </w:p>
        </w:tc>
      </w:tr>
      <w:tr>
        <w:trPr>
          <w:trHeight w:val="148"/>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Ventures IV, L.P. is Third Rock Ventures GP IV, L.P. The general partner of Third Rock Ventures GP IV, L.P. is TRV GP IV, LLC. Neil Exter, Kevin Gillis, Reid Huber, Ph.D., Jeffrey</w:t>
            </w:r>
          </w:p>
        </w:tc>
      </w:tr>
      <w:tr>
        <w:trPr>
          <w:trHeight w:val="149"/>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Tong, Ph.D., Abbie Celniker, Ph.D., Robert Tepper, M.D. and Cary Pfeffer, M.D. are the managing members of TRV GP IV, LLC who collectively make voting and investment</w:t>
            </w:r>
          </w:p>
        </w:tc>
      </w:tr>
      <w:tr>
        <w:trPr>
          <w:trHeight w:val="148"/>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decisions with respect to shares held by Third Rock Ventures IV, L.P. The general partner of Third Rock Ventures V, L.P. is Third Rock Ventures GP V, L.P. The general partner of</w:t>
            </w:r>
          </w:p>
        </w:tc>
      </w:tr>
      <w:tr>
        <w:trPr>
          <w:trHeight w:val="148"/>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Third Rock Ventures GP V, L.P. is TRV GP V, LLC. Neil Exter, Kevin Gillis, Reid Huber, Ph.D., Jeffrey Tong, Ph.D., Abbie Celniker, Ph.D., Robert Tepper, M.D. and Cary Pfeffer,</w:t>
            </w:r>
          </w:p>
        </w:tc>
      </w:tr>
      <w:tr>
        <w:trPr>
          <w:trHeight w:val="148"/>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M.D. are the managing members of TRV GP V, LLC who collectively make voting and investment decisions with respect to shares held by Third Rock Ventures V, L.P.</w:t>
            </w:r>
          </w:p>
        </w:tc>
      </w:tr>
      <w:tr>
        <w:trPr>
          <w:trHeight w:val="148"/>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Dr. Homcy, chair of our board of directors, was a partner of Third Rock Ventures, LLC, an affiliate of Third Rock Ventures IV, L.P. and Third Rock Ventures V, L.P., until October</w:t>
            </w:r>
          </w:p>
        </w:tc>
      </w:tr>
      <w:tr>
        <w:trPr>
          <w:trHeight w:val="148"/>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2019 and now serves in an advisory capacity. Dr. Tong, a member of our board of directors, is a partner of Third Rock Ventures, LLC. Neither Dr. Homcy nor Dr. Tong has voting</w:t>
            </w:r>
          </w:p>
        </w:tc>
      </w:tr>
      <w:tr>
        <w:trPr>
          <w:trHeight w:val="149"/>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or dispositive power over the shares held by Third Rock Ventures IV, L.P. and Third Rock Ventures V, L.P. The address for each of Third Rock Ventures IV, L.P. and Third Rock</w:t>
            </w:r>
          </w:p>
        </w:tc>
      </w:tr>
      <w:tr>
        <w:trPr>
          <w:trHeight w:val="176"/>
        </w:trPr>
        <w:tc>
          <w:tcPr>
            <w:tcW w:w="340" w:type="dxa"/>
            <w:vAlign w:val="bottom"/>
          </w:tcPr>
          <w:p>
            <w:pPr>
              <w:spacing w:after="0"/>
              <w:rPr>
                <w:sz w:val="15"/>
                <w:szCs w:val="15"/>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Ventures V, L.P. is 201 Brookline Avenue, Suite 1401, Boston, MA 02215.</w:t>
            </w:r>
          </w:p>
        </w:tc>
      </w:tr>
      <w:tr>
        <w:trPr>
          <w:trHeight w:val="202"/>
        </w:trPr>
        <w:tc>
          <w:tcPr>
            <w:tcW w:w="340" w:type="dxa"/>
            <w:vAlign w:val="bottom"/>
          </w:tcPr>
          <w:p>
            <w:pPr>
              <w:jc w:val="right"/>
              <w:ind w:right="33"/>
              <w:spacing w:after="0"/>
              <w:rPr>
                <w:sz w:val="20"/>
                <w:szCs w:val="20"/>
                <w:color w:val="auto"/>
              </w:rPr>
            </w:pPr>
            <w:r>
              <w:rPr>
                <w:rFonts w:ascii="Arial" w:cs="Arial" w:eastAsia="Arial" w:hAnsi="Arial"/>
                <w:sz w:val="13"/>
                <w:szCs w:val="13"/>
                <w:color w:val="auto"/>
                <w:w w:val="94"/>
              </w:rPr>
              <w:t>(17)</w:t>
            </w:r>
          </w:p>
        </w:tc>
        <w:tc>
          <w:tcPr>
            <w:tcW w:w="1280" w:type="dxa"/>
            <w:vAlign w:val="bottom"/>
          </w:tcPr>
          <w:p>
            <w:pPr>
              <w:ind w:left="80"/>
              <w:spacing w:after="0"/>
              <w:rPr>
                <w:sz w:val="20"/>
                <w:szCs w:val="20"/>
                <w:color w:val="auto"/>
              </w:rPr>
            </w:pPr>
            <w:r>
              <w:rPr>
                <w:rFonts w:ascii="Arial" w:cs="Arial" w:eastAsia="Arial" w:hAnsi="Arial"/>
                <w:sz w:val="13"/>
                <w:szCs w:val="13"/>
                <w:color w:val="auto"/>
              </w:rPr>
              <w:t xml:space="preserve">Represents          </w:t>
            </w:r>
          </w:p>
        </w:tc>
        <w:tc>
          <w:tcPr>
            <w:tcW w:w="9380" w:type="dxa"/>
            <w:vAlign w:val="bottom"/>
          </w:tcPr>
          <w:p>
            <w:pPr>
              <w:ind w:left="80"/>
              <w:spacing w:after="0"/>
              <w:rPr>
                <w:sz w:val="20"/>
                <w:szCs w:val="20"/>
                <w:color w:val="auto"/>
              </w:rPr>
            </w:pPr>
            <w:r>
              <w:rPr>
                <w:rFonts w:ascii="Arial" w:cs="Arial" w:eastAsia="Arial" w:hAnsi="Arial"/>
                <w:sz w:val="13"/>
                <w:szCs w:val="13"/>
                <w:color w:val="auto"/>
              </w:rPr>
              <w:t>shares held directly by Matrix Capital Management Master Fund, LP, or the Matrix Fund. Matrix Capital Management Company LP, or the Investment</w:t>
            </w:r>
          </w:p>
        </w:tc>
      </w:tr>
      <w:tr>
        <w:trPr>
          <w:trHeight w:val="148"/>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Manager, a Delaware limited partnership, serves as the investment advisor to the Matrix Fund with respect to the shares directly held by the Matrix Fund. David E. Goel serves</w:t>
            </w:r>
          </w:p>
        </w:tc>
      </w:tr>
      <w:tr>
        <w:trPr>
          <w:trHeight w:val="149"/>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as the Managing General Partner of the Investment Manager, and may be deemed to hold voting and dispositive power with respect to the shares directly held by the Matrix</w:t>
            </w:r>
          </w:p>
        </w:tc>
      </w:tr>
      <w:tr>
        <w:trPr>
          <w:trHeight w:val="148"/>
        </w:trPr>
        <w:tc>
          <w:tcPr>
            <w:tcW w:w="340" w:type="dxa"/>
            <w:vAlign w:val="bottom"/>
          </w:tcPr>
          <w:p>
            <w:pPr>
              <w:spacing w:after="0"/>
              <w:rPr>
                <w:sz w:val="12"/>
                <w:szCs w:val="12"/>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Fund. The business address for each of the Matrix Fund, the Investment Manager and Mr. Goel is c/o Matrix Capital Management Company LP, Bay Colony Corporate Center,</w:t>
            </w:r>
          </w:p>
        </w:tc>
      </w:tr>
      <w:tr>
        <w:trPr>
          <w:trHeight w:val="176"/>
        </w:trPr>
        <w:tc>
          <w:tcPr>
            <w:tcW w:w="340" w:type="dxa"/>
            <w:vAlign w:val="bottom"/>
          </w:tcPr>
          <w:p>
            <w:pPr>
              <w:spacing w:after="0"/>
              <w:rPr>
                <w:sz w:val="15"/>
                <w:szCs w:val="15"/>
                <w:color w:val="auto"/>
              </w:rPr>
            </w:pPr>
          </w:p>
        </w:tc>
        <w:tc>
          <w:tcPr>
            <w:tcW w:w="10660" w:type="dxa"/>
            <w:vAlign w:val="bottom"/>
            <w:gridSpan w:val="2"/>
          </w:tcPr>
          <w:p>
            <w:pPr>
              <w:ind w:left="80"/>
              <w:spacing w:after="0"/>
              <w:rPr>
                <w:sz w:val="20"/>
                <w:szCs w:val="20"/>
                <w:color w:val="auto"/>
              </w:rPr>
            </w:pPr>
            <w:r>
              <w:rPr>
                <w:rFonts w:ascii="Arial" w:cs="Arial" w:eastAsia="Arial" w:hAnsi="Arial"/>
                <w:sz w:val="13"/>
                <w:szCs w:val="13"/>
                <w:color w:val="auto"/>
              </w:rPr>
              <w:t>1000 Winter Street, Suite 4500, Waltham, Massachusetts 02451.</w:t>
            </w:r>
          </w:p>
        </w:tc>
      </w:tr>
      <w:tr>
        <w:trPr>
          <w:trHeight w:val="353"/>
        </w:trPr>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380" w:type="dxa"/>
            <w:vAlign w:val="bottom"/>
          </w:tcPr>
          <w:p>
            <w:pPr>
              <w:jc w:val="right"/>
              <w:ind w:right="5267"/>
              <w:spacing w:after="0"/>
              <w:rPr>
                <w:sz w:val="20"/>
                <w:szCs w:val="20"/>
                <w:color w:val="auto"/>
              </w:rPr>
            </w:pPr>
            <w:r>
              <w:rPr>
                <w:rFonts w:ascii="Arial" w:cs="Arial" w:eastAsia="Arial" w:hAnsi="Arial"/>
                <w:sz w:val="18"/>
                <w:szCs w:val="18"/>
                <w:color w:val="auto"/>
              </w:rPr>
              <w:t>177</w:t>
            </w:r>
          </w:p>
        </w:tc>
      </w:tr>
    </w:tbl>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Description of capital stock</w:t>
      </w:r>
    </w:p>
    <w:p>
      <w:pPr>
        <w:spacing w:after="0" w:line="170"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i w:val="1"/>
          <w:iCs w:val="1"/>
          <w:color w:val="auto"/>
        </w:rPr>
        <w:t>The following description summarizes the most important terms of our capital stock, as will be in effect following this offering. Because it is only a summary, it does not contain all the information that may be important to you. We expect to adopt a restated certificate of incorporation and restated bylaws that will become effective upon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w:t>
      </w:r>
    </w:p>
    <w:p>
      <w:pPr>
        <w:spacing w:after="0" w:line="148"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Upon the completion of this offering, our authorized capital stock will consist of        shares of our common stock, $0.001 par value per share, and        shares of our undesignated preferred stock, $0.001 par value per share.</w:t>
      </w:r>
    </w:p>
    <w:p>
      <w:pPr>
        <w:spacing w:after="0" w:line="8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Pursuant to the provisions of our current certificate of incorporation, all of our Series A Preferred Stock, Series B Preferred Stock and Series C Preferred Stock will automatically convert into common stock in connection with the completion of this offering. Our Series A Preferred Stock will convert at a ratio of        , our Series B Preferred Stock will convert at a ratio of        , our Series C Preferred Stock will convert at a ratio of         and our outstanding convertible promissory notes will convert automatically into an amount of common stock equal to (i) the sum of (a) all then outstanding principal amount of convertible promissory notes, (b) all then accrued but unpaid interest and (c) all other amounts (including fees and expenses) then accrued but unpaid under the-then principal amount of convertible promissory notes outstanding multiplied by (ii) 80% of the price per share to the public of the shares of common stock issued in the initial public offering. Assuming the effectiveness of this conversion, there were        shares of our common stock issued, held by approximately        stockholders of record, and no shares of our redeemable convertible preferred stock outstanding. Our board of directors is authorized, without stockholder approval, to issue additional shares of our capital stock.</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Common stock</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29"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entitled “Dividend policy” for additional information.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9"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which means that holders of a majority of the shares of our common stock will be able to elect all of our directors. Our restated certificate of incorporation will establish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42"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our of preferred stock.</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Preferred stock</w:t>
      </w:r>
    </w:p>
    <w:p>
      <w:pPr>
        <w:spacing w:after="0" w:line="148"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After the completion of this offering, no shares of our preferred stock will be outstanding. Pursuant to our restated certificate of incorporation that will become effective immediately prior to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will also be able to increase or decrease the number of shares of any series of preferred stock, but not below the number of shares of that series then outstanding and not above the number of shares of that series authorized,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 options</w:t>
      </w:r>
    </w:p>
    <w:p>
      <w:pPr>
        <w:spacing w:after="0" w:line="148"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As of March 31, 2024, we had outstanding options to purchase an aggregate of         shares of our common stock, with a weighted-average exercise price of $        per share under our 2019 Plan.</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4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Pursuant to the terms of the IRA, immediately following this offering, the holders of        shares of our common stock will be entitled to rights with respect to the registration of these shares under the Securities Act as described below. We refer to these shares collectively as registrable securities.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Beginning from the earlier of December 8, 2026 or six months after the completion of this offering, certain holders of not less than 25% of the then-outstanding registrable securities may make a request to us for the registration under the Securities Act of at least 25% of the registrable securities then outstanding if the anticipated aggregate offering price is at least $60.0 million. Within ten days after the date such request is given, we are obligated to provide notice of such request to all holders of registrable securities and, as soon as practicable and in any event within 60 days after the date such request is given, to file a Form S-1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120 days, if after receiving a request for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80"/>
          </w:cols>
          <w:pgMar w:left="320" w:top="455"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color w:val="auto"/>
        </w:rPr>
        <w:t xml:space="preserve">registration, we furnish to the holders requesting such registration a certificate signed by our Chief Executive Officer stating that, in the good faith judgment of our board of directors, it would be materially detrimental to us and our stockholders;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we may not register any securities for our own account or that of any other stockholder during such 120-day period other than under certain circumstances.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29"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 xml:space="preserve">Certain holders of at least 10% of the then-outstanding registrable securities can request that we register all or part of their registrable shares on Form S-3 if we are eligible to file a registration statement on Form S-3 and if the aggregate price to the public of the shares offered, net of selling expenses, is at least $30.0 million. Within ten days after such request is given, we are obligated to provide notice of such request to all holders of registrable securities and as soon as practicable and in any event within 45 days, file a Form S-3 registration statement, covering all registrable securities that the initiating holders requested to be registered and any additional registrable securities requested to be included in such registration by any other holders. We are only required to file two registration statements on Form S-3 that are declared effective in a 12-month period. We may postpone taking action with respect to such filing not more than once during any 12-month period for a period of not more than 120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we may not register any securities for our own account or that of any other stockholder during such 120-day period other than under certain circumstances.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9"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If we register any of our securities for public sale, holders of then-outstanding registrable securities or their permitted transferees will have the right to include their registrable securities in the registration statement. However, this right does not apply to a registration related to any employee benefit plan or a corporate reorganization or other transaction covered by Rule 145 promulgated under the Securities Act or a registration on any form that does not include substantially the same information as would be required to be included in a registration statement covering the sale the registrable securities. The underwriters of any underwritten offering will have the right to limit the number of shares registered by these holders if they determine that marketing factors require limitation, in which case the number of shares to be registered will be apportioned pro rata among these holders, according to the total number of registrable securities originally requested by such holders to be included in the registration statement. However, the number of shares to be registered by these holders cannot be reduced unless all other securities (other than those sold by us) are entirely excluded first, and thereafter, that amount can only be reduced to 30% of the total number of securities to be included in such offering.</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We will pay all expenses, other than underwriting discounts and selling commissions incurred in connection with each of the registrations described above, including the reasonable fees and disbursements of counsel (except for the fees and disbursements of one counsel selected by the holders of a majority in interest of the registrable securities and paid for by us),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registrations described above are not subsequently withdrawn at the request of the holders of a majority in interest of the registrable securities (in which case all selling holders shall bear such expenses pro rata based upon the number of registrable securities that were to be included in the withdrawn registration) unless the holders of a majority of the registrable securities agree to forfeit their right to a registration as described above.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42"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earliest to occur of (i) the closing of a deemed liquidation event, as defined in our restated certificate of incorporation, (ii) such time after this offering as the registrable securities held by such holder may be sold within any three-month period without restriction pursuant to Rule 144 or a similar exemption under the Securities Act or (iii) the fifth anniversary of this offering.</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42"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The provisions of the DGCL, our restated certificate of incorporation and our restated bylaws, as we expect they will be in effect upon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4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101" w:lineRule="exact"/>
        <w:rPr>
          <w:sz w:val="20"/>
          <w:szCs w:val="20"/>
          <w:color w:val="auto"/>
        </w:rPr>
      </w:pPr>
    </w:p>
    <w:p>
      <w:pPr>
        <w:ind w:left="340" w:hanging="224"/>
        <w:spacing w:after="0" w:line="271"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86" w:lineRule="exact"/>
        <w:rPr>
          <w:rFonts w:ascii="Arial" w:cs="Arial" w:eastAsia="Arial" w:hAnsi="Arial"/>
          <w:sz w:val="18"/>
          <w:szCs w:val="18"/>
          <w:color w:val="auto"/>
        </w:rPr>
      </w:pPr>
    </w:p>
    <w:p>
      <w:pPr>
        <w:ind w:left="340" w:right="60" w:hanging="224"/>
        <w:spacing w:after="0" w:line="244"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executive officers and (ii) shares owned by employee stock plans in which employee participants do not have the right to determine confidentially whether shares held subject to the plan will be tendered in a tender or exchange offer; or</w:t>
      </w:r>
    </w:p>
    <w:p>
      <w:pPr>
        <w:spacing w:after="0" w:line="108" w:lineRule="exact"/>
        <w:rPr>
          <w:rFonts w:ascii="Arial" w:cs="Arial" w:eastAsia="Arial" w:hAnsi="Arial"/>
          <w:sz w:val="18"/>
          <w:szCs w:val="18"/>
          <w:color w:val="auto"/>
        </w:rPr>
      </w:pPr>
    </w:p>
    <w:p>
      <w:pPr>
        <w:ind w:left="340" w:right="60" w:hanging="224"/>
        <w:spacing w:after="0" w:line="253"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0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42"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Our restated certificate of incorporation and our restated bylaws, as we expect they will be in effect upon the completion of this offering, include a number of provisions that could deter hostile takeovers or delay or prevent changes in control of our company, including the following:</w:t>
      </w:r>
    </w:p>
    <w:p>
      <w:pPr>
        <w:spacing w:after="0" w:line="101" w:lineRule="exact"/>
        <w:rPr>
          <w:sz w:val="20"/>
          <w:szCs w:val="20"/>
          <w:color w:val="auto"/>
        </w:rPr>
      </w:pPr>
    </w:p>
    <w:p>
      <w:pPr>
        <w:ind w:left="340" w:right="80" w:hanging="224"/>
        <w:spacing w:after="0" w:line="242"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xml:space="preserve">  Our restated certificate of incorporation and restated bylaws will authorize only our board of directors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11" w:lineRule="exact"/>
        <w:rPr>
          <w:rFonts w:ascii="Arial" w:cs="Arial" w:eastAsia="Arial" w:hAnsi="Arial"/>
          <w:sz w:val="18"/>
          <w:szCs w:val="18"/>
          <w:color w:val="auto"/>
        </w:rPr>
      </w:pPr>
    </w:p>
    <w:p>
      <w:pPr>
        <w:ind w:left="340" w:right="120" w:hanging="224"/>
        <w:spacing w:after="0" w:line="24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xml:space="preserve">  Our restated certificate of incorporation and restated bylaws will provide that our board of directors is classified into</w:t>
      </w:r>
      <w:r>
        <w:rPr>
          <w:rFonts w:ascii="Arial" w:cs="Arial" w:eastAsia="Arial" w:hAnsi="Arial"/>
          <w:sz w:val="18"/>
          <w:szCs w:val="18"/>
          <w:i w:val="1"/>
          <w:iCs w:val="1"/>
          <w:color w:val="auto"/>
        </w:rPr>
        <w:t xml:space="preserve"> </w:t>
      </w:r>
      <w:r>
        <w:rPr>
          <w:rFonts w:ascii="Arial" w:cs="Arial" w:eastAsia="Arial" w:hAnsi="Arial"/>
          <w:sz w:val="18"/>
          <w:szCs w:val="18"/>
          <w:color w:val="auto"/>
        </w:rPr>
        <w:t>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the section entitled “Management—Board composition” for additional information.</w:t>
      </w:r>
    </w:p>
    <w:p>
      <w:pPr>
        <w:spacing w:after="0" w:line="106" w:lineRule="exact"/>
        <w:rPr>
          <w:rFonts w:ascii="Arial" w:cs="Arial" w:eastAsia="Arial" w:hAnsi="Arial"/>
          <w:sz w:val="18"/>
          <w:szCs w:val="18"/>
          <w:color w:val="auto"/>
        </w:rPr>
      </w:pPr>
    </w:p>
    <w:p>
      <w:pPr>
        <w:ind w:left="340" w:hanging="224"/>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meetings of stockholders.</w:t>
      </w:r>
      <w:r>
        <w:rPr>
          <w:rFonts w:ascii="Arial" w:cs="Arial" w:eastAsia="Arial" w:hAnsi="Arial"/>
          <w:sz w:val="18"/>
          <w:szCs w:val="18"/>
          <w:color w:val="auto"/>
        </w:rPr>
        <w:t xml:space="preserve">  Our restated certificate of incorporation will provide that our stockholders may</w:t>
      </w:r>
      <w:r>
        <w:rPr>
          <w:rFonts w:ascii="Arial" w:cs="Arial" w:eastAsia="Arial" w:hAnsi="Arial"/>
          <w:sz w:val="18"/>
          <w:szCs w:val="18"/>
          <w:i w:val="1"/>
          <w:iCs w:val="1"/>
          <w:color w:val="auto"/>
        </w:rPr>
        <w:t xml:space="preserve"> </w:t>
      </w:r>
      <w:r>
        <w:rPr>
          <w:rFonts w:ascii="Arial" w:cs="Arial" w:eastAsia="Arial" w:hAnsi="Arial"/>
          <w:sz w:val="18"/>
          <w:szCs w:val="18"/>
          <w:color w:val="auto"/>
        </w:rPr>
        <w:t>not 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certificate of incorporation and restated bylaws will provide that special meetings of our stockholders may be called only by a majority of our board of directors, the chairperson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12" w:lineRule="exact"/>
        <w:rPr>
          <w:rFonts w:ascii="Arial" w:cs="Arial" w:eastAsia="Arial" w:hAnsi="Arial"/>
          <w:sz w:val="18"/>
          <w:szCs w:val="18"/>
          <w:color w:val="auto"/>
        </w:rPr>
      </w:pPr>
    </w:p>
    <w:p>
      <w:pPr>
        <w:ind w:left="340" w:hanging="224"/>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xml:space="preserve">  Our restated bylaws will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17" w:lineRule="exact"/>
        <w:rPr>
          <w:rFonts w:ascii="Arial" w:cs="Arial" w:eastAsia="Arial" w:hAnsi="Arial"/>
          <w:sz w:val="18"/>
          <w:szCs w:val="18"/>
          <w:color w:val="auto"/>
        </w:rPr>
      </w:pPr>
    </w:p>
    <w:p>
      <w:pPr>
        <w:jc w:val="both"/>
        <w:ind w:left="340" w:right="160" w:hanging="224"/>
        <w:spacing w:after="0" w:line="253"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xml:space="preserve">  The DGCL provides that stockholders are not entitled to the right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restated certificate of incorporation and restated bylaws will not provide for cumulative voting.</w:t>
      </w:r>
    </w:p>
    <w:p>
      <w:pPr>
        <w:spacing w:after="0" w:line="101"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xml:space="preserve">  Our restated certificate of incorporation will provide that stockholders may remove directors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and only by the affirmative vote of the holders of at least two-thirds of our outstanding common stock.</w:t>
      </w:r>
    </w:p>
    <w:p>
      <w:pPr>
        <w:spacing w:after="0" w:line="86" w:lineRule="exact"/>
        <w:rPr>
          <w:rFonts w:ascii="Arial" w:cs="Arial" w:eastAsia="Arial" w:hAnsi="Arial"/>
          <w:sz w:val="18"/>
          <w:szCs w:val="18"/>
          <w:color w:val="auto"/>
        </w:rPr>
      </w:pPr>
    </w:p>
    <w:p>
      <w:pPr>
        <w:ind w:left="340" w:right="300" w:hanging="224"/>
        <w:spacing w:after="0" w:line="271"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Amendment of charter provisions.</w:t>
      </w:r>
      <w:r>
        <w:rPr>
          <w:rFonts w:ascii="Arial" w:cs="Arial" w:eastAsia="Arial" w:hAnsi="Arial"/>
          <w:sz w:val="18"/>
          <w:szCs w:val="18"/>
          <w:color w:val="auto"/>
        </w:rPr>
        <w:t xml:space="preserve">  Any amendment of the above expected provisions in our restated certificate of incorporation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approval by the holders of at least two-thirds of our outstanding</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220"/>
        <w:spacing w:after="0" w:line="271" w:lineRule="auto"/>
        <w:rPr>
          <w:sz w:val="20"/>
          <w:szCs w:val="20"/>
          <w:color w:val="auto"/>
        </w:rPr>
      </w:pPr>
      <w:r>
        <w:rPr>
          <w:rFonts w:ascii="Arial" w:cs="Arial" w:eastAsia="Arial" w:hAnsi="Arial"/>
          <w:sz w:val="18"/>
          <w:szCs w:val="18"/>
          <w:color w:val="auto"/>
        </w:rPr>
        <w:t>common stock , unless such amendments are approved by two thirds of our entire board of directors, in which case stockholders can approve by a simple majority.</w:t>
      </w:r>
    </w:p>
    <w:p>
      <w:pPr>
        <w:spacing w:after="0" w:line="86" w:lineRule="exact"/>
        <w:rPr>
          <w:sz w:val="20"/>
          <w:szCs w:val="20"/>
          <w:color w:val="auto"/>
        </w:rPr>
      </w:pPr>
    </w:p>
    <w:p>
      <w:pPr>
        <w:ind w:left="340" w:right="40" w:hanging="224"/>
        <w:spacing w:after="0" w:line="24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xml:space="preserve">  Our board of directors has the authority, without further action by the stockholders,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up to 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106" w:lineRule="exact"/>
        <w:rPr>
          <w:rFonts w:ascii="Arial" w:cs="Arial" w:eastAsia="Arial" w:hAnsi="Arial"/>
          <w:sz w:val="18"/>
          <w:szCs w:val="18"/>
          <w:color w:val="auto"/>
        </w:rPr>
      </w:pPr>
    </w:p>
    <w:p>
      <w:pPr>
        <w:ind w:left="340" w:hanging="224"/>
        <w:spacing w:after="0" w:line="236"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Choice of forum.</w:t>
      </w:r>
      <w:r>
        <w:rPr>
          <w:rFonts w:ascii="Arial" w:cs="Arial" w:eastAsia="Arial" w:hAnsi="Arial"/>
          <w:sz w:val="18"/>
          <w:szCs w:val="18"/>
          <w:color w:val="auto"/>
        </w:rPr>
        <w:t xml:space="preserve">  Our restated certificate of incorporation will provide that, to the fullest extent permitted by law, the Court of Chancery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Our restated bylaws will provide that the federal district courts of the United States of America will, to the fullest extent permitted by law, be the exclusive forum for resolving any complaint asserting a cause of action arising under the Securities Act, which we refer to as a Federal Forum Provision. Our decision to adopt a Federal Forum Provision followed a decision by the Supreme Court of the State of Delaware holding that such provisions are facially valid under Delaware law. While there can be no assurance that federal courts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While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executive officers, other employees or agents of our company, which may discourage lawsuits against us and our directors, executive officers, and other employees.</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Transfer agent and registrar</w:t>
      </w:r>
    </w:p>
    <w:p>
      <w:pPr>
        <w:spacing w:after="0" w:line="135"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 The transfer agent and registrar’s address is         .</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Nasdaq Global Market listing</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applied to list our common stock on the Nasdaq Global Market under the symbol “MAZE.”</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Shares eligible for future sale</w:t>
      </w:r>
    </w:p>
    <w:p>
      <w:pPr>
        <w:spacing w:after="0" w:line="168"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our common stock, including shares issued upon exercise of outstanding options, in the public market following this offering could adversely affect market prices prevailing from time to time and could impair our ability to raise capital through the sale of our equity securities.</w:t>
      </w:r>
    </w:p>
    <w:p>
      <w:pPr>
        <w:spacing w:after="0" w:line="109" w:lineRule="exact"/>
        <w:rPr>
          <w:sz w:val="20"/>
          <w:szCs w:val="20"/>
          <w:color w:val="auto"/>
        </w:rPr>
      </w:pPr>
    </w:p>
    <w:p>
      <w:pPr>
        <w:ind w:left="120" w:right="120"/>
        <w:spacing w:after="0" w:line="241" w:lineRule="auto"/>
        <w:rPr>
          <w:sz w:val="20"/>
          <w:szCs w:val="20"/>
          <w:color w:val="auto"/>
        </w:rPr>
      </w:pPr>
      <w:r>
        <w:rPr>
          <w:rFonts w:ascii="Arial" w:cs="Arial" w:eastAsia="Arial" w:hAnsi="Arial"/>
          <w:sz w:val="18"/>
          <w:szCs w:val="18"/>
          <w:color w:val="auto"/>
        </w:rPr>
        <w:t>Upon the completion of this offering, we will have a total of        shares of our common stock outstanding, assuming (i) the automatic conversion of all outstanding shares of our redeemable convertible preferred stock into an aggregate of        shares of our common stock, (ii) the automatic conversion of all principal and accrued and unpaid interest on our outstanding convertible promissory notes into</w:t>
      </w:r>
    </w:p>
    <w:p>
      <w:pPr>
        <w:spacing w:after="0" w:line="2" w:lineRule="exact"/>
        <w:rPr>
          <w:sz w:val="20"/>
          <w:szCs w:val="20"/>
          <w:color w:val="auto"/>
        </w:rPr>
      </w:pPr>
    </w:p>
    <w:p>
      <w:pPr>
        <w:ind w:left="120" w:right="240"/>
        <w:spacing w:after="0" w:line="234" w:lineRule="auto"/>
        <w:rPr>
          <w:sz w:val="20"/>
          <w:szCs w:val="20"/>
          <w:color w:val="auto"/>
        </w:rPr>
      </w:pPr>
      <w:r>
        <w:rPr>
          <w:rFonts w:ascii="Arial" w:cs="Arial" w:eastAsia="Arial" w:hAnsi="Arial"/>
          <w:sz w:val="18"/>
          <w:szCs w:val="18"/>
          <w:color w:val="auto"/>
        </w:rPr>
        <w:t>        shares of our common stock immediately prior to the completion of this offering, based upon an assumed initial public offering price of $per share, which is the midpoint of the estimated price range set forth on the cover of this prospectus, and (iii) the issuance</w:t>
      </w:r>
    </w:p>
    <w:p>
      <w:pPr>
        <w:spacing w:after="0" w:line="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of        shares of common stock in this offering. Of these outstanding shares, all of the shares of our common stock sold in this offering will be freely tradable, except that any shares purchased in this offering by our affiliates, as that term is defined in Rule 144 under the Securities Act can only be sold in compliance with the Rule 144 limitations described below.</w:t>
      </w:r>
    </w:p>
    <w:p>
      <w:pPr>
        <w:spacing w:after="0" w:line="9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The remaining outstanding shares of our common stock will be, and shares subject to stock options will be upon issuance,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or will have, entered into market standoff agreements with us or lock-up agreements with the underwriters under which they have agreed, subject to specific exceptions, not to sell any of our stock for at least 180 days following the date of this prospectus, as described below.</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Lock-up and market standoff agreements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our directors and officers and substantially all of our security holders are, or will be, subject to lock-up agreements or market standoff provisions that prohibit them from offering for sale, selling, contracting to sell, granting any option for the sale of, transferring or otherwise disposing of any shares of our common stock or options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J.P. Morgan Securities LLC, TD Securities (USA) LLC and Leerink Partners LLC, subject to certain exceptions. See the section entitled “Underwriting” for additional information.</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144</w:t>
      </w:r>
    </w:p>
    <w:p>
      <w:pPr>
        <w:spacing w:after="0" w:line="135" w:lineRule="exact"/>
        <w:rPr>
          <w:sz w:val="20"/>
          <w:szCs w:val="20"/>
          <w:color w:val="auto"/>
        </w:rPr>
      </w:pPr>
    </w:p>
    <w:p>
      <w:pPr>
        <w:jc w:val="both"/>
        <w:ind w:left="120" w:right="60"/>
        <w:spacing w:after="0" w:line="242" w:lineRule="auto"/>
        <w:rPr>
          <w:sz w:val="20"/>
          <w:szCs w:val="20"/>
          <w:color w:val="auto"/>
        </w:rPr>
      </w:pPr>
      <w:r>
        <w:rPr>
          <w:rFonts w:ascii="Arial" w:cs="Arial" w:eastAsia="Arial" w:hAnsi="Arial"/>
          <w:sz w:val="18"/>
          <w:szCs w:val="18"/>
          <w:color w:val="auto"/>
        </w:rPr>
        <w:t>In general, Rule 144 provides that once we have been subject to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sold for at least one year, including the holding period of any prior owner other than our affiliates, then that person would be entitled to sell those shares without complying with any of the requirements of Rule 144.</w:t>
      </w:r>
    </w:p>
    <w:p>
      <w:pPr>
        <w:spacing w:after="0" w:line="8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In general, Rule 144 provides that our affiliates or persons selling shares of our common stock on behalf of our affiliates are entitled to sell upon expiration of the lock-up and market standoff agreements described above, within any three-month period, a number of shares of our common stock that does not exceed the greater of:</w:t>
      </w:r>
    </w:p>
    <w:p>
      <w:pPr>
        <w:spacing w:after="0" w:line="101" w:lineRule="exact"/>
        <w:rPr>
          <w:sz w:val="20"/>
          <w:szCs w:val="20"/>
          <w:color w:val="auto"/>
        </w:rPr>
      </w:pPr>
    </w:p>
    <w:p>
      <w:pPr>
        <w:ind w:left="340" w:right="180" w:hanging="219"/>
        <w:spacing w:after="0" w:line="271" w:lineRule="auto"/>
        <w:tabs>
          <w:tab w:leader="none" w:pos="32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shares immediately after the completion of this offering; or</w:t>
      </w:r>
    </w:p>
    <w:p>
      <w:pPr>
        <w:spacing w:after="0" w:line="86" w:lineRule="exact"/>
        <w:rPr>
          <w:sz w:val="20"/>
          <w:szCs w:val="20"/>
          <w:color w:val="auto"/>
        </w:rPr>
      </w:pPr>
    </w:p>
    <w:p>
      <w:pPr>
        <w:ind w:left="340" w:right="440" w:hanging="224"/>
        <w:spacing w:after="0" w:line="271"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average reported weekly trading volume of share of our common stock during the four calendar weeks preceding the filing of a notice on Form 144 with respect to that sale.</w:t>
      </w:r>
    </w:p>
    <w:p>
      <w:pPr>
        <w:spacing w:after="0" w:line="86"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Sales under Rule 144 by our affiliates or persons selling shares of our common stock on behalf of our affiliates are also subject to certain manner of sale provisions and notice requirements and to the availability of current public information about us.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701</w:t>
      </w:r>
    </w:p>
    <w:p>
      <w:pPr>
        <w:spacing w:after="0" w:line="14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 and are subject to the lock-up and market standoff agreements described above.</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Form S-8 registration statement</w:t>
      </w:r>
    </w:p>
    <w:p>
      <w:pPr>
        <w:spacing w:after="0" w:line="148"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In connection with this offering, we intend to file a registration statement on Form S-8 under the Securities Act covering all of the shares of our common stock subject to outstanding options, outstanding shares of restricted stock and the shares of our common stock reserved for issuance under our stock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 Of the        shares of our common stock that were subject to options outstanding as of March 31 2024, options to purchase        shares of common stock were vested as of March 31, 2024. Shares of our common stock underlying outstanding options will not be eligible for sale until the expiration of the 180-day lock-up and market standoff agreements to which they are subject.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48"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See the section entitled “Description of capital stock—Registration rights” for additional information.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Material U.S. federal income tax consequences to Non-U.S. holders</w:t>
      </w:r>
    </w:p>
    <w:p>
      <w:pPr>
        <w:spacing w:after="0" w:line="168" w:lineRule="exact"/>
        <w:rPr>
          <w:sz w:val="20"/>
          <w:szCs w:val="20"/>
          <w:color w:val="auto"/>
        </w:rPr>
      </w:pPr>
    </w:p>
    <w:p>
      <w:pPr>
        <w:ind w:left="120" w:right="160"/>
        <w:spacing w:after="0" w:line="242" w:lineRule="auto"/>
        <w:rPr>
          <w:sz w:val="20"/>
          <w:szCs w:val="20"/>
          <w:color w:val="auto"/>
        </w:rPr>
      </w:pPr>
      <w:r>
        <w:rPr>
          <w:rFonts w:ascii="Arial" w:cs="Arial" w:eastAsia="Arial" w:hAnsi="Arial"/>
          <w:sz w:val="18"/>
          <w:szCs w:val="18"/>
          <w:color w:val="auto"/>
        </w:rPr>
        <w:t>The following summary describes the material U.S. federal income tax consequences of the ownership and disposition of shares of our common stock acquired in this offering by Non-U.S. Holders (as defined below). This discussion does not address all aspects of U.S. federal income taxation, does not discuss the potential application of the alternative minimum tax or Medicare contribution tax on net investment income, and does not deal with state or local tax laws, any U.S. federal non-income tax laws such as gift and estate tax laws, except to the limited extent provided below, or any non-U.S. tax laws that may be relevant to Non-U.S. Holders in light of their particular circumstances.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Code, such as:</w:t>
      </w:r>
    </w:p>
    <w:p>
      <w:pPr>
        <w:spacing w:after="0" w:line="126" w:lineRule="exact"/>
        <w:rPr>
          <w:sz w:val="20"/>
          <w:szCs w:val="20"/>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insurance companies, banks, investment funds and other financial institutions;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44"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451(b) of the Code;</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common stock;</w:t>
      </w:r>
    </w:p>
    <w:p>
      <w:pPr>
        <w:spacing w:after="0" w:line="144"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6" w:lineRule="exact"/>
        <w:rPr>
          <w:rFonts w:ascii="Arial" w:cs="Arial" w:eastAsia="Arial" w:hAnsi="Arial"/>
          <w:sz w:val="18"/>
          <w:szCs w:val="18"/>
          <w:color w:val="auto"/>
        </w:rPr>
      </w:pPr>
    </w:p>
    <w:p>
      <w:pPr>
        <w:ind w:left="340" w:right="720" w:hanging="224"/>
        <w:spacing w:after="0" w:line="271"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86" w:lineRule="exact"/>
        <w:rPr>
          <w:rFonts w:ascii="Arial" w:cs="Arial" w:eastAsia="Arial" w:hAnsi="Arial"/>
          <w:sz w:val="18"/>
          <w:szCs w:val="18"/>
          <w:color w:val="auto"/>
        </w:rPr>
      </w:pPr>
    </w:p>
    <w:p>
      <w:pPr>
        <w:ind w:left="340" w:right="900" w:hanging="224"/>
        <w:spacing w:after="0" w:line="271"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and</w:t>
      </w:r>
    </w:p>
    <w:p>
      <w:pPr>
        <w:spacing w:after="0" w:line="86"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partnerships and other entities or arrangements treated as pass-through entities for U.S. federal income tax purposes, and investors in such entities (regardless of their places of organization or formation).</w:t>
      </w:r>
    </w:p>
    <w:p>
      <w:pPr>
        <w:spacing w:after="0" w:line="73"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Such Non-U.S. Holders are urged to consult their own tax advisors to determine the U.S. federal, state, local and other tax consequences that may be relevant to them. If an entity or arrangement that is classified as a partnership for U.S. federal income tax purposes holds our common stock, the U.S. federal income tax treatment of the partnership and the partners thereof generally will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11" w:lineRule="exact"/>
        <w:rPr>
          <w:sz w:val="20"/>
          <w:szCs w:val="20"/>
          <w:color w:val="auto"/>
        </w:rPr>
      </w:pPr>
    </w:p>
    <w:p>
      <w:pPr>
        <w:ind w:left="120" w:right="400"/>
        <w:spacing w:after="0" w:line="253" w:lineRule="auto"/>
        <w:rPr>
          <w:sz w:val="20"/>
          <w:szCs w:val="20"/>
          <w:color w:val="auto"/>
        </w:rPr>
      </w:pPr>
      <w:r>
        <w:rPr>
          <w:rFonts w:ascii="Arial" w:cs="Arial" w:eastAsia="Arial" w:hAnsi="Arial"/>
          <w:sz w:val="18"/>
          <w:szCs w:val="18"/>
          <w:color w:val="auto"/>
        </w:rPr>
        <w:t>Furthermore, the discussion below is based upon the provisions of the Code, U.S. Treasury Regulations promulgated thereunder, published rulings and administrative pronouncements of the U.S. Internal Revenue Service, or the IRS, and judicial decisions, in each case as of the date hereof, and such authorities may be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6" w:lineRule="auto"/>
        <w:rPr>
          <w:sz w:val="20"/>
          <w:szCs w:val="20"/>
          <w:color w:val="auto"/>
        </w:rPr>
      </w:pPr>
      <w:r>
        <w:rPr>
          <w:rFonts w:ascii="Arial" w:cs="Arial" w:eastAsia="Arial" w:hAnsi="Arial"/>
          <w:sz w:val="17"/>
          <w:szCs w:val="17"/>
          <w:color w:val="auto"/>
        </w:rPr>
        <w:t>repealed, revoked or modified, possibly retroactively, or could be subject to differing interpretations which could result in U.S. federal income tax consequences different from those discussed below. We have not requested a ruling from the IRS with respect to the statements made and the conclusions reached in the following summary, and there can be no assurance that the IRS will not take a contrary position regarding the tax consequences described herein, or that any such contrary position would not be sustained by a court.</w:t>
      </w:r>
    </w:p>
    <w:p>
      <w:pPr>
        <w:spacing w:after="0" w:line="92" w:lineRule="exact"/>
        <w:rPr>
          <w:sz w:val="20"/>
          <w:szCs w:val="20"/>
          <w:color w:val="auto"/>
        </w:rPr>
      </w:pPr>
    </w:p>
    <w:p>
      <w:pPr>
        <w:ind w:left="120" w:right="460"/>
        <w:spacing w:after="0" w:line="242" w:lineRule="auto"/>
        <w:rPr>
          <w:sz w:val="20"/>
          <w:szCs w:val="20"/>
          <w:color w:val="auto"/>
        </w:rPr>
      </w:pPr>
      <w:r>
        <w:rPr>
          <w:rFonts w:ascii="Arial" w:cs="Arial" w:eastAsia="Arial" w:hAnsi="Arial"/>
          <w:sz w:val="18"/>
          <w:szCs w:val="18"/>
          <w:color w:val="auto"/>
        </w:rPr>
        <w:t>NON-U.S. HOLDERS CONSIDERING THE PURCHASE OF OUR COMMON STOCK PURSUANT TO THIS OFFERING SHOULD CONSULT THEIR OWN TAX ADVISORS CONCERNING THE U.S. FEDERAL INCOME TAX CONSEQUENCES OF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11"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For the purposes of this discussion, a “Non-U.S. Holder” is a beneficial owner of common stock, other than a partnership or other entity classified as a partnership or other pass-through entity that is not, for U.S. federal income tax purposes, (a) an individual who is a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that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99"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06"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Distributions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expect to make any distributions on our common stock in the foreseeable future (see “Dividend Policy” above). If we do make distributions on our common stock, however, such distributions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entitled “Material U.S. federal income tax consequences to Non-U.S. holders— Gain on disposition of our common stock.”</w:t>
      </w:r>
    </w:p>
    <w:p>
      <w:pPr>
        <w:spacing w:after="0" w:line="117"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Subject to the discussions below under the sections titled “Material U.S. Federal Income Tax Consequences to Non-U.S. Holders— Backup withholding and information reporting” and “—Foreign accounts,” any distribution on our common stock that is treated as a dividend paid to a Non-U.S. Holder that is not effectively connected with the non-U.S. Holder’s conduct of a trade or business in the United States will generally be subject to U.S. federal withholding tax at a 30% rate or such lower rate as may be specified by an applicable income tax treaty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between the United States and the Non-U.S. Holder’s country of residence. To obtain a reduced rate of withholding under an income tax treaty, a Non-U.S. Holder generally will be required to provide the applicable withholding agent with a properly executed IRS Form W-8BEN, IRS Form W-8BEN-E or other appropriate form, certifying the Non-U.S. Holder’s entitlement to benefits under the treaty. Such form must be provided prior to the payment of dividends and generally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of any excess amounts withheld by timely filing an appropriate claim for a refund with the IRS.</w:t>
      </w:r>
    </w:p>
    <w:p>
      <w:pPr>
        <w:spacing w:after="0" w:line="116"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We (or any applicable withholding agents)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that the Non-U.S.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same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Gain on disposition of our common stock</w:t>
      </w:r>
    </w:p>
    <w:p>
      <w:pPr>
        <w:spacing w:after="0" w:line="148"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Subject to the discussions below under the sections entitled “Material U.S. federal income tax consequences to non-U.S. holders—Backup withholding and information reporting” and “—Foreign accounts,” a Non-U.S. Holder generally will not be subject to U.S. federal income or withholding tax with respect to gain realized on a sale or other disposition of our common stock unless (a) the gain is effectively connected with a trade or business of the Non-U.S. Holder in the United States (and, if required by an applicable income tax treaty, is attributable to a permanent establishment that the holder maintains in the United States), (b) the Non-U.S. Holder is a nonresident alien who is an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Non-U.S. Holder’s holding period in the common stock.</w:t>
      </w:r>
    </w:p>
    <w:p>
      <w:pPr>
        <w:spacing w:after="0" w:line="100"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If you are a Non-U.S. Holder described in (a) above, you will be required to pay tax on the net gain derived from the sale at the same U.S. federal income tax rates applicable to U.S. persons. A corporate Non-U.S. Holder described in (a) above may also be subject to the additional branch profits tax at a 30% rate (or such lower rate as may be specified by an applicable income tax treaty) of its effectively connected earnings and profits for the taxable year, as adjusted for certain items. If you are an individual Non-U.S. Holder described in</w:t>
      </w:r>
    </w:p>
    <w:p>
      <w:pPr>
        <w:ind w:left="120" w:right="20" w:hanging="4"/>
        <w:spacing w:after="0" w:line="237" w:lineRule="auto"/>
        <w:tabs>
          <w:tab w:leader="none" w:pos="3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United States real property holding corporation if U.S. real property interests as defined in the Code and the U.S. Treasury Regulations comprised (by fair market value) at least half of our worldwide real property interests plus our other assets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were to be treated as a U.S. real property holding corporation, gain realized by a Non-U.S. Holder on a disposition of our common stock would not be subject to U.S. federal income tax so long as (1) the Non-U.S. Holder owned, directly, indirectly or constructively, no more than 5% of our common stock at all times within the shorter of (i) the five-year period preceding the disposition or (ii) the Non-U.S. Holder’s holding period and (2) our common stock is regularly traded on an established securities market. There can be no assurance that our common stock will qualify as regularly traded on an established securities market.</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U.S. federal estate tax</w:t>
      </w:r>
    </w:p>
    <w:p>
      <w:pPr>
        <w:spacing w:after="0" w:line="135"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Backup withholding and information reporting</w:t>
      </w:r>
    </w:p>
    <w:p>
      <w:pPr>
        <w:spacing w:after="0" w:line="135"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distributions we pay on our common stock including the amount of any such distributions,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06"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 xml:space="preserve">Distributions paid by us (or our paying agents) to a Non-U.S. Holder may also be subject to U.S. federal backup withholding. U.S. federal backup withholding generally will not apply to a Non-U.S. Holder who provides a properly executed IRS Form W-8BEN, IRS Form W-8BEN-E, or IRS Form W-8 ECI, as applicable, or otherwise establishes an exemption,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applicable withholding agent does not have actual knowledge or reason to know the holder is a U.S. person.</w:t>
      </w:r>
    </w:p>
    <w:p>
      <w:pPr>
        <w:spacing w:after="0" w:line="106" w:lineRule="exact"/>
        <w:rPr>
          <w:sz w:val="20"/>
          <w:szCs w:val="20"/>
          <w:color w:val="auto"/>
        </w:rPr>
      </w:pPr>
    </w:p>
    <w:p>
      <w:pPr>
        <w:ind w:left="120" w:right="20"/>
        <w:spacing w:after="0" w:line="256"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broker or a U.S. office of any broker, U.S. or non-U.S., unless the Non-U.S. Holder provides a properly executed IRS Form W-8BEN or IRS Form W-8BEN-E, or IRS Form W-8 ECI, as applicable,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87" w:lineRule="exact"/>
        <w:rPr>
          <w:sz w:val="20"/>
          <w:szCs w:val="20"/>
          <w:color w:val="auto"/>
        </w:rPr>
      </w:pPr>
    </w:p>
    <w:p>
      <w:pPr>
        <w:jc w:val="both"/>
        <w:ind w:left="120" w:right="600"/>
        <w:spacing w:after="0" w:line="253"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Foreign accounts</w:t>
      </w:r>
    </w:p>
    <w:p>
      <w:pPr>
        <w:spacing w:after="0" w:line="135"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color w:val="auto"/>
        </w:rPr>
        <w:t>In addition, U.S. federal withholding taxes may apply under the Foreign Account Tax Compliance Act, or FATCA, on certain types of payments, including dividends paid to non-U.S. financial institutions and certain other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the applicable Treasury Regulations and administrative guidance, withholding under FATCA generally also would apply to payments of gross proceeds from the sale or other disposition of our common stock. Under proposed regulations, however, no withholding will apply with respect to payments of gross proceeds. The preamble to the proposed regulations specifies that taxpayers and withholding agents are permitted to rely on such proposed regulations pending finalization.</w:t>
      </w:r>
    </w:p>
    <w:p>
      <w:pPr>
        <w:spacing w:after="0" w:line="120"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86" w:lineRule="exact"/>
        <w:rPr>
          <w:sz w:val="20"/>
          <w:szCs w:val="20"/>
          <w:color w:val="auto"/>
        </w:rPr>
      </w:pPr>
    </w:p>
    <w:p>
      <w:pPr>
        <w:ind w:left="120" w:right="420"/>
        <w:spacing w:after="0" w:line="247" w:lineRule="auto"/>
        <w:rPr>
          <w:sz w:val="20"/>
          <w:szCs w:val="20"/>
          <w:color w:val="auto"/>
        </w:rPr>
      </w:pPr>
      <w:r>
        <w:rPr>
          <w:rFonts w:ascii="Arial" w:cs="Arial" w:eastAsia="Arial" w:hAnsi="Arial"/>
          <w:sz w:val="18"/>
          <w:szCs w:val="18"/>
          <w:color w:val="auto"/>
        </w:rPr>
        <w:t>EACH PROSPECTIVE INVESTOR SHOULD CONSULT ITS OWN TAX ADVISOR REGARDING THE TAX CONSEQUENCES OF HOLDING AND DISPOSING OF OUR COMMON STOCK, INCLUDING THE CONSEQUENCES OF ANY PROPOSED CHANGE IN APPLICABLE LAW, AS WELL AS TAX CONSEQUENCES ARISING UNDER ANY STATE, LOCAL, NON-U.S. OR U.S. FEDERAL NON-INCOME TAX LAWS SUCH AS ESTATE AND GIFT TAX OR UNDER ANY APPLICABLE TAX TREATY.</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60"/>
          </w:cols>
          <w:pgMar w:left="320" w:top="455" w:right="5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Underwriting</w:t>
      </w:r>
    </w:p>
    <w:p>
      <w:pPr>
        <w:spacing w:after="0" w:line="168"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We are offering the shares of our common stock described in this prospectus through a number of underwriters. J.P. Morgan Securities LLC, TD Securities (USA) LLC, Leerink Partners LLC and Guggenheim Securities, LLC are acting as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of this prospectus, the number of shares of our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260" w:type="dxa"/>
            <w:vAlign w:val="bottom"/>
          </w:tcPr>
          <w:p>
            <w:pPr>
              <w:spacing w:after="0"/>
              <w:rPr>
                <w:sz w:val="16"/>
                <w:szCs w:val="16"/>
                <w:color w:val="auto"/>
              </w:rPr>
            </w:pPr>
          </w:p>
        </w:tc>
        <w:tc>
          <w:tcPr>
            <w:tcW w:w="476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r>
      <w:tr>
        <w:trPr>
          <w:trHeight w:val="203"/>
        </w:trPr>
        <w:tc>
          <w:tcPr>
            <w:tcW w:w="6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4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of shares</w:t>
            </w: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476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 xml:space="preserve">       </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TD Securities (USA) LLC</w:t>
            </w:r>
          </w:p>
        </w:tc>
        <w:tc>
          <w:tcPr>
            <w:tcW w:w="4760" w:type="dxa"/>
            <w:vAlign w:val="bottom"/>
          </w:tcPr>
          <w:p>
            <w:pPr>
              <w:spacing w:after="0"/>
              <w:rPr>
                <w:sz w:val="17"/>
                <w:szCs w:val="17"/>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Leerink Partners LLC</w:t>
            </w:r>
          </w:p>
        </w:tc>
        <w:tc>
          <w:tcPr>
            <w:tcW w:w="4760" w:type="dxa"/>
            <w:vAlign w:val="bottom"/>
            <w:shd w:val="clear" w:color="auto" w:fill="CCEEFF"/>
          </w:tcPr>
          <w:p>
            <w:pPr>
              <w:spacing w:after="0"/>
              <w:rPr>
                <w:sz w:val="17"/>
                <w:szCs w:val="17"/>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Guggenheim Securities, LLC</w:t>
            </w:r>
          </w:p>
        </w:tc>
        <w:tc>
          <w:tcPr>
            <w:tcW w:w="4760" w:type="dxa"/>
            <w:vAlign w:val="bottom"/>
          </w:tcPr>
          <w:p>
            <w:pPr>
              <w:spacing w:after="0"/>
              <w:rPr>
                <w:sz w:val="17"/>
                <w:szCs w:val="17"/>
                <w:color w:val="auto"/>
              </w:rPr>
            </w:pP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7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26" w:lineRule="exact"/>
        <w:rPr>
          <w:sz w:val="20"/>
          <w:szCs w:val="20"/>
          <w:color w:val="auto"/>
        </w:rPr>
      </w:pPr>
    </w:p>
    <w:p>
      <w:pPr>
        <w:ind w:left="120" w:right="200"/>
        <w:spacing w:after="0" w:line="247" w:lineRule="auto"/>
        <w:rPr>
          <w:sz w:val="20"/>
          <w:szCs w:val="20"/>
          <w:color w:val="auto"/>
        </w:rPr>
      </w:pPr>
      <w:r>
        <w:rPr>
          <w:rFonts w:ascii="Arial" w:cs="Arial" w:eastAsia="Arial" w:hAnsi="Arial"/>
          <w:sz w:val="18"/>
          <w:szCs w:val="18"/>
          <w:color w:val="auto"/>
        </w:rPr>
        <w:t>The underwriters are committed to purchase all the shares of our common stock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93"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The underwriters propose to offer the shares of our common stock directly to the public at the initial public offering price set forth on the cover of this prospectus and to certain dealers at that price less a concession not in excess of $        per share. Any such dealers may resell shares of our common stock to certain other brokers or dealers at a discount of up to $  per share from the initial public offering price. After the initial offering of the shares to the public, if all of the shares of our common shares stock are not sold at the initial public offering price, the underwriters may change the offering price and the other selling terms. Sales of any shares of our common stock made outside of the United States may be made by affiliates of the underwriters.</w:t>
      </w:r>
    </w:p>
    <w:p>
      <w:pPr>
        <w:spacing w:after="0" w:line="111"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underwriters have an option to buy up to        additional shares of our common stock from us to cover sales of shares of our common stock by the underwriters which exceed the number of shares of our common stock specified in the table above. The underwriters have 30 days from the date of this prospectus to exercise this option to purchase additional shares of our common stock. If any shares of our common stock are purchased with this option to purchase additional shares of our common stock, the underwriters will purchase shares of our common stock in approximately the same proportion as shown in the table above. If any additional shares of our common stock are purchased, the underwriters will offer the additional shares of our common stock on the same terms as those on which the shares of our common stock are being offered.</w:t>
      </w:r>
    </w:p>
    <w:p>
      <w:pPr>
        <w:spacing w:after="0" w:line="117"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The underwriting fee is equal to the public offering price per share of our common stock less the amount paid by the underwriters to us per share of our common stock. The underwriting fee is $        per share. The following</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5"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5100" w:type="dxa"/>
            <w:vAlign w:val="bottom"/>
          </w:tcPr>
          <w:p>
            <w:pPr>
              <w:jc w:val="right"/>
              <w:ind w:right="97"/>
              <w:spacing w:after="0"/>
              <w:rPr>
                <w:sz w:val="20"/>
                <w:szCs w:val="20"/>
                <w:color w:val="auto"/>
              </w:rPr>
            </w:pPr>
            <w:r>
              <w:rPr>
                <w:rFonts w:ascii="Arial" w:cs="Arial" w:eastAsia="Arial" w:hAnsi="Arial"/>
                <w:sz w:val="16"/>
                <w:szCs w:val="16"/>
                <w:b w:val="1"/>
                <w:bCs w:val="1"/>
                <w:color w:val="auto"/>
              </w:rPr>
              <w:t>Without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With full</w:t>
            </w:r>
          </w:p>
        </w:tc>
      </w:tr>
      <w:tr>
        <w:trPr>
          <w:trHeight w:val="189"/>
        </w:trPr>
        <w:tc>
          <w:tcPr>
            <w:tcW w:w="4900" w:type="dxa"/>
            <w:vAlign w:val="bottom"/>
          </w:tcPr>
          <w:p>
            <w:pPr>
              <w:spacing w:after="0"/>
              <w:rPr>
                <w:sz w:val="16"/>
                <w:szCs w:val="16"/>
                <w:color w:val="auto"/>
              </w:rPr>
            </w:pPr>
          </w:p>
        </w:tc>
        <w:tc>
          <w:tcPr>
            <w:tcW w:w="5100" w:type="dxa"/>
            <w:vAlign w:val="bottom"/>
          </w:tcPr>
          <w:p>
            <w:pPr>
              <w:jc w:val="right"/>
              <w:ind w:right="97"/>
              <w:spacing w:after="0"/>
              <w:rPr>
                <w:sz w:val="20"/>
                <w:szCs w:val="20"/>
                <w:color w:val="auto"/>
              </w:rPr>
            </w:pPr>
            <w:r>
              <w:rPr>
                <w:rFonts w:ascii="Arial" w:cs="Arial" w:eastAsia="Arial" w:hAnsi="Arial"/>
                <w:sz w:val="16"/>
                <w:szCs w:val="16"/>
                <w:b w:val="1"/>
                <w:bCs w:val="1"/>
                <w:color w:val="auto"/>
              </w:rPr>
              <w:t>option to</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option to</w:t>
            </w:r>
          </w:p>
        </w:tc>
      </w:tr>
      <w:tr>
        <w:trPr>
          <w:trHeight w:val="189"/>
        </w:trPr>
        <w:tc>
          <w:tcPr>
            <w:tcW w:w="4900" w:type="dxa"/>
            <w:vAlign w:val="bottom"/>
          </w:tcPr>
          <w:p>
            <w:pPr>
              <w:spacing w:after="0"/>
              <w:rPr>
                <w:sz w:val="16"/>
                <w:szCs w:val="16"/>
                <w:color w:val="auto"/>
              </w:rPr>
            </w:pPr>
          </w:p>
        </w:tc>
        <w:tc>
          <w:tcPr>
            <w:tcW w:w="5100" w:type="dxa"/>
            <w:vAlign w:val="bottom"/>
          </w:tcPr>
          <w:p>
            <w:pPr>
              <w:jc w:val="right"/>
              <w:ind w:right="97"/>
              <w:spacing w:after="0"/>
              <w:rPr>
                <w:sz w:val="20"/>
                <w:szCs w:val="20"/>
                <w:color w:val="auto"/>
              </w:rPr>
            </w:pPr>
            <w:r>
              <w:rPr>
                <w:rFonts w:ascii="Arial" w:cs="Arial" w:eastAsia="Arial" w:hAnsi="Arial"/>
                <w:sz w:val="16"/>
                <w:szCs w:val="16"/>
                <w:b w:val="1"/>
                <w:bCs w:val="1"/>
                <w:color w:val="auto"/>
              </w:rPr>
              <w:t>purchase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purchase</w:t>
            </w:r>
          </w:p>
        </w:tc>
      </w:tr>
      <w:tr>
        <w:trPr>
          <w:trHeight w:val="189"/>
        </w:trPr>
        <w:tc>
          <w:tcPr>
            <w:tcW w:w="4900" w:type="dxa"/>
            <w:vAlign w:val="bottom"/>
          </w:tcPr>
          <w:p>
            <w:pPr>
              <w:spacing w:after="0"/>
              <w:rPr>
                <w:sz w:val="16"/>
                <w:szCs w:val="16"/>
                <w:color w:val="auto"/>
              </w:rPr>
            </w:pPr>
          </w:p>
        </w:tc>
        <w:tc>
          <w:tcPr>
            <w:tcW w:w="5100" w:type="dxa"/>
            <w:vAlign w:val="bottom"/>
          </w:tcPr>
          <w:p>
            <w:pPr>
              <w:jc w:val="right"/>
              <w:ind w:right="97"/>
              <w:spacing w:after="0"/>
              <w:rPr>
                <w:sz w:val="20"/>
                <w:szCs w:val="20"/>
                <w:color w:val="auto"/>
              </w:rPr>
            </w:pPr>
            <w:r>
              <w:rPr>
                <w:rFonts w:ascii="Arial" w:cs="Arial" w:eastAsia="Arial" w:hAnsi="Arial"/>
                <w:sz w:val="16"/>
                <w:szCs w:val="16"/>
                <w:b w:val="1"/>
                <w:bCs w:val="1"/>
                <w:color w:val="auto"/>
              </w:rPr>
              <w:t>additional</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additional</w:t>
            </w:r>
          </w:p>
        </w:tc>
      </w:tr>
      <w:tr>
        <w:trPr>
          <w:trHeight w:val="189"/>
        </w:trPr>
        <w:tc>
          <w:tcPr>
            <w:tcW w:w="4900" w:type="dxa"/>
            <w:vAlign w:val="bottom"/>
          </w:tcPr>
          <w:p>
            <w:pPr>
              <w:spacing w:after="0"/>
              <w:rPr>
                <w:sz w:val="16"/>
                <w:szCs w:val="16"/>
                <w:color w:val="auto"/>
              </w:rPr>
            </w:pPr>
          </w:p>
        </w:tc>
        <w:tc>
          <w:tcPr>
            <w:tcW w:w="5100" w:type="dxa"/>
            <w:vAlign w:val="bottom"/>
          </w:tcPr>
          <w:p>
            <w:pPr>
              <w:jc w:val="right"/>
              <w:ind w:right="97"/>
              <w:spacing w:after="0"/>
              <w:rPr>
                <w:sz w:val="20"/>
                <w:szCs w:val="20"/>
                <w:color w:val="auto"/>
              </w:rPr>
            </w:pPr>
            <w:r>
              <w:rPr>
                <w:rFonts w:ascii="Arial" w:cs="Arial" w:eastAsia="Arial" w:hAnsi="Arial"/>
                <w:sz w:val="16"/>
                <w:szCs w:val="16"/>
                <w:b w:val="1"/>
                <w:bCs w:val="1"/>
                <w:color w:val="auto"/>
              </w:rPr>
              <w:t>shares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r>
      <w:tr>
        <w:trPr>
          <w:trHeight w:val="217"/>
        </w:trPr>
        <w:tc>
          <w:tcPr>
            <w:tcW w:w="490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exercise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exercise</w:t>
            </w: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5100" w:type="dxa"/>
            <w:vAlign w:val="bottom"/>
            <w:shd w:val="clear" w:color="auto" w:fill="CCEEFF"/>
          </w:tcPr>
          <w:p>
            <w:pPr>
              <w:ind w:left="4140"/>
              <w:spacing w:after="0" w:line="196" w:lineRule="exact"/>
              <w:rPr>
                <w:sz w:val="20"/>
                <w:szCs w:val="20"/>
                <w:color w:val="auto"/>
              </w:rPr>
            </w:pPr>
            <w:r>
              <w:rPr>
                <w:rFonts w:ascii="Arial" w:cs="Arial" w:eastAsia="Arial" w:hAnsi="Arial"/>
                <w:sz w:val="18"/>
                <w:szCs w:val="18"/>
                <w:color w:val="auto"/>
              </w:rPr>
              <w:t xml:space="preserve">$        </w:t>
            </w:r>
          </w:p>
        </w:tc>
        <w:tc>
          <w:tcPr>
            <w:tcW w:w="10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 xml:space="preserve">$        </w:t>
            </w: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5100" w:type="dxa"/>
            <w:vAlign w:val="bottom"/>
          </w:tcPr>
          <w:p>
            <w:pPr>
              <w:ind w:left="4140"/>
              <w:spacing w:after="0"/>
              <w:rPr>
                <w:sz w:val="20"/>
                <w:szCs w:val="20"/>
                <w:color w:val="auto"/>
              </w:rPr>
            </w:pPr>
            <w:r>
              <w:rPr>
                <w:rFonts w:ascii="Arial" w:cs="Arial" w:eastAsia="Arial" w:hAnsi="Arial"/>
                <w:sz w:val="18"/>
                <w:szCs w:val="18"/>
                <w:color w:val="auto"/>
              </w:rPr>
              <w:t>$</w:t>
            </w:r>
          </w:p>
        </w:tc>
        <w:tc>
          <w:tcPr>
            <w:tcW w:w="1020" w:type="dxa"/>
            <w:vAlign w:val="bottom"/>
          </w:tcPr>
          <w:p>
            <w:pPr>
              <w:ind w:lef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608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89" w:lineRule="exact"/>
        <w:rPr>
          <w:sz w:val="20"/>
          <w:szCs w:val="20"/>
          <w:color w:val="auto"/>
        </w:rPr>
      </w:pPr>
    </w:p>
    <w:p>
      <w:pPr>
        <w:ind w:left="120" w:right="360"/>
        <w:spacing w:after="0" w:line="247"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        million. We have also agreed to reimburse the underwriters for reasonable fees and expenses of counsel related to the review by the Financial Industry Regulatory Authority, Inc. of the terms of sale of the shares of our common stock offered hereby in an amount not to exceed $        .</w:t>
      </w:r>
    </w:p>
    <w:p>
      <w:pPr>
        <w:spacing w:after="0" w:line="106" w:lineRule="exact"/>
        <w:rPr>
          <w:sz w:val="20"/>
          <w:szCs w:val="20"/>
          <w:color w:val="auto"/>
        </w:rPr>
      </w:pPr>
    </w:p>
    <w:p>
      <w:pPr>
        <w:ind w:left="120" w:right="280"/>
        <w:spacing w:after="0" w:line="266" w:lineRule="auto"/>
        <w:rPr>
          <w:sz w:val="20"/>
          <w:szCs w:val="20"/>
          <w:color w:val="auto"/>
        </w:rPr>
      </w:pPr>
      <w:r>
        <w:rPr>
          <w:rFonts w:ascii="Arial" w:cs="Arial" w:eastAsia="Arial" w:hAnsi="Arial"/>
          <w:sz w:val="17"/>
          <w:szCs w:val="17"/>
          <w:color w:val="auto"/>
        </w:rPr>
        <w:t>A prospectus in electronic format may be made available on the websites maintained by one or more underwriters, or selling group members, if any, participating in the offering. The underwriters may agree to allocate a number of shares of our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78"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We have agreed that, subject to certain exceptions,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our common stock or any such other securities (regardless of whether any of these transactions are to be settled by the delivery of shares of common stock or such other securities, in cash or otherwise), in each case without the prior written consent of J.P. Morgan Securities LLC, TD Securities (USA) LLC and Leerink Partners LLC, for a period of 180 days after the date of this prospectus, other than the shares of our common stock to be sold in this offering.</w:t>
      </w:r>
    </w:p>
    <w:p>
      <w:pPr>
        <w:spacing w:after="0" w:line="11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Our directors, executive officers, and substantially all of our securityholders, or the lock-up parties, will enter into lock-up agreements with the underwriters prior to the commencement of this offering pursuant to which each lock-up party, with limited exceptions, for a period of 180 days after the date of this prospectus, or the restricted period, may not (and may not cause any of their direct or indirect affiliates to), without the prior written consent of J.P. Morgan Securities LLC, TD Securities (USA) LLC and Leerink Partners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1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 xml:space="preserve">The restrictions described in the immediately preceding paragraph and contained in the lock-up agreements between the underwriters and the lock-up parties do not apply, subject in certain cases to various conditions, to certain transactions, including (a) transfers or dispositions of lock-up securities: (i) as bona fide gifts, including bona fide gifts to a charity or educational institution, or for bona fide estate planning purposes, (ii) upon death, by will, other testamentary document or intestacy, (iii) to any trust for the direct or indirect benefit of the lock-up party or any immediate family member, or if the lock-up party is a trust, to a trustor or beneficiary of the trust or to the estate of a beneficiary of such trust, (iv) to any corporation, partnership, limited liability company or other entity of which the lock-up party or its immediate family members are the beneficial owner of all of the outstanding equity securities or similar interests, (v) to a nominee or custodian of a person or entity to whom a disposition or transfer would be permissible under clauses (i) through (iv), (vi) if the lock-up party is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stockholders, partners, members or other equityholders of the lock-up party, (vii) by operation of law, such as pursuant to a qualified domestic order, divorce settlement, divorce decree, separation agreement or related court order, (viii) to us, (A) from an employee or other service provider upon death, disability or termination of service of such person, or (B) pursuant to a right of first refusal that we have with respect to transfers of such lock-up securities or other securities, (ix) as part of a sale of the lock-up party’s lock-up securities acquired from the underwriters in this offering or in open market transactions after the completion of this offering, (x) to us in connection with the vesting, settlement or exercise of RSUs, options, warrants or other rights to purchase shares of our common stock (including, in each case, by way of “net” or “cashless” exercise), including for the payment of exercise price and tax and remittance payments due as a result of the vesting, settlement, or exercise of such RSUs, options, warrants or rights, or (xi) pursuant to a bona fide third-party tender offer, merger, consolidation or other similar transaction approved by our board of directors and made to all of our stockholders involving a change in control of us,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such transaction is not completed, all such lock-up securities would remain subject to the restrictions in the immediately preceding paragraph; (b) exercise of outstanding options, settlement of RSUs or other equity awards granted pursuant to plans described in this prospectus,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lock-up securities received upon such exercise, vesting or settlement would be subject to restrictions similar to those in the immediately preceding paragraph; (c) the conversion of outstanding preferred stock into shares of our common stock,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common stock received upon such conversion would be subject to restrictions similar to those in the immediately preceding paragraph; and (d) the establishment by lock-up parties of trading plans under Rule 10b5-1 under the Exchange Act,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(1) such plan does not provide for the transfer of lock-up securities during the restricted period and (2) no filing by any party under the Exchange Act or other public announcement shall be made voluntarily in connection with such trading plan during the restricted period.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80"/>
        <w:spacing w:after="0" w:line="271" w:lineRule="auto"/>
        <w:rPr>
          <w:sz w:val="20"/>
          <w:szCs w:val="20"/>
          <w:color w:val="auto"/>
        </w:rPr>
      </w:pPr>
      <w:r>
        <w:rPr>
          <w:rFonts w:ascii="Arial" w:cs="Arial" w:eastAsia="Arial" w:hAnsi="Arial"/>
          <w:sz w:val="18"/>
          <w:szCs w:val="18"/>
          <w:color w:val="auto"/>
        </w:rPr>
        <w:t>J.P. Morgan Securities LLC, TD Securities (USA) LLC and Leerink Partners LLC, in their sole discretion, may release the securities subject to any of the lock-up agreements with the underwriters described above, in whole or in part at any time.</w:t>
      </w:r>
    </w:p>
    <w:p>
      <w:pPr>
        <w:spacing w:after="0" w:line="86" w:lineRule="exact"/>
        <w:rPr>
          <w:sz w:val="20"/>
          <w:szCs w:val="20"/>
          <w:color w:val="auto"/>
        </w:rPr>
      </w:pPr>
    </w:p>
    <w:p>
      <w:pPr>
        <w:ind w:left="120" w:right="1800"/>
        <w:spacing w:after="0" w:line="399"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We have applied to list our common stock on the Nasdaq Global Market under the symbol “MAZE.”</w:t>
      </w:r>
    </w:p>
    <w:p>
      <w:pPr>
        <w:ind w:left="120"/>
        <w:spacing w:after="0" w:line="238"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13"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93" w:lineRule="exact"/>
        <w:rPr>
          <w:sz w:val="20"/>
          <w:szCs w:val="20"/>
          <w:color w:val="auto"/>
        </w:rPr>
      </w:pPr>
    </w:p>
    <w:p>
      <w:pPr>
        <w:ind w:left="120" w:right="760"/>
        <w:spacing w:after="0" w:line="25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01" w:lineRule="exact"/>
        <w:rPr>
          <w:sz w:val="20"/>
          <w:szCs w:val="20"/>
          <w:color w:val="auto"/>
        </w:rPr>
      </w:pPr>
    </w:p>
    <w:p>
      <w:pPr>
        <w:ind w:left="340" w:hanging="224"/>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 of the underwriters;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00"/>
          </w:cols>
          <w:pgMar w:left="320" w:top="455" w:right="4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44"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shares of common stock, or that the shares will trade in the public market at or above the initial public offering price.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relationships</w:t>
      </w:r>
    </w:p>
    <w:p>
      <w:pPr>
        <w:spacing w:after="0" w:line="148"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11"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2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29"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5" w:right="4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9"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42"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w:t>
      </w:r>
    </w:p>
    <w:p>
      <w:pPr>
        <w:spacing w:after="0" w:line="111"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44" w:lineRule="exact"/>
        <w:rPr>
          <w:rFonts w:ascii="Arial" w:cs="Arial" w:eastAsia="Arial" w:hAnsi="Arial"/>
          <w:sz w:val="18"/>
          <w:szCs w:val="18"/>
          <w:color w:val="auto"/>
        </w:rPr>
      </w:pPr>
    </w:p>
    <w:p>
      <w:pPr>
        <w:ind w:left="540" w:right="360" w:hanging="424"/>
        <w:spacing w:after="0" w:line="271"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86" w:lineRule="exact"/>
        <w:rPr>
          <w:rFonts w:ascii="Arial" w:cs="Arial" w:eastAsia="Arial" w:hAnsi="Arial"/>
          <w:sz w:val="18"/>
          <w:szCs w:val="18"/>
          <w:color w:val="auto"/>
        </w:rPr>
      </w:pPr>
    </w:p>
    <w:p>
      <w:pPr>
        <w:ind w:left="540" w:hanging="424"/>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no such offer of shares of common stock shall require us or any underwriter to publish a prospectus pursuant to Article 3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Prospectus Regulation or supplement a prospectus pursuant to Article 23 of the Prospectus Regulation and each person who initially acquires any shares of common stock or to whom any offer is made will be deemed to have represented, acknowledged and agreed to and with each of the underwriters and us that it is a “qualified investor” within the meaning of Article 2(e) of the Prospectus Regulation. In the case of any shares of common stock being offered to a financial intermediary as that term is used in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of any shares of common stock to the public other than their offer or resale in a Relevant State to qualified investors as so defined or in circumstances in which the prior consent of the underwriters have been obtained to each such proposed offer or resale.</w:t>
      </w:r>
    </w:p>
    <w:p>
      <w:pPr>
        <w:spacing w:after="0" w:line="9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shares of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29"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color w:val="auto"/>
        </w:rPr>
        <w:t>No shares of common stock have been offered or will be offered pursuant to this offering to the public in the United Kingdom prior to the publication of a prospectus in relation to the shares of common stock that either:</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hanging="4"/>
        <w:spacing w:after="0" w:line="253" w:lineRule="auto"/>
        <w:tabs>
          <w:tab w:leader="none" w:pos="33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has been approved by the Financial Conduct Authority or (ii) is to be treated as if it had been approved by the Financial Conduct Authority in accordance with the transitional provision in Article 74 (transitional provisions) of the Prospectus Amendment etc. (EU Exhibit) Regulation 2019/1234, except that the shares of common stock may be offered to the public in the United Kingdom at any time:</w:t>
      </w:r>
    </w:p>
    <w:p>
      <w:pPr>
        <w:spacing w:after="0" w:line="101" w:lineRule="exact"/>
        <w:rPr>
          <w:sz w:val="20"/>
          <w:szCs w:val="20"/>
          <w:color w:val="auto"/>
        </w:rPr>
      </w:pPr>
    </w:p>
    <w:p>
      <w:pPr>
        <w:ind w:left="320" w:hanging="204"/>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44" w:lineRule="exact"/>
        <w:rPr>
          <w:rFonts w:ascii="Arial" w:cs="Arial" w:eastAsia="Arial" w:hAnsi="Arial"/>
          <w:sz w:val="18"/>
          <w:szCs w:val="18"/>
          <w:color w:val="auto"/>
        </w:rPr>
      </w:pPr>
    </w:p>
    <w:p>
      <w:pPr>
        <w:ind w:left="120" w:right="420" w:hanging="4"/>
        <w:spacing w:after="0" w:line="271" w:lineRule="auto"/>
        <w:tabs>
          <w:tab w:leader="none" w:pos="37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underwriters for any such offer; or</w:t>
      </w:r>
    </w:p>
    <w:p>
      <w:pPr>
        <w:spacing w:after="0" w:line="72" w:lineRule="exact"/>
        <w:rPr>
          <w:rFonts w:ascii="Arial" w:cs="Arial" w:eastAsia="Arial" w:hAnsi="Arial"/>
          <w:sz w:val="18"/>
          <w:szCs w:val="18"/>
          <w:color w:val="auto"/>
        </w:rPr>
      </w:pPr>
    </w:p>
    <w:p>
      <w:pPr>
        <w:ind w:left="400" w:hanging="284"/>
        <w:spacing w:after="0"/>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or FSMA,</w:t>
      </w:r>
    </w:p>
    <w:p>
      <w:pPr>
        <w:spacing w:after="0" w:line="144" w:lineRule="exact"/>
        <w:rPr>
          <w:sz w:val="20"/>
          <w:szCs w:val="20"/>
          <w:color w:val="auto"/>
        </w:rPr>
      </w:pPr>
    </w:p>
    <w:p>
      <w:pPr>
        <w:ind w:left="120" w:right="100"/>
        <w:spacing w:after="0"/>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no such offer of the shares of common stock shall require us or any underwriter to publish a prospectus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85 of the FSMA or supplement a prospectus pursuant to Article 23 of the UK Prospectus Regulation. For the purposes of this provision, the expression an “offer to the public” in relation to any shares of common stock in the United Kingdom means the communication in any form and by any means of sufficient information on the terms of the offer and any shares of common stock to be offered so as to enable an investor to decide to purchase or subscribe for any shares of common stock and the expression “UK Prospectus Regulation” means Regulation (EU) 2017/1129 as it forms part of domestic law by virtue of the European Union (Withdrawal) Act 2018.</w:t>
      </w:r>
    </w:p>
    <w:p>
      <w:pPr>
        <w:spacing w:after="0" w:line="117"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 addition, in the United Kingdom, this prospectus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common stock in the United Kingdom within the meaning of the FSMA.</w:t>
      </w:r>
    </w:p>
    <w:p>
      <w:pPr>
        <w:spacing w:after="0" w:line="10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prospectus or use it as basis for taking any action. In the United Kingdom, any investment or investment activity that this prospectus relates to may be made or taken exclusively by relevant persons.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2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This prospectus does not constitute an offer to the public or a solicitation to purchase or invest in any shares of common stock. No shares of common stock have been offered or will be offered to the public in Switzerland, except that offers of shares of common stock may be made to the public in Switzerland at any time under the following exemptions under the Swiss Financial Services Act, or FinSA:</w:t>
      </w:r>
    </w:p>
    <w:p>
      <w:pPr>
        <w:spacing w:after="0" w:line="101"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any person which is a professional client as defined under the FinSA;</w:t>
      </w:r>
    </w:p>
    <w:p>
      <w:pPr>
        <w:spacing w:after="0" w:line="144" w:lineRule="exact"/>
        <w:rPr>
          <w:rFonts w:ascii="Arial" w:cs="Arial" w:eastAsia="Arial" w:hAnsi="Arial"/>
          <w:sz w:val="18"/>
          <w:szCs w:val="18"/>
          <w:color w:val="auto"/>
        </w:rPr>
      </w:pPr>
    </w:p>
    <w:p>
      <w:pPr>
        <w:ind w:left="540" w:right="100" w:hanging="424"/>
        <w:spacing w:after="0" w:line="271"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fewer than 500 persons (other than professional clients as defined under the FinSA), subject to obtaining the prior consent of the underwriters for any such offer; or</w:t>
      </w:r>
    </w:p>
    <w:p>
      <w:pPr>
        <w:spacing w:after="0" w:line="86" w:lineRule="exact"/>
        <w:rPr>
          <w:rFonts w:ascii="Arial" w:cs="Arial" w:eastAsia="Arial" w:hAnsi="Arial"/>
          <w:sz w:val="18"/>
          <w:szCs w:val="18"/>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36 FinSA in connection with Article 44 of the Swiss Financial Services Ordinance,</w:t>
      </w:r>
    </w:p>
    <w:p>
      <w:pPr>
        <w:spacing w:after="0" w:line="144"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color w:val="auto"/>
        </w:rPr>
        <w:t>provided that no such offer of shares of common stock shall require the Company or any investment bank to publish a prospectus pursuant to Article 35 FinSA.</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60"/>
          </w:cols>
          <w:pgMar w:left="320" w:top="455" w:right="5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shares of common stock have not been and will not be listed or admitted to trading on a trading venue in Switzerland.</w:t>
      </w:r>
    </w:p>
    <w:p>
      <w:pPr>
        <w:spacing w:after="0" w:line="144"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Neither this prospectus nor any other offering or marketing material relating to the shares of common stock constitutes a prospectus as such term is understood pursuant to the FinSA and neither this document nor any other offering or marketing material relating to the shares of common stock may be publicly distributed or otherwise made publicly available in Switzerland.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w:t>
      </w:r>
    </w:p>
    <w:p>
      <w:pPr>
        <w:spacing w:after="0" w:line="144" w:lineRule="exact"/>
        <w:rPr>
          <w:sz w:val="20"/>
          <w:szCs w:val="20"/>
          <w:color w:val="auto"/>
        </w:rPr>
      </w:pPr>
    </w:p>
    <w:p>
      <w:pPr>
        <w:ind w:left="340" w:hanging="224"/>
        <w:spacing w:after="0" w:line="271"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or the Corporations Act;</w:t>
      </w:r>
    </w:p>
    <w:p>
      <w:pPr>
        <w:spacing w:after="0" w:line="86" w:lineRule="exact"/>
        <w:rPr>
          <w:rFonts w:ascii="Arial" w:cs="Arial" w:eastAsia="Arial" w:hAnsi="Arial"/>
          <w:sz w:val="18"/>
          <w:szCs w:val="18"/>
          <w:color w:val="auto"/>
        </w:rPr>
      </w:pPr>
    </w:p>
    <w:p>
      <w:pPr>
        <w:ind w:left="340" w:right="140" w:hanging="224"/>
        <w:spacing w:after="0" w:line="253"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the ASIC, as a disclosure document for the purposes of the Corporations Act and does not purport to include the information required of a disclosure document for the purposes of the Corporations Act; and</w:t>
      </w:r>
    </w:p>
    <w:p>
      <w:pPr>
        <w:spacing w:after="0" w:line="101"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8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 shares of common stock may not be directly or indirectly offered for subscription or purchased or sold, and no invitations to subscribe for or buy the shares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95"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As any offer of shares of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2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40"/>
          </w:cols>
          <w:pgMar w:left="320" w:top="455" w:right="5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42" w:lineRule="exact"/>
        <w:rPr>
          <w:sz w:val="20"/>
          <w:szCs w:val="20"/>
          <w:color w:val="auto"/>
        </w:rPr>
      </w:pPr>
    </w:p>
    <w:p>
      <w:pPr>
        <w:ind w:left="120" w:right="180"/>
        <w:spacing w:after="0" w:line="242" w:lineRule="auto"/>
        <w:rPr>
          <w:sz w:val="20"/>
          <w:szCs w:val="20"/>
          <w:color w:val="auto"/>
        </w:rPr>
      </w:pPr>
      <w:r>
        <w:rPr>
          <w:rFonts w:ascii="Arial" w:cs="Arial" w:eastAsia="Arial" w:hAnsi="Arial"/>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of common stock or caused the shares of common stock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1" w:lineRule="exact"/>
        <w:rPr>
          <w:sz w:val="20"/>
          <w:szCs w:val="20"/>
          <w:color w:val="auto"/>
        </w:rPr>
      </w:pPr>
    </w:p>
    <w:p>
      <w:pPr>
        <w:ind w:left="540" w:right="380" w:hanging="424"/>
        <w:spacing w:after="0" w:line="271"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86" w:lineRule="exact"/>
        <w:rPr>
          <w:rFonts w:ascii="Arial" w:cs="Arial" w:eastAsia="Arial" w:hAnsi="Arial"/>
          <w:sz w:val="18"/>
          <w:szCs w:val="18"/>
          <w:color w:val="auto"/>
        </w:rPr>
      </w:pPr>
    </w:p>
    <w:p>
      <w:pPr>
        <w:ind w:left="540" w:right="460" w:hanging="424"/>
        <w:spacing w:after="0" w:line="271"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86" w:lineRule="exact"/>
        <w:rPr>
          <w:rFonts w:ascii="Arial" w:cs="Arial" w:eastAsia="Arial" w:hAnsi="Arial"/>
          <w:sz w:val="18"/>
          <w:szCs w:val="18"/>
          <w:color w:val="auto"/>
        </w:rPr>
      </w:pPr>
    </w:p>
    <w:p>
      <w:pPr>
        <w:ind w:left="540" w:hanging="424"/>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44" w:lineRule="exact"/>
        <w:rPr>
          <w:sz w:val="20"/>
          <w:szCs w:val="20"/>
          <w:color w:val="auto"/>
        </w:rPr>
      </w:pPr>
    </w:p>
    <w:p>
      <w:pPr>
        <w:ind w:left="540" w:right="300" w:hanging="424"/>
        <w:spacing w:after="0" w:line="271"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6" w:lineRule="exact"/>
        <w:rPr>
          <w:rFonts w:ascii="Arial" w:cs="Arial" w:eastAsia="Arial" w:hAnsi="Arial"/>
          <w:sz w:val="18"/>
          <w:szCs w:val="18"/>
          <w:color w:val="auto"/>
        </w:rPr>
      </w:pPr>
    </w:p>
    <w:p>
      <w:pPr>
        <w:ind w:left="540" w:hanging="424"/>
        <w:spacing w:after="0" w:line="244"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09" w:lineRule="exact"/>
        <w:rPr>
          <w:sz w:val="20"/>
          <w:szCs w:val="20"/>
          <w:color w:val="auto"/>
        </w:rPr>
      </w:pPr>
    </w:p>
    <w:p>
      <w:pPr>
        <w:ind w:left="1080" w:right="480" w:hanging="532"/>
        <w:spacing w:after="0" w:line="271"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276(4)(i)(B) of the SFA;</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1080" w:right="740" w:hanging="532"/>
        <w:spacing w:after="0" w:line="271"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86"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4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This prospectus will not be circulated or distributed in the People’s Republic of China, or PRC, and the shares of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4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shares of common stock have not been and will not be registered under the Financial Investments Services and Capital Markets Act of Korea and the decrees and regulations thereunder, or the FSCMA, and the shares of common stock have been and will be offered in Korea as a private placement under the FSCMA. None of the shares of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of common stock have not been listed on any of the securities exchanges in the world including, without limitation, the Korea Exchange in Korea. Furthermore, the purchaser of the shares of common stock shall comply with all applicable regulatory requirements (including but not limited to requirements under the FETL) in connection with the purchase of the shares. By the purchase of the shares of common stock, the relevant holder thereof will be deemed to represent and warrant that if it is in Korea or is a resident of Korea, it purchased the shares of common stock pursuant to the applicable laws and regulations of Korea.</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42"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The shares of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of common stock in Taiwan.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42" w:lineRule="exact"/>
        <w:rPr>
          <w:sz w:val="20"/>
          <w:szCs w:val="20"/>
          <w:color w:val="auto"/>
        </w:rPr>
      </w:pPr>
    </w:p>
    <w:p>
      <w:pPr>
        <w:ind w:left="120" w:right="200"/>
        <w:spacing w:after="0" w:line="259"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as issued by the board of the Saudi Arabian Capital Market Authority, or the CMA, pursuant to resolution number</w:t>
      </w:r>
    </w:p>
    <w:p>
      <w:pPr>
        <w:spacing w:after="0" w:line="1"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2-11-2004 dated 4 October 2004 as amended by resolution number 1-28-2008, as amended, or the CMA Regulations. The CMA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relates to an Exempt Offer in accordance with the Markets Law, DIFC Law No. 1 of 2012, as amended. This prospectus is intended for distribution only to persons of a type specified in the Markets Law, DIFC Law No. 1 of 2012, as amended.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17"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4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shares of common stock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4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42"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The shares of common stock are not being, and may not be offered to the public or to any person in the British Virgin Islands for purchase or subscription by or on our behalf. The shares of common stock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00"/>
          </w:cols>
          <w:pgMar w:left="320" w:top="455" w:right="4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4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Due to restrictions under the securities laws of South Africa, no “</w:t>
      </w:r>
      <w:r>
        <w:rPr>
          <w:rFonts w:ascii="Arial" w:cs="Arial" w:eastAsia="Arial" w:hAnsi="Arial"/>
          <w:sz w:val="18"/>
          <w:szCs w:val="18"/>
          <w:i w:val="1"/>
          <w:iCs w:val="1"/>
          <w:color w:val="auto"/>
        </w:rPr>
        <w:t>offer to the public</w:t>
      </w:r>
      <w:r>
        <w:rPr>
          <w:rFonts w:ascii="Arial" w:cs="Arial" w:eastAsia="Arial" w:hAnsi="Arial"/>
          <w:sz w:val="18"/>
          <w:szCs w:val="18"/>
          <w:color w:val="auto"/>
        </w:rPr>
        <w:t>” (as such term is defined in the South African Companies Act, No. 71 of 2008 (as amended or re-enacted), or the South African Companies Act) is being made in connection with the issue of the shares of common stock in South Africa. Accordingly, this prospectus does not, nor is it intended to, constitute a “</w:t>
      </w:r>
      <w:r>
        <w:rPr>
          <w:rFonts w:ascii="Arial" w:cs="Arial" w:eastAsia="Arial" w:hAnsi="Arial"/>
          <w:sz w:val="18"/>
          <w:szCs w:val="18"/>
          <w:i w:val="1"/>
          <w:iCs w:val="1"/>
          <w:color w:val="auto"/>
        </w:rPr>
        <w:t>registered</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prospectus</w:t>
      </w:r>
      <w:r>
        <w:rPr>
          <w:rFonts w:ascii="Arial" w:cs="Arial" w:eastAsia="Arial" w:hAnsi="Arial"/>
          <w:sz w:val="18"/>
          <w:szCs w:val="18"/>
          <w:color w:val="auto"/>
        </w:rPr>
        <w:t>” (as that term is defined in the South African Companies Act) prepared and registered under the South African Companies Act</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not been approved by, and/or filed with, the South African Companies and Intellectual Property Commission or any other regulatory authority in South Africa. The shares of common stock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120"/>
          </w:cols>
          <w:pgMar w:left="320" w:top="455" w:right="459" w:bottom="1440" w:gutter="0" w:footer="0" w:header="0"/>
        </w:sectPr>
      </w:pPr>
    </w:p>
    <w:p>
      <w:pPr>
        <w:spacing w:after="0" w:line="1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96 (1)(a)</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offer, transfer, sale, renunciation or delivery is to:</w:t>
      </w:r>
    </w:p>
    <w:p>
      <w:pPr>
        <w:spacing w:after="0" w:line="169" w:lineRule="exact"/>
        <w:rPr>
          <w:sz w:val="20"/>
          <w:szCs w:val="20"/>
          <w:color w:val="auto"/>
        </w:rPr>
      </w:pPr>
    </w:p>
    <w:p>
      <w:pPr>
        <w:sectPr>
          <w:pgSz w:w="11900" w:h="16838" w:orient="portrait"/>
          <w:cols w:equalWidth="0" w:num="2">
            <w:col w:w="1820" w:space="720"/>
            <w:col w:w="8580"/>
          </w:cols>
          <w:pgMar w:left="320" w:top="455" w:right="459" w:bottom="1440" w:gutter="0" w:footer="0" w:header="0"/>
          <w:type w:val="continuous"/>
        </w:sectPr>
      </w:pPr>
    </w:p>
    <w:p>
      <w:pPr>
        <w:ind w:left="2540" w:right="20"/>
        <w:spacing w:after="0" w:line="271" w:lineRule="auto"/>
        <w:rPr>
          <w:sz w:val="20"/>
          <w:szCs w:val="20"/>
          <w:color w:val="auto"/>
        </w:rPr>
      </w:pPr>
      <w:r>
        <w:rPr>
          <w:rFonts w:ascii="Arial" w:cs="Arial" w:eastAsia="Arial" w:hAnsi="Arial"/>
          <w:sz w:val="18"/>
          <w:szCs w:val="18"/>
          <w:color w:val="auto"/>
        </w:rPr>
        <w:t>(i) persons whose ordinary business, or part of whose ordinary business, is to deal in securities, as principal or agent;</w:t>
      </w:r>
    </w:p>
    <w:p>
      <w:pPr>
        <w:spacing w:after="0" w:line="100"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(ii) the South African Public Investment Corporation;</w:t>
      </w:r>
    </w:p>
    <w:p>
      <w:pPr>
        <w:spacing w:after="0" w:line="15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(iii) persons or entities regulated by the Reserve Bank of South Africa;</w:t>
      </w:r>
    </w:p>
    <w:p>
      <w:pPr>
        <w:spacing w:after="0" w:line="15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(iv) authorised financial service providers under South African law;</w:t>
      </w:r>
    </w:p>
    <w:p>
      <w:pPr>
        <w:spacing w:after="0" w:line="15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(v) financial institutions recognised as such under South African law;</w:t>
      </w:r>
    </w:p>
    <w:p>
      <w:pPr>
        <w:spacing w:after="0" w:line="158" w:lineRule="exact"/>
        <w:rPr>
          <w:sz w:val="20"/>
          <w:szCs w:val="20"/>
          <w:color w:val="auto"/>
        </w:rPr>
      </w:pPr>
    </w:p>
    <w:p>
      <w:pPr>
        <w:jc w:val="both"/>
        <w:ind w:left="2540" w:right="160"/>
        <w:spacing w:after="0" w:line="253" w:lineRule="auto"/>
        <w:rPr>
          <w:sz w:val="20"/>
          <w:szCs w:val="20"/>
          <w:color w:val="auto"/>
        </w:rPr>
      </w:pPr>
      <w:r>
        <w:rPr>
          <w:rFonts w:ascii="Arial" w:cs="Arial" w:eastAsia="Arial" w:hAnsi="Arial"/>
          <w:sz w:val="18"/>
          <w:szCs w:val="18"/>
          <w:color w:val="auto"/>
        </w:rPr>
        <w:t>(vi) a wholly 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11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(vii) any combination of the person in (i) to (vi); or</w:t>
      </w:r>
    </w:p>
    <w:p>
      <w:pPr>
        <w:sectPr>
          <w:pgSz w:w="11900" w:h="16838" w:orient="portrait"/>
          <w:cols w:equalWidth="0" w:num="1">
            <w:col w:w="11120"/>
          </w:cols>
          <w:pgMar w:left="320" w:top="455" w:right="459" w:bottom="1440" w:gutter="0" w:footer="0" w:header="0"/>
          <w:type w:val="continuous"/>
        </w:sectPr>
      </w:pP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96 (1)(b)</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01" w:lineRule="exact"/>
        <w:rPr>
          <w:sz w:val="20"/>
          <w:szCs w:val="20"/>
          <w:color w:val="auto"/>
        </w:rPr>
      </w:pPr>
    </w:p>
    <w:p>
      <w:pPr>
        <w:sectPr>
          <w:pgSz w:w="11900" w:h="16838" w:orient="portrait"/>
          <w:cols w:equalWidth="0" w:num="2">
            <w:col w:w="1820" w:space="720"/>
            <w:col w:w="8580"/>
          </w:cols>
          <w:pgMar w:left="320" w:top="455" w:right="459" w:bottom="1440" w:gutter="0" w:footer="0" w:header="0"/>
          <w:type w:val="continuous"/>
        </w:sectPr>
      </w:pPr>
    </w:p>
    <w:p>
      <w:pPr>
        <w:ind w:left="120" w:right="40"/>
        <w:spacing w:after="0" w:line="271"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4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This prospectus does not constitute a prospectus under the Israeli Securities Law, 5728-1968, or the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5" w:right="459" w:bottom="144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Legal matters</w:t>
      </w:r>
    </w:p>
    <w:p>
      <w:pPr>
        <w:spacing w:after="0" w:line="168"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The validity of the shares of our common stock offered by this prospectus will be passed upon for us by Fenwick &amp; West LLP, San Francisco, California. Davis Polk &amp; Wardwell LLP, Menlo Park, California, is acting as counsel for the underwriters in connection with this offering.</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Experts</w:t>
      </w:r>
    </w:p>
    <w:p>
      <w:pPr>
        <w:spacing w:after="0" w:line="168"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at December 31, 2022 and 2023, and for each of the two years in the period ended December 31, 2023, as set forth in their report. We have included our financial statements in the prospectus and elsewhere in the registration statement in reliance on Ernst &amp; Young LLP’s report, given on their authority as experts in accounting and auditing.</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Where you can find additional information</w:t>
      </w:r>
    </w:p>
    <w:p>
      <w:pPr>
        <w:spacing w:after="0" w:line="16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We have filed with the SEC a registration statement on Form S-1 (File Number 333-        ) under the Securities Act with respect to the shares of our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concerning the contents of any contract or any document that has been filed as an exhibit to the registration statement are not necessarily complete, and each such statement is qualified in all respects by reference to the full text of such contract or other document filed as an exhibit to the registration statement. The exhibits to the registration statement should be reviewed for the complete contents of these contracts and documents.</w:t>
      </w:r>
    </w:p>
    <w:p>
      <w:pPr>
        <w:spacing w:after="0" w:line="113"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We currently do not file periodic reports with the SEC. Upon the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w:t>
      </w:r>
    </w:p>
    <w:p>
      <w:pPr>
        <w:spacing w:after="0" w:line="9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also maintain a website at www.mazetx.com. Upon completion of this offering, you may access these materials at our website free of charge as soon as reasonably practicable after they are electronically filed with, or furnished to, the SEC. The information contained on, or that can be accessed through, our website is not part of, and is not incorporated into, this prospectus.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Index to financial statements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8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Report of independent auditors (PCAOB ID: 42)</w:t>
            </w:r>
          </w:p>
        </w:tc>
        <w:tc>
          <w:tcPr>
            <w:tcW w:w="4800" w:type="dxa"/>
            <w:vAlign w:val="bottom"/>
            <w:gridSpan w:val="3"/>
          </w:tcPr>
          <w:p>
            <w:pPr>
              <w:spacing w:after="0"/>
              <w:rPr>
                <w:sz w:val="17"/>
                <w:szCs w:val="17"/>
                <w:color w:val="auto"/>
              </w:rPr>
            </w:pPr>
          </w:p>
        </w:tc>
        <w:tc>
          <w:tcPr>
            <w:tcW w:w="2360" w:type="dxa"/>
            <w:vAlign w:val="bottom"/>
          </w:tcPr>
          <w:p>
            <w:pPr>
              <w:ind w:left="2080"/>
              <w:spacing w:after="0"/>
              <w:rPr>
                <w:sz w:val="20"/>
                <w:szCs w:val="20"/>
                <w:color w:val="auto"/>
              </w:rPr>
            </w:pPr>
            <w:r>
              <w:rPr>
                <w:rFonts w:ascii="Arial" w:cs="Arial" w:eastAsia="Arial" w:hAnsi="Arial"/>
                <w:sz w:val="18"/>
                <w:szCs w:val="18"/>
                <w:color w:val="auto"/>
                <w:w w:val="96"/>
              </w:rPr>
              <w:t>F-2</w:t>
            </w:r>
          </w:p>
        </w:tc>
      </w:tr>
      <w:tr>
        <w:trPr>
          <w:trHeight w:val="443"/>
        </w:trPr>
        <w:tc>
          <w:tcPr>
            <w:tcW w:w="8600" w:type="dxa"/>
            <w:vAlign w:val="bottom"/>
            <w:gridSpan w:val="7"/>
          </w:tcPr>
          <w:p>
            <w:pPr>
              <w:spacing w:after="0"/>
              <w:rPr>
                <w:sz w:val="20"/>
                <w:szCs w:val="20"/>
                <w:color w:val="auto"/>
              </w:rPr>
            </w:pPr>
            <w:r>
              <w:rPr>
                <w:rFonts w:ascii="Arial" w:cs="Arial" w:eastAsia="Arial" w:hAnsi="Arial"/>
                <w:sz w:val="18"/>
                <w:szCs w:val="18"/>
                <w:color w:val="auto"/>
              </w:rPr>
              <w:t>Financial statements as of and for the years ended December 31, 2022 and 2023:</w:t>
            </w:r>
          </w:p>
        </w:tc>
        <w:tc>
          <w:tcPr>
            <w:tcW w:w="2360" w:type="dxa"/>
            <w:vAlign w:val="bottom"/>
          </w:tcPr>
          <w:p>
            <w:pPr>
              <w:spacing w:after="0"/>
              <w:rPr>
                <w:sz w:val="24"/>
                <w:szCs w:val="24"/>
                <w:color w:val="auto"/>
              </w:rPr>
            </w:pPr>
          </w:p>
        </w:tc>
      </w:tr>
      <w:tr>
        <w:trPr>
          <w:trHeight w:val="374"/>
        </w:trPr>
        <w:tc>
          <w:tcPr>
            <w:tcW w:w="8600" w:type="dxa"/>
            <w:vAlign w:val="bottom"/>
            <w:gridSpan w:val="7"/>
          </w:tcPr>
          <w:p>
            <w:pPr>
              <w:spacing w:after="0"/>
              <w:rPr>
                <w:sz w:val="20"/>
                <w:szCs w:val="20"/>
                <w:color w:val="auto"/>
              </w:rPr>
            </w:pPr>
            <w:r>
              <w:rPr>
                <w:rFonts w:ascii="Arial" w:cs="Arial" w:eastAsia="Arial" w:hAnsi="Arial"/>
                <w:sz w:val="18"/>
                <w:szCs w:val="18"/>
                <w:color w:val="0000EE"/>
              </w:rPr>
              <w:t>Balance sheets</w:t>
            </w:r>
          </w:p>
        </w:tc>
        <w:tc>
          <w:tcPr>
            <w:tcW w:w="2360" w:type="dxa"/>
            <w:vAlign w:val="bottom"/>
          </w:tcPr>
          <w:p>
            <w:pPr>
              <w:ind w:left="2080"/>
              <w:spacing w:after="0"/>
              <w:rPr>
                <w:sz w:val="20"/>
                <w:szCs w:val="20"/>
                <w:color w:val="auto"/>
              </w:rPr>
            </w:pPr>
            <w:r>
              <w:rPr>
                <w:rFonts w:ascii="Arial" w:cs="Arial" w:eastAsia="Arial" w:hAnsi="Arial"/>
                <w:sz w:val="18"/>
                <w:szCs w:val="18"/>
                <w:color w:val="auto"/>
                <w:w w:val="96"/>
              </w:rPr>
              <w:t>F-3</w:t>
            </w:r>
          </w:p>
        </w:tc>
      </w:tr>
      <w:tr>
        <w:trPr>
          <w:trHeight w:val="20"/>
        </w:trPr>
        <w:tc>
          <w:tcPr>
            <w:tcW w:w="1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99"/>
        </w:trPr>
        <w:tc>
          <w:tcPr>
            <w:tcW w:w="8600" w:type="dxa"/>
            <w:vAlign w:val="bottom"/>
            <w:gridSpan w:val="7"/>
          </w:tcPr>
          <w:p>
            <w:pPr>
              <w:spacing w:after="0"/>
              <w:rPr>
                <w:sz w:val="20"/>
                <w:szCs w:val="20"/>
                <w:color w:val="auto"/>
              </w:rPr>
            </w:pPr>
            <w:r>
              <w:rPr>
                <w:rFonts w:ascii="Arial" w:cs="Arial" w:eastAsia="Arial" w:hAnsi="Arial"/>
                <w:sz w:val="18"/>
                <w:szCs w:val="18"/>
                <w:color w:val="0000EE"/>
              </w:rPr>
              <w:t>Statements of operations and comprehensive loss</w:t>
            </w:r>
          </w:p>
        </w:tc>
        <w:tc>
          <w:tcPr>
            <w:tcW w:w="2360" w:type="dxa"/>
            <w:vAlign w:val="bottom"/>
          </w:tcPr>
          <w:p>
            <w:pPr>
              <w:ind w:left="2080"/>
              <w:spacing w:after="0"/>
              <w:rPr>
                <w:sz w:val="20"/>
                <w:szCs w:val="20"/>
                <w:color w:val="auto"/>
              </w:rPr>
            </w:pPr>
            <w:r>
              <w:rPr>
                <w:rFonts w:ascii="Arial" w:cs="Arial" w:eastAsia="Arial" w:hAnsi="Arial"/>
                <w:sz w:val="18"/>
                <w:szCs w:val="18"/>
                <w:color w:val="auto"/>
                <w:w w:val="96"/>
              </w:rPr>
              <w:t>F-4</w:t>
            </w:r>
          </w:p>
        </w:tc>
      </w:tr>
      <w:tr>
        <w:trPr>
          <w:trHeight w:val="20"/>
        </w:trPr>
        <w:tc>
          <w:tcPr>
            <w:tcW w:w="20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98"/>
        </w:trPr>
        <w:tc>
          <w:tcPr>
            <w:tcW w:w="8600" w:type="dxa"/>
            <w:vAlign w:val="bottom"/>
            <w:gridSpan w:val="7"/>
          </w:tcPr>
          <w:p>
            <w:pPr>
              <w:spacing w:after="0"/>
              <w:rPr>
                <w:sz w:val="20"/>
                <w:szCs w:val="20"/>
                <w:color w:val="auto"/>
              </w:rPr>
            </w:pPr>
            <w:r>
              <w:rPr>
                <w:rFonts w:ascii="Arial" w:cs="Arial" w:eastAsia="Arial" w:hAnsi="Arial"/>
                <w:sz w:val="18"/>
                <w:szCs w:val="18"/>
                <w:color w:val="0000EE"/>
              </w:rPr>
              <w:t>Statements of redeemable convertible preferred stock and stockholders’ deficit</w:t>
            </w:r>
          </w:p>
        </w:tc>
        <w:tc>
          <w:tcPr>
            <w:tcW w:w="2360" w:type="dxa"/>
            <w:vAlign w:val="bottom"/>
          </w:tcPr>
          <w:p>
            <w:pPr>
              <w:ind w:left="2080"/>
              <w:spacing w:after="0"/>
              <w:rPr>
                <w:sz w:val="20"/>
                <w:szCs w:val="20"/>
                <w:color w:val="auto"/>
              </w:rPr>
            </w:pPr>
            <w:r>
              <w:rPr>
                <w:rFonts w:ascii="Arial" w:cs="Arial" w:eastAsia="Arial" w:hAnsi="Arial"/>
                <w:sz w:val="18"/>
                <w:szCs w:val="18"/>
                <w:color w:val="auto"/>
                <w:w w:val="96"/>
              </w:rPr>
              <w:t>F-5</w:t>
            </w:r>
          </w:p>
        </w:tc>
      </w:tr>
      <w:tr>
        <w:trPr>
          <w:trHeight w:val="398"/>
        </w:trPr>
        <w:tc>
          <w:tcPr>
            <w:tcW w:w="20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Statements of cash flows</w:t>
            </w:r>
          </w:p>
        </w:tc>
        <w:tc>
          <w:tcPr>
            <w:tcW w:w="4240" w:type="dxa"/>
            <w:vAlign w:val="bottom"/>
            <w:tcBorders>
              <w:top w:val="single" w:sz="8" w:color="0000EE"/>
            </w:tcBorders>
            <w:gridSpan w:val="4"/>
          </w:tcPr>
          <w:p>
            <w:pPr>
              <w:spacing w:after="0"/>
              <w:rPr>
                <w:sz w:val="24"/>
                <w:szCs w:val="24"/>
                <w:color w:val="auto"/>
              </w:rPr>
            </w:pPr>
          </w:p>
        </w:tc>
        <w:tc>
          <w:tcPr>
            <w:tcW w:w="2360" w:type="dxa"/>
            <w:vAlign w:val="bottom"/>
          </w:tcPr>
          <w:p>
            <w:pPr>
              <w:spacing w:after="0"/>
              <w:rPr>
                <w:sz w:val="24"/>
                <w:szCs w:val="24"/>
                <w:color w:val="auto"/>
              </w:rPr>
            </w:pPr>
          </w:p>
        </w:tc>
        <w:tc>
          <w:tcPr>
            <w:tcW w:w="2360" w:type="dxa"/>
            <w:vAlign w:val="bottom"/>
          </w:tcPr>
          <w:p>
            <w:pPr>
              <w:ind w:left="2080"/>
              <w:spacing w:after="0"/>
              <w:rPr>
                <w:sz w:val="20"/>
                <w:szCs w:val="20"/>
                <w:color w:val="auto"/>
              </w:rPr>
            </w:pPr>
            <w:r>
              <w:rPr>
                <w:rFonts w:ascii="Arial" w:cs="Arial" w:eastAsia="Arial" w:hAnsi="Arial"/>
                <w:sz w:val="18"/>
                <w:szCs w:val="18"/>
                <w:color w:val="auto"/>
                <w:w w:val="96"/>
              </w:rPr>
              <w:t>F-6</w:t>
            </w:r>
          </w:p>
        </w:tc>
      </w:tr>
      <w:tr>
        <w:trPr>
          <w:trHeight w:val="398"/>
        </w:trPr>
        <w:tc>
          <w:tcPr>
            <w:tcW w:w="8600" w:type="dxa"/>
            <w:vAlign w:val="bottom"/>
            <w:gridSpan w:val="7"/>
          </w:tcPr>
          <w:p>
            <w:pPr>
              <w:spacing w:after="0"/>
              <w:rPr>
                <w:sz w:val="20"/>
                <w:szCs w:val="20"/>
                <w:color w:val="auto"/>
              </w:rPr>
            </w:pPr>
            <w:r>
              <w:rPr>
                <w:rFonts w:ascii="Arial" w:cs="Arial" w:eastAsia="Arial" w:hAnsi="Arial"/>
                <w:sz w:val="18"/>
                <w:szCs w:val="18"/>
                <w:color w:val="0000EE"/>
              </w:rPr>
              <w:t>Notes to the financial statements</w:t>
            </w:r>
          </w:p>
        </w:tc>
        <w:tc>
          <w:tcPr>
            <w:tcW w:w="2360" w:type="dxa"/>
            <w:vAlign w:val="bottom"/>
          </w:tcPr>
          <w:p>
            <w:pPr>
              <w:ind w:left="2080"/>
              <w:spacing w:after="0"/>
              <w:rPr>
                <w:sz w:val="20"/>
                <w:szCs w:val="20"/>
                <w:color w:val="auto"/>
              </w:rPr>
            </w:pPr>
            <w:r>
              <w:rPr>
                <w:rFonts w:ascii="Arial" w:cs="Arial" w:eastAsia="Arial" w:hAnsi="Arial"/>
                <w:sz w:val="18"/>
                <w:szCs w:val="18"/>
                <w:color w:val="auto"/>
                <w:w w:val="96"/>
              </w:rPr>
              <w:t>F-7</w:t>
            </w:r>
          </w:p>
        </w:tc>
      </w:tr>
      <w:tr>
        <w:trPr>
          <w:trHeight w:val="376"/>
        </w:trPr>
        <w:tc>
          <w:tcPr>
            <w:tcW w:w="1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gridSpan w:val="2"/>
          </w:tcPr>
          <w:p>
            <w:pPr>
              <w:ind w:left="1380"/>
              <w:spacing w:after="0"/>
              <w:rPr>
                <w:sz w:val="20"/>
                <w:szCs w:val="20"/>
                <w:color w:val="auto"/>
              </w:rPr>
            </w:pPr>
            <w:r>
              <w:rPr>
                <w:rFonts w:ascii="Arial" w:cs="Arial" w:eastAsia="Arial" w:hAnsi="Arial"/>
                <w:sz w:val="18"/>
                <w:szCs w:val="18"/>
                <w:color w:val="auto"/>
              </w:rPr>
              <w:t>F-1</w:t>
            </w:r>
          </w:p>
        </w:tc>
        <w:tc>
          <w:tcPr>
            <w:tcW w:w="236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Report of Independent Registered Public Accounting Firm</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Maze Therapeutics, Inc.</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Opinion on the financial statements</w:t>
      </w:r>
    </w:p>
    <w:p>
      <w:pPr>
        <w:spacing w:after="0" w:line="135"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We have audited the accompanying balance sheets of Maze Therapeutics, Inc. (the Company) as of December 31, 2022 and 2023, the related statements of operations and comprehensive loss, redeemable convertible preferred stock and stockholders’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at December 31, 2022 and 2023, and the results of its operations and its cash flows for each of the two years in the period ended December 31, 2023, in conformity with U.S. generally accepted accounting principles.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Basis for opinion</w:t>
      </w:r>
    </w:p>
    <w:p>
      <w:pPr>
        <w:spacing w:after="0" w:line="135"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1"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Mateo, California</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21, 2024</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Maze Therapeutics, Inc.</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Balance sheets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12065</wp:posOffset>
            </wp:positionV>
            <wp:extent cx="13290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5" w:lineRule="exact"/>
        <w:rPr>
          <w:sz w:val="20"/>
          <w:szCs w:val="20"/>
          <w:color w:val="auto"/>
        </w:rPr>
      </w:pPr>
    </w:p>
    <w:p>
      <w:pPr>
        <w:jc w:val="both"/>
        <w:ind w:left="9380"/>
        <w:spacing w:after="0"/>
        <w:tabs>
          <w:tab w:leader="none" w:pos="1064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Current assets:</w:t>
      </w:r>
    </w:p>
    <w:p>
      <w:pPr>
        <w:ind w:left="300"/>
        <w:spacing w:after="0" w:line="234" w:lineRule="auto"/>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Prepaid expenses and other current assets</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Property and equipment, net</w:t>
      </w:r>
    </w:p>
    <w:p>
      <w:pPr>
        <w:ind w:left="120"/>
        <w:spacing w:after="0" w:line="234" w:lineRule="auto"/>
        <w:rPr>
          <w:sz w:val="20"/>
          <w:szCs w:val="20"/>
          <w:color w:val="auto"/>
        </w:rPr>
      </w:pPr>
      <w:r>
        <w:rPr>
          <w:rFonts w:ascii="Arial" w:cs="Arial" w:eastAsia="Arial" w:hAnsi="Arial"/>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Operating lease right-of-use asset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 assets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00"/>
        <w:spacing w:after="0" w:line="234" w:lineRule="auto"/>
        <w:rPr>
          <w:sz w:val="20"/>
          <w:szCs w:val="20"/>
          <w:color w:val="auto"/>
        </w:rPr>
      </w:pPr>
      <w:r>
        <w:rPr>
          <w:rFonts w:ascii="Arial" w:cs="Arial" w:eastAsia="Arial" w:hAnsi="Arial"/>
          <w:sz w:val="18"/>
          <w:szCs w:val="18"/>
          <w:color w:val="auto"/>
        </w:rPr>
        <w:t>Accrued expenses and other current liabilities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 current liabilities</w:t>
      </w:r>
    </w:p>
    <w:p>
      <w:pPr>
        <w:ind w:left="120"/>
        <w:spacing w:after="0"/>
        <w:rPr>
          <w:sz w:val="20"/>
          <w:szCs w:val="20"/>
          <w:color w:val="auto"/>
        </w:rPr>
      </w:pPr>
      <w:r>
        <w:rPr>
          <w:rFonts w:ascii="Arial" w:cs="Arial" w:eastAsia="Arial" w:hAnsi="Arial"/>
          <w:sz w:val="18"/>
          <w:szCs w:val="18"/>
          <w:color w:val="auto"/>
        </w:rPr>
        <w:t>Operating lease liabilities,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Convertible promissory notes</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Commitments and contingencies (Note 8)</w:t>
      </w:r>
    </w:p>
    <w:p>
      <w:pPr>
        <w:spacing w:after="0" w:line="14" w:lineRule="exact"/>
        <w:rPr>
          <w:sz w:val="20"/>
          <w:szCs w:val="20"/>
          <w:color w:val="auto"/>
        </w:rPr>
      </w:pPr>
    </w:p>
    <w:p>
      <w:pPr>
        <w:ind w:left="300" w:right="200" w:hanging="179"/>
        <w:spacing w:after="0" w:line="242" w:lineRule="auto"/>
        <w:rPr>
          <w:sz w:val="20"/>
          <w:szCs w:val="20"/>
          <w:color w:val="auto"/>
        </w:rPr>
      </w:pPr>
      <w:r>
        <w:rPr>
          <w:rFonts w:ascii="Arial" w:cs="Arial" w:eastAsia="Arial" w:hAnsi="Arial"/>
          <w:sz w:val="18"/>
          <w:szCs w:val="18"/>
          <w:color w:val="auto"/>
        </w:rPr>
        <w:t>Redeemable convertible preferred stock, $0.001 par value; 203,415,024 shares authorized as of December 31, 2022 and 2023; 203,415,024 shares issued and outstanding as of December 31, 2022 and 2023; aggregate liquidation preference of $383,902 as of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-396240</wp:posOffset>
            </wp:positionV>
            <wp:extent cx="6995160" cy="3860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deficit:</w:t>
      </w:r>
    </w:p>
    <w:p>
      <w:pPr>
        <w:spacing w:after="0" w:line="14" w:lineRule="exact"/>
        <w:rPr>
          <w:sz w:val="20"/>
          <w:szCs w:val="20"/>
          <w:color w:val="auto"/>
        </w:rPr>
      </w:pPr>
    </w:p>
    <w:p>
      <w:pPr>
        <w:ind w:left="480" w:hanging="179"/>
        <w:spacing w:after="0" w:line="234" w:lineRule="auto"/>
        <w:rPr>
          <w:sz w:val="20"/>
          <w:szCs w:val="20"/>
          <w:color w:val="auto"/>
        </w:rPr>
      </w:pPr>
      <w:r>
        <w:rPr>
          <w:rFonts w:ascii="Arial" w:cs="Arial" w:eastAsia="Arial" w:hAnsi="Arial"/>
          <w:sz w:val="18"/>
          <w:szCs w:val="18"/>
          <w:color w:val="auto"/>
        </w:rPr>
        <w:t>Common stock, $0.001 par value; 257,000,000 and 261,000,000 shares authorized as of December 31, 2022 and 2023, respectively; 22,868,289 and 22,996,976 shares issued and outstanding as of December 31, 2022 and 2023, respectively; 1,576,649 and 603,930 shares subject to repurchase as of December 31, 2022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-511175</wp:posOffset>
            </wp:positionV>
            <wp:extent cx="6995160" cy="514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514350"/>
                    </a:xfrm>
                    <a:prstGeom prst="rect">
                      <a:avLst/>
                    </a:prstGeom>
                    <a:noFill/>
                  </pic:spPr>
                </pic:pic>
              </a:graphicData>
            </a:graphic>
          </wp:anchor>
        </w:drawing>
      </w:r>
    </w:p>
    <w:p>
      <w:pPr>
        <w:ind w:left="300"/>
        <w:spacing w:after="0" w:line="238" w:lineRule="auto"/>
        <w:rPr>
          <w:sz w:val="20"/>
          <w:szCs w:val="20"/>
          <w:color w:val="auto"/>
        </w:rPr>
      </w:pPr>
      <w:r>
        <w:rPr>
          <w:rFonts w:ascii="Arial" w:cs="Arial" w:eastAsia="Arial" w:hAnsi="Arial"/>
          <w:sz w:val="18"/>
          <w:szCs w:val="18"/>
          <w:color w:val="auto"/>
        </w:rPr>
        <w:t>Additional paid-in-capital</w:t>
      </w:r>
    </w:p>
    <w:p>
      <w:pPr>
        <w:ind w:left="30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 stockholders’ deficit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liabilities,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132080</wp:posOffset>
            </wp:positionV>
            <wp:extent cx="6917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99,919</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29,158</w:t>
            </w:r>
          </w:p>
        </w:tc>
      </w:tr>
      <w:tr>
        <w:trPr>
          <w:trHeight w:val="221"/>
        </w:trPr>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6,230</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4,952</w:t>
            </w:r>
          </w:p>
        </w:tc>
      </w:tr>
      <w:tr>
        <w:trPr>
          <w:trHeight w:val="191"/>
        </w:trPr>
        <w:tc>
          <w:tcPr>
            <w:tcW w:w="140" w:type="dxa"/>
            <w:vAlign w:val="bottom"/>
          </w:tcPr>
          <w:p>
            <w:pPr>
              <w:spacing w:after="0"/>
              <w:rPr>
                <w:sz w:val="16"/>
                <w:szCs w:val="16"/>
                <w:color w:val="auto"/>
              </w:rPr>
            </w:pPr>
          </w:p>
        </w:tc>
        <w:tc>
          <w:tcPr>
            <w:tcW w:w="900" w:type="dxa"/>
            <w:vAlign w:val="bottom"/>
          </w:tcPr>
          <w:p>
            <w:pPr>
              <w:jc w:val="right"/>
              <w:ind w:right="130"/>
              <w:spacing w:after="0" w:line="191" w:lineRule="exact"/>
              <w:rPr>
                <w:sz w:val="20"/>
                <w:szCs w:val="20"/>
                <w:color w:val="auto"/>
              </w:rPr>
            </w:pPr>
            <w:r>
              <w:rPr>
                <w:rFonts w:ascii="Arial" w:cs="Arial" w:eastAsia="Arial" w:hAnsi="Arial"/>
                <w:sz w:val="18"/>
                <w:szCs w:val="18"/>
                <w:color w:val="auto"/>
              </w:rPr>
              <w:t>106,149</w:t>
            </w:r>
          </w:p>
        </w:tc>
        <w:tc>
          <w:tcPr>
            <w:tcW w:w="42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Arial" w:cs="Arial" w:eastAsia="Arial" w:hAnsi="Arial"/>
                <w:sz w:val="18"/>
                <w:szCs w:val="18"/>
                <w:color w:val="auto"/>
              </w:rPr>
              <w:t>34,110</w:t>
            </w:r>
          </w:p>
        </w:tc>
      </w:tr>
      <w:tr>
        <w:trPr>
          <w:trHeight w:val="203"/>
        </w:trPr>
        <w:tc>
          <w:tcPr>
            <w:tcW w:w="140" w:type="dxa"/>
            <w:vAlign w:val="bottom"/>
          </w:tcPr>
          <w:p>
            <w:pPr>
              <w:spacing w:after="0"/>
              <w:rPr>
                <w:sz w:val="17"/>
                <w:szCs w:val="17"/>
                <w:color w:val="auto"/>
              </w:rPr>
            </w:pP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12,402</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8,845</w:t>
            </w:r>
          </w:p>
        </w:tc>
      </w:tr>
      <w:tr>
        <w:trPr>
          <w:trHeight w:val="203"/>
        </w:trPr>
        <w:tc>
          <w:tcPr>
            <w:tcW w:w="140" w:type="dxa"/>
            <w:vAlign w:val="bottom"/>
          </w:tcPr>
          <w:p>
            <w:pPr>
              <w:spacing w:after="0"/>
              <w:rPr>
                <w:sz w:val="17"/>
                <w:szCs w:val="17"/>
                <w:color w:val="auto"/>
              </w:rPr>
            </w:pP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1,210</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1,088</w:t>
            </w:r>
          </w:p>
        </w:tc>
      </w:tr>
      <w:tr>
        <w:trPr>
          <w:trHeight w:val="203"/>
        </w:trPr>
        <w:tc>
          <w:tcPr>
            <w:tcW w:w="140" w:type="dxa"/>
            <w:vAlign w:val="bottom"/>
          </w:tcPr>
          <w:p>
            <w:pPr>
              <w:spacing w:after="0"/>
              <w:rPr>
                <w:sz w:val="17"/>
                <w:szCs w:val="17"/>
                <w:color w:val="auto"/>
              </w:rPr>
            </w:pP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28,826</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26,139</w:t>
            </w:r>
          </w:p>
        </w:tc>
      </w:tr>
      <w:tr>
        <w:trPr>
          <w:trHeight w:val="221"/>
        </w:trPr>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1,370</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r>
      <w:tr>
        <w:trPr>
          <w:trHeight w:val="20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149,957</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71,504</w:t>
            </w:r>
          </w:p>
        </w:tc>
      </w:tr>
      <w:tr>
        <w:trPr>
          <w:trHeight w:val="731"/>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1,585</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2,019</w:t>
            </w:r>
          </w:p>
        </w:tc>
      </w:tr>
      <w:tr>
        <w:trPr>
          <w:trHeight w:val="203"/>
        </w:trPr>
        <w:tc>
          <w:tcPr>
            <w:tcW w:w="140" w:type="dxa"/>
            <w:vAlign w:val="bottom"/>
          </w:tcPr>
          <w:p>
            <w:pPr>
              <w:spacing w:after="0"/>
              <w:rPr>
                <w:sz w:val="17"/>
                <w:szCs w:val="17"/>
                <w:color w:val="auto"/>
              </w:rPr>
            </w:pPr>
          </w:p>
        </w:tc>
        <w:tc>
          <w:tcPr>
            <w:tcW w:w="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14,874</w:t>
            </w:r>
          </w:p>
        </w:tc>
        <w:tc>
          <w:tcPr>
            <w:tcW w:w="4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9,808</w:t>
            </w:r>
          </w:p>
        </w:tc>
      </w:tr>
      <w:tr>
        <w:trPr>
          <w:trHeight w:val="221"/>
        </w:trPr>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4,324</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w:t>
            </w:r>
          </w:p>
        </w:tc>
      </w:tr>
      <w:tr>
        <w:trPr>
          <w:trHeight w:val="191"/>
        </w:trPr>
        <w:tc>
          <w:tcPr>
            <w:tcW w:w="140" w:type="dxa"/>
            <w:vAlign w:val="bottom"/>
          </w:tcPr>
          <w:p>
            <w:pPr>
              <w:spacing w:after="0"/>
              <w:rPr>
                <w:sz w:val="16"/>
                <w:szCs w:val="16"/>
                <w:color w:val="auto"/>
              </w:rPr>
            </w:pPr>
          </w:p>
        </w:tc>
        <w:tc>
          <w:tcPr>
            <w:tcW w:w="900" w:type="dxa"/>
            <w:vAlign w:val="bottom"/>
          </w:tcPr>
          <w:p>
            <w:pPr>
              <w:jc w:val="right"/>
              <w:ind w:right="130"/>
              <w:spacing w:after="0" w:line="191" w:lineRule="exact"/>
              <w:rPr>
                <w:sz w:val="20"/>
                <w:szCs w:val="20"/>
                <w:color w:val="auto"/>
              </w:rPr>
            </w:pPr>
            <w:r>
              <w:rPr>
                <w:rFonts w:ascii="Arial" w:cs="Arial" w:eastAsia="Arial" w:hAnsi="Arial"/>
                <w:sz w:val="18"/>
                <w:szCs w:val="18"/>
                <w:color w:val="auto"/>
              </w:rPr>
              <w:t>20,783</w:t>
            </w:r>
          </w:p>
        </w:tc>
        <w:tc>
          <w:tcPr>
            <w:tcW w:w="420" w:type="dxa"/>
            <w:vAlign w:val="bottom"/>
          </w:tcPr>
          <w:p>
            <w:pPr>
              <w:spacing w:after="0"/>
              <w:rPr>
                <w:sz w:val="16"/>
                <w:szCs w:val="16"/>
                <w:color w:val="auto"/>
              </w:rPr>
            </w:pPr>
          </w:p>
        </w:tc>
        <w:tc>
          <w:tcPr>
            <w:tcW w:w="640" w:type="dxa"/>
            <w:vAlign w:val="bottom"/>
          </w:tcPr>
          <w:p>
            <w:pPr>
              <w:jc w:val="right"/>
              <w:spacing w:after="0" w:line="191" w:lineRule="exact"/>
              <w:rPr>
                <w:sz w:val="20"/>
                <w:szCs w:val="20"/>
                <w:color w:val="auto"/>
              </w:rPr>
            </w:pPr>
            <w:r>
              <w:rPr>
                <w:rFonts w:ascii="Arial" w:cs="Arial" w:eastAsia="Arial" w:hAnsi="Arial"/>
                <w:sz w:val="18"/>
                <w:szCs w:val="18"/>
                <w:color w:val="auto"/>
              </w:rPr>
              <w:t>16,316</w:t>
            </w:r>
          </w:p>
        </w:tc>
      </w:tr>
      <w:tr>
        <w:trPr>
          <w:trHeight w:val="221"/>
        </w:trPr>
        <w:tc>
          <w:tcPr>
            <w:tcW w:w="1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27,731</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25,054</w:t>
            </w:r>
          </w:p>
        </w:tc>
      </w:tr>
    </w:tbl>
    <w:p>
      <w:pPr>
        <w:ind w:left="640"/>
        <w:spacing w:after="0"/>
        <w:rPr>
          <w:sz w:val="20"/>
          <w:szCs w:val="20"/>
          <w:color w:val="auto"/>
        </w:rPr>
      </w:pPr>
      <w:r>
        <w:rPr>
          <w:rFonts w:ascii="Arial" w:cs="Arial" w:eastAsia="Arial" w:hAnsi="Arial"/>
          <w:sz w:val="18"/>
          <w:szCs w:val="18"/>
          <w:color w:val="auto"/>
        </w:rPr>
        <w:t>—20,080</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48,51461,450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-141605</wp:posOffset>
            </wp:positionV>
            <wp:extent cx="13290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spacing w:after="0"/>
        <w:tabs>
          <w:tab w:leader="none" w:pos="1420" w:val="left"/>
        </w:tabs>
        <w:rPr>
          <w:sz w:val="20"/>
          <w:szCs w:val="20"/>
          <w:color w:val="auto"/>
        </w:rPr>
      </w:pPr>
      <w:r>
        <w:rPr>
          <w:rFonts w:ascii="Arial" w:cs="Arial" w:eastAsia="Arial" w:hAnsi="Arial"/>
          <w:sz w:val="18"/>
          <w:szCs w:val="18"/>
          <w:color w:val="auto"/>
        </w:rPr>
        <w:t>383,902</w:t>
      </w:r>
      <w:r>
        <w:rPr>
          <w:sz w:val="20"/>
          <w:szCs w:val="20"/>
          <w:color w:val="auto"/>
        </w:rPr>
        <w:tab/>
      </w:r>
      <w:r>
        <w:rPr>
          <w:rFonts w:ascii="Arial" w:cs="Arial" w:eastAsia="Arial" w:hAnsi="Arial"/>
          <w:sz w:val="18"/>
          <w:szCs w:val="18"/>
          <w:color w:val="auto"/>
        </w:rPr>
        <w:t>383,902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00" w:hanging="1278"/>
        <w:spacing w:after="0"/>
        <w:tabs>
          <w:tab w:leader="none" w:pos="1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22</w:t>
      </w:r>
    </w:p>
    <w:p>
      <w:pPr>
        <w:spacing w:after="0" w:line="13" w:lineRule="exact"/>
        <w:rPr>
          <w:rFonts w:ascii="Arial" w:cs="Arial" w:eastAsia="Arial" w:hAnsi="Arial"/>
          <w:sz w:val="18"/>
          <w:szCs w:val="18"/>
          <w:color w:val="auto"/>
        </w:rPr>
      </w:pPr>
    </w:p>
    <w:p>
      <w:pPr>
        <w:ind w:left="280"/>
        <w:spacing w:after="0" w:line="234" w:lineRule="auto"/>
        <w:rPr>
          <w:rFonts w:ascii="Arial" w:cs="Arial" w:eastAsia="Arial" w:hAnsi="Arial"/>
          <w:sz w:val="18"/>
          <w:szCs w:val="18"/>
          <w:color w:val="auto"/>
        </w:rPr>
      </w:pPr>
      <w:r>
        <w:rPr>
          <w:rFonts w:ascii="Arial" w:cs="Arial" w:eastAsia="Arial" w:hAnsi="Arial"/>
          <w:sz w:val="18"/>
          <w:szCs w:val="18"/>
          <w:color w:val="auto"/>
        </w:rPr>
        <w:t>12,79121,816</w:t>
      </w:r>
    </w:p>
    <w:p>
      <w:pPr>
        <w:spacing w:after="0" w:line="1" w:lineRule="exact"/>
        <w:rPr>
          <w:sz w:val="20"/>
          <w:szCs w:val="20"/>
          <w:color w:val="auto"/>
        </w:rPr>
      </w:pPr>
    </w:p>
    <w:p>
      <w:pPr>
        <w:ind w:left="120"/>
        <w:spacing w:after="0"/>
        <w:tabs>
          <w:tab w:leader="none" w:pos="1360" w:val="left"/>
        </w:tabs>
        <w:rPr>
          <w:sz w:val="20"/>
          <w:szCs w:val="20"/>
          <w:color w:val="auto"/>
        </w:rPr>
      </w:pPr>
      <w:r>
        <w:rPr>
          <w:rFonts w:ascii="Arial" w:cs="Arial" w:eastAsia="Arial" w:hAnsi="Arial"/>
          <w:sz w:val="18"/>
          <w:szCs w:val="18"/>
          <w:color w:val="auto"/>
        </w:rPr>
        <w:t>(295,271)</w:t>
      </w:r>
      <w:r>
        <w:rPr>
          <w:sz w:val="20"/>
          <w:szCs w:val="20"/>
          <w:color w:val="auto"/>
        </w:rPr>
        <w:tab/>
      </w:r>
      <w:r>
        <w:rPr>
          <w:rFonts w:ascii="Arial" w:cs="Arial" w:eastAsia="Arial" w:hAnsi="Arial"/>
          <w:sz w:val="18"/>
          <w:szCs w:val="18"/>
          <w:color w:val="auto"/>
        </w:rPr>
        <w:t>(395,686)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13290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ind w:left="120"/>
        <w:spacing w:after="0"/>
        <w:tabs>
          <w:tab w:leader="none" w:pos="1360" w:val="left"/>
        </w:tabs>
        <w:rPr>
          <w:sz w:val="20"/>
          <w:szCs w:val="20"/>
          <w:color w:val="auto"/>
        </w:rPr>
      </w:pPr>
      <w:r>
        <w:rPr>
          <w:rFonts w:ascii="Arial" w:cs="Arial" w:eastAsia="Arial" w:hAnsi="Arial"/>
          <w:sz w:val="18"/>
          <w:szCs w:val="18"/>
          <w:color w:val="auto"/>
        </w:rPr>
        <w:t>(282,459)</w:t>
      </w:r>
      <w:r>
        <w:rPr>
          <w:sz w:val="20"/>
          <w:szCs w:val="20"/>
          <w:color w:val="auto"/>
        </w:rPr>
        <w:tab/>
      </w:r>
      <w:r>
        <w:rPr>
          <w:rFonts w:ascii="Arial" w:cs="Arial" w:eastAsia="Arial" w:hAnsi="Arial"/>
          <w:sz w:val="18"/>
          <w:szCs w:val="18"/>
          <w:color w:val="auto"/>
        </w:rPr>
        <w:t>(373,848)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3290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 w:lineRule="exact"/>
        <w:rPr>
          <w:sz w:val="20"/>
          <w:szCs w:val="20"/>
          <w:color w:val="auto"/>
        </w:rPr>
      </w:pPr>
    </w:p>
    <w:p>
      <w:pPr>
        <w:spacing w:after="0"/>
        <w:tabs>
          <w:tab w:leader="none" w:pos="1240" w:val="left"/>
          <w:tab w:leader="none" w:pos="1520" w:val="left"/>
        </w:tabs>
        <w:rPr>
          <w:sz w:val="20"/>
          <w:szCs w:val="20"/>
          <w:color w:val="auto"/>
        </w:rPr>
      </w:pPr>
      <w:r>
        <w:rPr>
          <w:rFonts w:ascii="Arial" w:cs="Arial" w:eastAsia="Arial" w:hAnsi="Arial"/>
          <w:sz w:val="18"/>
          <w:szCs w:val="18"/>
          <w:color w:val="auto"/>
        </w:rPr>
        <w:t>$ 149,957</w:t>
      </w:r>
      <w:r>
        <w:rPr>
          <w:sz w:val="20"/>
          <w:szCs w:val="20"/>
          <w:color w:val="auto"/>
        </w:rPr>
        <w:tab/>
      </w:r>
      <w:r>
        <w:rPr>
          <w:rFonts w:ascii="Arial" w:cs="Arial" w:eastAsia="Arial" w:hAnsi="Arial"/>
          <w:sz w:val="18"/>
          <w:szCs w:val="18"/>
          <w:color w:val="auto"/>
        </w:rPr>
        <w:t>$</w:t>
        <w:tab/>
        <w:t>71,504</w:t>
      </w:r>
    </w:p>
    <w:p>
      <w:pPr>
        <w:spacing w:after="0" w:line="200" w:lineRule="exact"/>
        <w:rPr>
          <w:sz w:val="20"/>
          <w:szCs w:val="20"/>
          <w:color w:val="auto"/>
        </w:rPr>
      </w:pPr>
    </w:p>
    <w:p>
      <w:pPr>
        <w:sectPr>
          <w:pgSz w:w="11900" w:h="16838" w:orient="portrait"/>
          <w:cols w:equalWidth="0" w:num="2">
            <w:col w:w="8540" w:space="380"/>
            <w:col w:w="2160"/>
          </w:cols>
          <w:pgMar w:left="320" w:top="455" w:right="499" w:bottom="1440" w:gutter="0" w:footer="0" w:header="0"/>
          <w:type w:val="continuous"/>
        </w:sectPr>
      </w:pP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these financial statements.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80"/>
          </w:cols>
          <w:pgMar w:left="320" w:top="455" w:right="499" w:bottom="144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Maze Therapeutics, Inc.</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Statements of operations and comprehensive loss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8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83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211"/>
              <w:spacing w:after="0" w:line="183" w:lineRule="exact"/>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5"/>
                <w:szCs w:val="15"/>
                <w:color w:val="auto"/>
              </w:rPr>
            </w:pPr>
          </w:p>
        </w:tc>
      </w:tr>
      <w:tr>
        <w:trPr>
          <w:trHeight w:val="48"/>
        </w:trPr>
        <w:tc>
          <w:tcPr>
            <w:tcW w:w="8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88,192</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73,945</w:t>
            </w:r>
          </w:p>
        </w:tc>
      </w:tr>
      <w:tr>
        <w:trPr>
          <w:trHeight w:val="203"/>
        </w:trPr>
        <w:tc>
          <w:tcPr>
            <w:tcW w:w="8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22,834</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24,606</w:t>
            </w:r>
          </w:p>
        </w:tc>
      </w:tr>
      <w:tr>
        <w:trPr>
          <w:trHeight w:val="209"/>
        </w:trPr>
        <w:tc>
          <w:tcPr>
            <w:tcW w:w="83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1"/>
              <w:spacing w:after="0"/>
              <w:rPr>
                <w:sz w:val="20"/>
                <w:szCs w:val="20"/>
                <w:color w:val="auto"/>
              </w:rPr>
            </w:pPr>
            <w:r>
              <w:rPr>
                <w:rFonts w:ascii="Arial" w:cs="Arial" w:eastAsia="Arial" w:hAnsi="Arial"/>
                <w:sz w:val="18"/>
                <w:szCs w:val="18"/>
                <w:color w:val="auto"/>
              </w:rPr>
              <w:t>111,026</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98,551</w:t>
            </w:r>
          </w:p>
        </w:tc>
        <w:tc>
          <w:tcPr>
            <w:tcW w:w="120" w:type="dxa"/>
            <w:vAlign w:val="bottom"/>
          </w:tcPr>
          <w:p>
            <w:pPr>
              <w:spacing w:after="0"/>
              <w:rPr>
                <w:sz w:val="18"/>
                <w:szCs w:val="18"/>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(111,026)</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(98,551)</w:t>
            </w: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Interest and other income, net</w:t>
            </w:r>
          </w:p>
        </w:tc>
        <w:tc>
          <w:tcPr>
            <w:tcW w:w="100" w:type="dxa"/>
            <w:vAlign w:val="bottom"/>
          </w:tcPr>
          <w:p>
            <w:pPr>
              <w:spacing w:after="0"/>
              <w:rPr>
                <w:sz w:val="17"/>
                <w:szCs w:val="17"/>
                <w:color w:val="auto"/>
              </w:rPr>
            </w:pPr>
          </w:p>
        </w:tc>
        <w:tc>
          <w:tcPr>
            <w:tcW w:w="12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2,028</w:t>
            </w:r>
          </w:p>
        </w:tc>
        <w:tc>
          <w:tcPr>
            <w:tcW w:w="36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1,966</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convertible promissory notes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(3,830)</w:t>
            </w: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Net loss on impairment and dissolution of equity method investment</w:t>
            </w:r>
          </w:p>
        </w:tc>
        <w:tc>
          <w:tcPr>
            <w:tcW w:w="100" w:type="dxa"/>
            <w:vAlign w:val="bottom"/>
          </w:tcPr>
          <w:p>
            <w:pPr>
              <w:spacing w:after="0"/>
              <w:rPr>
                <w:sz w:val="17"/>
                <w:szCs w:val="17"/>
                <w:color w:val="auto"/>
              </w:rPr>
            </w:pPr>
          </w:p>
        </w:tc>
        <w:tc>
          <w:tcPr>
            <w:tcW w:w="120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(2,400)</w:t>
            </w:r>
          </w:p>
        </w:tc>
        <w:tc>
          <w:tcPr>
            <w:tcW w:w="36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in net loss of equity method investments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(3,542)</w:t>
            </w: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7"/>
        </w:trPr>
        <w:tc>
          <w:tcPr>
            <w:tcW w:w="83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(114,940)</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(100,415)</w:t>
            </w:r>
          </w:p>
        </w:tc>
        <w:tc>
          <w:tcPr>
            <w:tcW w:w="120" w:type="dxa"/>
            <w:vAlign w:val="bottom"/>
          </w:tcPr>
          <w:p>
            <w:pPr>
              <w:spacing w:after="0"/>
              <w:rPr>
                <w:sz w:val="18"/>
                <w:szCs w:val="18"/>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1"/>
              <w:spacing w:after="0" w:line="202" w:lineRule="exact"/>
              <w:rPr>
                <w:sz w:val="20"/>
                <w:szCs w:val="20"/>
                <w:color w:val="auto"/>
              </w:rPr>
            </w:pPr>
            <w:r>
              <w:rPr>
                <w:rFonts w:ascii="Arial" w:cs="Arial" w:eastAsia="Arial" w:hAnsi="Arial"/>
                <w:sz w:val="18"/>
                <w:szCs w:val="18"/>
                <w:color w:val="auto"/>
              </w:rPr>
              <w:t>(5.93)</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(4.55)</w:t>
            </w:r>
          </w:p>
        </w:tc>
      </w:tr>
      <w:tr>
        <w:trPr>
          <w:trHeight w:val="191"/>
        </w:trPr>
        <w:tc>
          <w:tcPr>
            <w:tcW w:w="8320" w:type="dxa"/>
            <w:vAlign w:val="bottom"/>
          </w:tcPr>
          <w:p>
            <w:pPr>
              <w:spacing w:after="0" w:line="191" w:lineRule="exact"/>
              <w:rPr>
                <w:sz w:val="20"/>
                <w:szCs w:val="20"/>
                <w:color w:val="auto"/>
              </w:rPr>
            </w:pPr>
            <w:r>
              <w:rPr>
                <w:rFonts w:ascii="Arial" w:cs="Arial" w:eastAsia="Arial" w:hAnsi="Arial"/>
                <w:sz w:val="18"/>
                <w:szCs w:val="18"/>
                <w:color w:val="auto"/>
              </w:rPr>
              <w:t>Weighted-average shares of common stock outstanding used to compute net loss per share, basic</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9"/>
        </w:trPr>
        <w:tc>
          <w:tcPr>
            <w:tcW w:w="832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00" w:type="dxa"/>
            <w:vAlign w:val="bottom"/>
          </w:tcPr>
          <w:p>
            <w:pPr>
              <w:spacing w:after="0"/>
              <w:rPr>
                <w:sz w:val="20"/>
                <w:szCs w:val="20"/>
                <w:color w:val="auto"/>
              </w:rPr>
            </w:pPr>
          </w:p>
        </w:tc>
        <w:tc>
          <w:tcPr>
            <w:tcW w:w="1200" w:type="dxa"/>
            <w:vAlign w:val="bottom"/>
          </w:tcPr>
          <w:p>
            <w:pPr>
              <w:jc w:val="right"/>
              <w:ind w:right="211"/>
              <w:spacing w:after="0"/>
              <w:rPr>
                <w:sz w:val="20"/>
                <w:szCs w:val="20"/>
                <w:color w:val="auto"/>
              </w:rPr>
            </w:pPr>
            <w:r>
              <w:rPr>
                <w:rFonts w:ascii="Arial" w:cs="Arial" w:eastAsia="Arial" w:hAnsi="Arial"/>
                <w:sz w:val="18"/>
                <w:szCs w:val="18"/>
                <w:color w:val="auto"/>
                <w:w w:val="97"/>
              </w:rPr>
              <w:t>19,379,583</w:t>
            </w:r>
          </w:p>
        </w:tc>
        <w:tc>
          <w:tcPr>
            <w:tcW w:w="3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22,071,408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176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Maze Therapeutics, Inc.</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Statements of redeemable convertible preferred stock and stockholders’ deficit</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share data)</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560" w:type="dxa"/>
            <w:vAlign w:val="bottom"/>
            <w:tcBorders>
              <w:top w:val="single" w:sz="8" w:color="auto"/>
            </w:tcBorders>
          </w:tcPr>
          <w:p>
            <w:pPr>
              <w:spacing w:after="0"/>
              <w:rPr>
                <w:sz w:val="16"/>
                <w:szCs w:val="16"/>
                <w:color w:val="auto"/>
              </w:rPr>
            </w:pPr>
          </w:p>
        </w:tc>
        <w:tc>
          <w:tcPr>
            <w:tcW w:w="2040" w:type="dxa"/>
            <w:vAlign w:val="bottom"/>
            <w:tcBorders>
              <w:top w:val="single" w:sz="8" w:color="auto"/>
              <w:right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Redeemable convertible</w:t>
            </w:r>
          </w:p>
        </w:tc>
        <w:tc>
          <w:tcPr>
            <w:tcW w:w="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Additional</w:t>
            </w:r>
          </w:p>
        </w:tc>
        <w:tc>
          <w:tcPr>
            <w:tcW w:w="10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04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paid-in</w:t>
            </w:r>
          </w:p>
        </w:tc>
        <w:tc>
          <w:tcPr>
            <w:tcW w:w="1000" w:type="dxa"/>
            <w:vAlign w:val="bottom"/>
            <w:gridSpan w:val="2"/>
            <w:vMerge w:val="continue"/>
          </w:tcPr>
          <w:p>
            <w:pPr>
              <w:spacing w:after="0"/>
              <w:rPr>
                <w:sz w:val="12"/>
                <w:szCs w:val="12"/>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4560" w:type="dxa"/>
            <w:vAlign w:val="bottom"/>
            <w:tcBorders>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6"/>
              <w:spacing w:after="0" w:line="129" w:lineRule="exact"/>
              <w:rPr>
                <w:sz w:val="20"/>
                <w:szCs w:val="20"/>
                <w:color w:val="auto"/>
              </w:rPr>
            </w:pPr>
            <w:r>
              <w:rPr>
                <w:rFonts w:ascii="Arial" w:cs="Arial" w:eastAsia="Arial" w:hAnsi="Arial"/>
                <w:sz w:val="13"/>
                <w:szCs w:val="13"/>
                <w:b w:val="1"/>
                <w:bCs w:val="1"/>
                <w:color w:val="auto"/>
              </w:rPr>
              <w:t>Shares</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3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47"/>
              <w:spacing w:after="0" w:line="129" w:lineRule="exact"/>
              <w:rPr>
                <w:sz w:val="20"/>
                <w:szCs w:val="20"/>
                <w:color w:val="auto"/>
              </w:rPr>
            </w:pPr>
            <w:r>
              <w:rPr>
                <w:rFonts w:ascii="Arial" w:cs="Arial" w:eastAsia="Arial" w:hAnsi="Arial"/>
                <w:sz w:val="13"/>
                <w:szCs w:val="13"/>
                <w:b w:val="1"/>
                <w:bCs w:val="1"/>
                <w:color w:val="auto"/>
              </w:rPr>
              <w:t>Shares</w:t>
            </w:r>
          </w:p>
        </w:tc>
        <w:tc>
          <w:tcPr>
            <w:tcW w:w="580" w:type="dxa"/>
            <w:vAlign w:val="bottom"/>
            <w:tcBorders>
              <w:top w:val="single" w:sz="8" w:color="auto"/>
              <w:bottom w:val="single" w:sz="8" w:color="auto"/>
            </w:tcBorders>
            <w:gridSpan w:val="2"/>
          </w:tcPr>
          <w:p>
            <w:pPr>
              <w:ind w:left="100"/>
              <w:spacing w:after="0" w:line="129" w:lineRule="exact"/>
              <w:rPr>
                <w:sz w:val="20"/>
                <w:szCs w:val="20"/>
                <w:color w:val="auto"/>
              </w:rPr>
            </w:pPr>
            <w:r>
              <w:rPr>
                <w:rFonts w:ascii="Arial" w:cs="Arial" w:eastAsia="Arial" w:hAnsi="Arial"/>
                <w:sz w:val="13"/>
                <w:szCs w:val="13"/>
                <w:b w:val="1"/>
                <w:bCs w:val="1"/>
                <w:color w:val="auto"/>
                <w:w w:val="93"/>
              </w:rPr>
              <w:t>Amount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capital</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64"/>
              <w:spacing w:after="0" w:line="129" w:lineRule="exact"/>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55"/>
        </w:trPr>
        <w:tc>
          <w:tcPr>
            <w:tcW w:w="45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Balance as of December 31, 2021</w:t>
            </w:r>
          </w:p>
        </w:tc>
        <w:tc>
          <w:tcPr>
            <w:tcW w:w="980" w:type="dxa"/>
            <w:vAlign w:val="bottom"/>
            <w:shd w:val="clear" w:color="auto" w:fill="CCEEFF"/>
          </w:tcPr>
          <w:p>
            <w:pPr>
              <w:jc w:val="right"/>
              <w:ind w:right="6"/>
              <w:spacing w:after="0" w:line="156" w:lineRule="exact"/>
              <w:rPr>
                <w:sz w:val="20"/>
                <w:szCs w:val="20"/>
                <w:color w:val="auto"/>
              </w:rPr>
            </w:pPr>
            <w:r>
              <w:rPr>
                <w:rFonts w:ascii="Arial" w:cs="Arial" w:eastAsia="Arial" w:hAnsi="Arial"/>
                <w:sz w:val="15"/>
                <w:szCs w:val="15"/>
                <w:color w:val="auto"/>
              </w:rPr>
              <w:t>202,881,860</w:t>
            </w:r>
          </w:p>
        </w:tc>
        <w:tc>
          <w:tcPr>
            <w:tcW w:w="1060" w:type="dxa"/>
            <w:vAlign w:val="bottom"/>
            <w:tcBorders>
              <w:right w:val="single" w:sz="8" w:color="auto"/>
            </w:tcBorders>
            <w:gridSpan w:val="2"/>
            <w:shd w:val="clear" w:color="auto" w:fill="CCEEFF"/>
          </w:tcPr>
          <w:p>
            <w:pPr>
              <w:jc w:val="right"/>
              <w:ind w:right="320"/>
              <w:spacing w:after="0" w:line="156" w:lineRule="exact"/>
              <w:rPr>
                <w:sz w:val="20"/>
                <w:szCs w:val="20"/>
                <w:color w:val="auto"/>
              </w:rPr>
            </w:pPr>
            <w:r>
              <w:rPr>
                <w:rFonts w:ascii="Arial" w:cs="Arial" w:eastAsia="Arial" w:hAnsi="Arial"/>
                <w:sz w:val="15"/>
                <w:szCs w:val="15"/>
                <w:color w:val="auto"/>
              </w:rPr>
              <w:t>$382,328</w:t>
            </w:r>
          </w:p>
        </w:tc>
        <w:tc>
          <w:tcPr>
            <w:tcW w:w="1020" w:type="dxa"/>
            <w:vAlign w:val="bottom"/>
            <w:gridSpan w:val="2"/>
            <w:shd w:val="clear" w:color="auto" w:fill="CCEEFF"/>
          </w:tcPr>
          <w:p>
            <w:pPr>
              <w:jc w:val="right"/>
              <w:ind w:right="47"/>
              <w:spacing w:after="0" w:line="156" w:lineRule="exact"/>
              <w:rPr>
                <w:sz w:val="20"/>
                <w:szCs w:val="20"/>
                <w:color w:val="auto"/>
              </w:rPr>
            </w:pPr>
            <w:r>
              <w:rPr>
                <w:rFonts w:ascii="Arial" w:cs="Arial" w:eastAsia="Arial" w:hAnsi="Arial"/>
                <w:sz w:val="15"/>
                <w:szCs w:val="15"/>
                <w:color w:val="auto"/>
              </w:rPr>
              <w:t>22,935,931</w:t>
            </w:r>
          </w:p>
        </w:tc>
        <w:tc>
          <w:tcPr>
            <w:tcW w:w="280" w:type="dxa"/>
            <w:vAlign w:val="bottom"/>
            <w:shd w:val="clear" w:color="auto" w:fill="CCEEFF"/>
          </w:tcPr>
          <w:p>
            <w:pPr>
              <w:ind w:left="80"/>
              <w:spacing w:after="0" w:line="156"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17</w:t>
            </w:r>
          </w:p>
        </w:tc>
        <w:tc>
          <w:tcPr>
            <w:tcW w:w="2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5,616</w:t>
            </w:r>
          </w:p>
        </w:tc>
        <w:tc>
          <w:tcPr>
            <w:tcW w:w="200" w:type="dxa"/>
            <w:vAlign w:val="bottom"/>
            <w:shd w:val="clear" w:color="auto" w:fill="CCEEFF"/>
          </w:tcPr>
          <w:p>
            <w:pPr>
              <w:ind w:left="60"/>
              <w:spacing w:after="0" w:line="156" w:lineRule="exact"/>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rPr>
              <w:t>(180,331)</w:t>
            </w: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5"/>
                <w:szCs w:val="15"/>
                <w:color w:val="auto"/>
              </w:rPr>
              <w:t>(174,698)</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Issuance of Series C redeemable convertible preferred stock</w:t>
            </w:r>
          </w:p>
        </w:tc>
        <w:tc>
          <w:tcPr>
            <w:tcW w:w="980" w:type="dxa"/>
            <w:vAlign w:val="bottom"/>
          </w:tcPr>
          <w:p>
            <w:pPr>
              <w:jc w:val="right"/>
              <w:ind w:right="6"/>
              <w:spacing w:after="0" w:line="162" w:lineRule="exact"/>
              <w:rPr>
                <w:sz w:val="20"/>
                <w:szCs w:val="20"/>
                <w:color w:val="auto"/>
              </w:rPr>
            </w:pPr>
            <w:r>
              <w:rPr>
                <w:rFonts w:ascii="Arial" w:cs="Arial" w:eastAsia="Arial" w:hAnsi="Arial"/>
                <w:sz w:val="15"/>
                <w:szCs w:val="15"/>
                <w:color w:val="auto"/>
              </w:rPr>
              <w:t>533,164</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1,574</w:t>
            </w:r>
          </w:p>
        </w:tc>
        <w:tc>
          <w:tcPr>
            <w:tcW w:w="80" w:type="dxa"/>
            <w:vAlign w:val="bottom"/>
          </w:tcPr>
          <w:p>
            <w:pPr>
              <w:spacing w:after="0"/>
              <w:rPr>
                <w:sz w:val="14"/>
                <w:szCs w:val="14"/>
                <w:color w:val="auto"/>
              </w:rPr>
            </w:pPr>
          </w:p>
        </w:tc>
        <w:tc>
          <w:tcPr>
            <w:tcW w:w="940" w:type="dxa"/>
            <w:vAlign w:val="bottom"/>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Exercise of stock options</w:t>
            </w:r>
          </w:p>
        </w:tc>
        <w:tc>
          <w:tcPr>
            <w:tcW w:w="9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47"/>
              <w:spacing w:after="0" w:line="162" w:lineRule="exact"/>
              <w:rPr>
                <w:sz w:val="20"/>
                <w:szCs w:val="20"/>
                <w:color w:val="auto"/>
              </w:rPr>
            </w:pPr>
            <w:r>
              <w:rPr>
                <w:rFonts w:ascii="Arial" w:cs="Arial" w:eastAsia="Arial" w:hAnsi="Arial"/>
                <w:sz w:val="15"/>
                <w:szCs w:val="15"/>
                <w:color w:val="auto"/>
              </w:rPr>
              <w:t>168,781</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9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47"/>
              <w:spacing w:after="0" w:line="162" w:lineRule="exact"/>
              <w:rPr>
                <w:sz w:val="20"/>
                <w:szCs w:val="20"/>
                <w:color w:val="auto"/>
              </w:rPr>
            </w:pPr>
            <w:r>
              <w:rPr>
                <w:rFonts w:ascii="Arial" w:cs="Arial" w:eastAsia="Arial" w:hAnsi="Arial"/>
                <w:sz w:val="15"/>
                <w:szCs w:val="15"/>
                <w:color w:val="auto"/>
              </w:rPr>
              <w:t>50</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4560" w:type="dxa"/>
            <w:vAlign w:val="bottom"/>
            <w:shd w:val="clear" w:color="auto" w:fill="CCEEFF"/>
          </w:tcPr>
          <w:p>
            <w:pPr>
              <w:spacing w:after="0" w:line="145" w:lineRule="exact"/>
              <w:rPr>
                <w:sz w:val="20"/>
                <w:szCs w:val="20"/>
                <w:color w:val="auto"/>
              </w:rPr>
            </w:pPr>
            <w:r>
              <w:rPr>
                <w:rFonts w:ascii="Arial" w:cs="Arial" w:eastAsia="Arial" w:hAnsi="Arial"/>
                <w:sz w:val="15"/>
                <w:szCs w:val="15"/>
                <w:color w:val="auto"/>
              </w:rPr>
              <w:t>Repurchase of unvested restricted stock</w:t>
            </w:r>
          </w:p>
        </w:tc>
        <w:tc>
          <w:tcPr>
            <w:tcW w:w="9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and early exercised stock options</w:t>
            </w: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(236,473)</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Vesting of restricted stock and early exercised stock options</w:t>
            </w:r>
          </w:p>
        </w:tc>
        <w:tc>
          <w:tcPr>
            <w:tcW w:w="9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40" w:type="dxa"/>
            <w:vAlign w:val="bottom"/>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4</w:t>
            </w:r>
          </w:p>
        </w:tc>
        <w:tc>
          <w:tcPr>
            <w:tcW w:w="2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227</w:t>
            </w:r>
          </w:p>
        </w:tc>
        <w:tc>
          <w:tcPr>
            <w:tcW w:w="2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Stock-based compensation expense</w:t>
            </w:r>
          </w:p>
        </w:tc>
        <w:tc>
          <w:tcPr>
            <w:tcW w:w="9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6,736</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6,736</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Net loss and comprehensive loss</w:t>
            </w:r>
          </w:p>
        </w:tc>
        <w:tc>
          <w:tcPr>
            <w:tcW w:w="9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40" w:type="dxa"/>
            <w:vAlign w:val="bottom"/>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tcPr>
          <w:p>
            <w:pPr>
              <w:jc w:val="right"/>
              <w:ind w:right="24"/>
              <w:spacing w:after="0" w:line="162" w:lineRule="exact"/>
              <w:rPr>
                <w:sz w:val="20"/>
                <w:szCs w:val="20"/>
                <w:color w:val="auto"/>
              </w:rPr>
            </w:pPr>
            <w:r>
              <w:rPr>
                <w:rFonts w:ascii="Arial" w:cs="Arial" w:eastAsia="Arial" w:hAnsi="Arial"/>
                <w:sz w:val="15"/>
                <w:szCs w:val="15"/>
                <w:color w:val="auto"/>
              </w:rPr>
              <w:t>(114,940)</w:t>
            </w:r>
          </w:p>
        </w:tc>
        <w:tc>
          <w:tcPr>
            <w:tcW w:w="200" w:type="dxa"/>
            <w:vAlign w:val="bottom"/>
          </w:tcPr>
          <w:p>
            <w:pPr>
              <w:spacing w:after="0"/>
              <w:rPr>
                <w:sz w:val="14"/>
                <w:szCs w:val="14"/>
                <w:color w:val="auto"/>
              </w:rPr>
            </w:pPr>
          </w:p>
        </w:tc>
        <w:tc>
          <w:tcPr>
            <w:tcW w:w="8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(114,940)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Balance as of December 31, 2022</w:t>
            </w:r>
          </w:p>
        </w:tc>
        <w:tc>
          <w:tcPr>
            <w:tcW w:w="9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203,415,024</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383,902</w:t>
            </w:r>
          </w:p>
        </w:tc>
        <w:tc>
          <w:tcPr>
            <w:tcW w:w="1020" w:type="dxa"/>
            <w:vAlign w:val="bottom"/>
            <w:gridSpan w:val="2"/>
            <w:shd w:val="clear" w:color="auto" w:fill="CCEEFF"/>
          </w:tcPr>
          <w:p>
            <w:pPr>
              <w:jc w:val="right"/>
              <w:ind w:right="47"/>
              <w:spacing w:after="0" w:line="162" w:lineRule="exact"/>
              <w:rPr>
                <w:sz w:val="20"/>
                <w:szCs w:val="20"/>
                <w:color w:val="auto"/>
              </w:rPr>
            </w:pPr>
            <w:r>
              <w:rPr>
                <w:rFonts w:ascii="Arial" w:cs="Arial" w:eastAsia="Arial" w:hAnsi="Arial"/>
                <w:sz w:val="15"/>
                <w:szCs w:val="15"/>
                <w:color w:val="auto"/>
              </w:rPr>
              <w:t>22,868,289</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12,791</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(295,271)</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(282,459)</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Exercise of stock options</w:t>
            </w:r>
          </w:p>
        </w:tc>
        <w:tc>
          <w:tcPr>
            <w:tcW w:w="9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47"/>
              <w:spacing w:after="0" w:line="162" w:lineRule="exact"/>
              <w:rPr>
                <w:sz w:val="20"/>
                <w:szCs w:val="20"/>
                <w:color w:val="auto"/>
              </w:rPr>
            </w:pPr>
            <w:r>
              <w:rPr>
                <w:rFonts w:ascii="Arial" w:cs="Arial" w:eastAsia="Arial" w:hAnsi="Arial"/>
                <w:sz w:val="15"/>
                <w:szCs w:val="15"/>
                <w:color w:val="auto"/>
              </w:rPr>
              <w:t>175,104</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216</w:t>
            </w:r>
          </w:p>
        </w:tc>
        <w:tc>
          <w:tcPr>
            <w:tcW w:w="2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Issuance of restricted stock</w:t>
            </w:r>
          </w:p>
        </w:tc>
        <w:tc>
          <w:tcPr>
            <w:tcW w:w="9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47"/>
              <w:spacing w:after="0" w:line="162" w:lineRule="exact"/>
              <w:rPr>
                <w:sz w:val="20"/>
                <w:szCs w:val="20"/>
                <w:color w:val="auto"/>
              </w:rPr>
            </w:pPr>
            <w:r>
              <w:rPr>
                <w:rFonts w:ascii="Arial" w:cs="Arial" w:eastAsia="Arial" w:hAnsi="Arial"/>
                <w:sz w:val="15"/>
                <w:szCs w:val="15"/>
                <w:color w:val="auto"/>
              </w:rPr>
              <w:t>250</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4560" w:type="dxa"/>
            <w:vAlign w:val="bottom"/>
          </w:tcPr>
          <w:p>
            <w:pPr>
              <w:spacing w:after="0" w:line="145" w:lineRule="exact"/>
              <w:rPr>
                <w:sz w:val="20"/>
                <w:szCs w:val="20"/>
                <w:color w:val="auto"/>
              </w:rPr>
            </w:pPr>
            <w:r>
              <w:rPr>
                <w:rFonts w:ascii="Arial" w:cs="Arial" w:eastAsia="Arial" w:hAnsi="Arial"/>
                <w:sz w:val="15"/>
                <w:szCs w:val="15"/>
                <w:color w:val="auto"/>
              </w:rPr>
              <w:t>Repurchase of unvested restricted stock and early exercised</w:t>
            </w: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60" w:type="dxa"/>
            <w:vAlign w:val="bottom"/>
          </w:tcPr>
          <w:p>
            <w:pPr>
              <w:ind w:left="140"/>
              <w:spacing w:after="0"/>
              <w:rPr>
                <w:sz w:val="20"/>
                <w:szCs w:val="20"/>
                <w:color w:val="auto"/>
              </w:rPr>
            </w:pPr>
            <w:r>
              <w:rPr>
                <w:rFonts w:ascii="Arial" w:cs="Arial" w:eastAsia="Arial" w:hAnsi="Arial"/>
                <w:sz w:val="15"/>
                <w:szCs w:val="15"/>
                <w:color w:val="auto"/>
              </w:rPr>
              <w:t>stock options</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(46,667)</w:t>
            </w:r>
          </w:p>
        </w:tc>
        <w:tc>
          <w:tcPr>
            <w:tcW w:w="2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Vesting of restricted stock and early exercised stock options</w:t>
            </w:r>
          </w:p>
        </w:tc>
        <w:tc>
          <w:tcPr>
            <w:tcW w:w="9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62</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62"/>
        </w:trPr>
        <w:tc>
          <w:tcPr>
            <w:tcW w:w="4560" w:type="dxa"/>
            <w:vAlign w:val="bottom"/>
          </w:tcPr>
          <w:p>
            <w:pPr>
              <w:spacing w:after="0" w:line="162" w:lineRule="exact"/>
              <w:rPr>
                <w:sz w:val="20"/>
                <w:szCs w:val="20"/>
                <w:color w:val="auto"/>
              </w:rPr>
            </w:pPr>
            <w:r>
              <w:rPr>
                <w:rFonts w:ascii="Arial" w:cs="Arial" w:eastAsia="Arial" w:hAnsi="Arial"/>
                <w:sz w:val="15"/>
                <w:szCs w:val="15"/>
                <w:color w:val="auto"/>
              </w:rPr>
              <w:t>Stock-based compensation expense</w:t>
            </w:r>
          </w:p>
        </w:tc>
        <w:tc>
          <w:tcPr>
            <w:tcW w:w="980" w:type="dxa"/>
            <w:vAlign w:val="bottom"/>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940" w:type="dxa"/>
            <w:vAlign w:val="bottom"/>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3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8,747</w:t>
            </w:r>
          </w:p>
        </w:tc>
        <w:tc>
          <w:tcPr>
            <w:tcW w:w="200" w:type="dxa"/>
            <w:vAlign w:val="bottom"/>
          </w:tcPr>
          <w:p>
            <w:pPr>
              <w:spacing w:after="0"/>
              <w:rPr>
                <w:sz w:val="14"/>
                <w:szCs w:val="14"/>
                <w:color w:val="auto"/>
              </w:rPr>
            </w:pPr>
          </w:p>
        </w:tc>
        <w:tc>
          <w:tcPr>
            <w:tcW w:w="8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8,747</w:t>
            </w:r>
          </w:p>
        </w:tc>
        <w:tc>
          <w:tcPr>
            <w:tcW w:w="0" w:type="dxa"/>
            <w:vAlign w:val="bottom"/>
          </w:tcPr>
          <w:p>
            <w:pPr>
              <w:spacing w:after="0"/>
              <w:rPr>
                <w:sz w:val="1"/>
                <w:szCs w:val="1"/>
                <w:color w:val="auto"/>
              </w:rPr>
            </w:pPr>
          </w:p>
        </w:tc>
      </w:tr>
      <w:tr>
        <w:trPr>
          <w:trHeight w:val="162"/>
        </w:trPr>
        <w:tc>
          <w:tcPr>
            <w:tcW w:w="45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loss and comprehensive loss</w:t>
            </w:r>
          </w:p>
        </w:tc>
        <w:tc>
          <w:tcPr>
            <w:tcW w:w="980" w:type="dxa"/>
            <w:vAlign w:val="bottom"/>
            <w:shd w:val="clear" w:color="auto" w:fill="CCEEFF"/>
          </w:tcPr>
          <w:p>
            <w:pPr>
              <w:jc w:val="right"/>
              <w:ind w:right="6"/>
              <w:spacing w:after="0" w:line="162" w:lineRule="exact"/>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7"/>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(100,415)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(100,415)</w:t>
            </w:r>
          </w:p>
        </w:tc>
        <w:tc>
          <w:tcPr>
            <w:tcW w:w="0" w:type="dxa"/>
            <w:vAlign w:val="bottom"/>
          </w:tcPr>
          <w:p>
            <w:pPr>
              <w:spacing w:after="0"/>
              <w:rPr>
                <w:sz w:val="1"/>
                <w:szCs w:val="1"/>
                <w:color w:val="auto"/>
              </w:rPr>
            </w:pPr>
          </w:p>
        </w:tc>
      </w:tr>
      <w:tr>
        <w:trPr>
          <w:trHeight w:val="169"/>
        </w:trPr>
        <w:tc>
          <w:tcPr>
            <w:tcW w:w="4560" w:type="dxa"/>
            <w:vAlign w:val="bottom"/>
          </w:tcPr>
          <w:p>
            <w:pPr>
              <w:spacing w:after="0" w:line="169" w:lineRule="exact"/>
              <w:rPr>
                <w:sz w:val="20"/>
                <w:szCs w:val="20"/>
                <w:color w:val="auto"/>
              </w:rPr>
            </w:pPr>
            <w:r>
              <w:rPr>
                <w:rFonts w:ascii="Arial" w:cs="Arial" w:eastAsia="Arial" w:hAnsi="Arial"/>
                <w:sz w:val="15"/>
                <w:szCs w:val="15"/>
                <w:color w:val="auto"/>
              </w:rPr>
              <w:t>Balance as of December 31, 2023</w:t>
            </w:r>
          </w:p>
        </w:tc>
        <w:tc>
          <w:tcPr>
            <w:tcW w:w="980" w:type="dxa"/>
            <w:vAlign w:val="bottom"/>
            <w:tcBorders>
              <w:top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rPr>
              <w:t>203,415,024</w:t>
            </w:r>
          </w:p>
        </w:tc>
        <w:tc>
          <w:tcPr>
            <w:tcW w:w="1060" w:type="dxa"/>
            <w:vAlign w:val="bottom"/>
            <w:tcBorders>
              <w:top w:val="single" w:sz="8" w:color="auto"/>
              <w:right w:val="single" w:sz="8" w:color="auto"/>
            </w:tcBorders>
            <w:gridSpan w:val="2"/>
          </w:tcPr>
          <w:p>
            <w:pPr>
              <w:jc w:val="right"/>
              <w:ind w:right="320"/>
              <w:spacing w:after="0" w:line="169" w:lineRule="exact"/>
              <w:rPr>
                <w:sz w:val="20"/>
                <w:szCs w:val="20"/>
                <w:color w:val="auto"/>
              </w:rPr>
            </w:pPr>
            <w:r>
              <w:rPr>
                <w:rFonts w:ascii="Arial" w:cs="Arial" w:eastAsia="Arial" w:hAnsi="Arial"/>
                <w:sz w:val="15"/>
                <w:szCs w:val="15"/>
                <w:color w:val="auto"/>
              </w:rPr>
              <w:t>$383,902</w:t>
            </w:r>
          </w:p>
        </w:tc>
        <w:tc>
          <w:tcPr>
            <w:tcW w:w="1020" w:type="dxa"/>
            <w:vAlign w:val="bottom"/>
            <w:tcBorders>
              <w:top w:val="single" w:sz="8" w:color="auto"/>
            </w:tcBorders>
            <w:gridSpan w:val="2"/>
          </w:tcPr>
          <w:p>
            <w:pPr>
              <w:jc w:val="right"/>
              <w:ind w:right="47"/>
              <w:spacing w:after="0" w:line="169" w:lineRule="exact"/>
              <w:rPr>
                <w:sz w:val="20"/>
                <w:szCs w:val="20"/>
                <w:color w:val="auto"/>
              </w:rPr>
            </w:pPr>
            <w:r>
              <w:rPr>
                <w:rFonts w:ascii="Arial" w:cs="Arial" w:eastAsia="Arial" w:hAnsi="Arial"/>
                <w:sz w:val="15"/>
                <w:szCs w:val="15"/>
                <w:color w:val="auto"/>
              </w:rPr>
              <w:t>22,996,976</w:t>
            </w:r>
          </w:p>
        </w:tc>
        <w:tc>
          <w:tcPr>
            <w:tcW w:w="280" w:type="dxa"/>
            <w:vAlign w:val="bottom"/>
            <w:tcBorders>
              <w:top w:val="single" w:sz="8" w:color="auto"/>
            </w:tcBorders>
          </w:tcPr>
          <w:p>
            <w:pPr>
              <w:ind w:left="80"/>
              <w:spacing w:after="0" w:line="169"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22</w:t>
            </w:r>
          </w:p>
        </w:tc>
        <w:tc>
          <w:tcPr>
            <w:tcW w:w="2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21,816</w:t>
            </w:r>
          </w:p>
        </w:tc>
        <w:tc>
          <w:tcPr>
            <w:tcW w:w="200" w:type="dxa"/>
            <w:vAlign w:val="bottom"/>
            <w:tcBorders>
              <w:top w:val="single" w:sz="8" w:color="auto"/>
            </w:tcBorders>
          </w:tcPr>
          <w:p>
            <w:pPr>
              <w:ind w:left="60"/>
              <w:spacing w:after="0" w:line="169"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rPr>
              <w:t>(395,686)</w:t>
            </w:r>
          </w:p>
        </w:tc>
        <w:tc>
          <w:tcPr>
            <w:tcW w:w="2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(373,848)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34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Maze Therapeutics, Inc.</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Statements of cash flows</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9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9"/>
              </w:rPr>
              <w:t>December 31,</w:t>
            </w:r>
          </w:p>
        </w:tc>
      </w:tr>
      <w:tr>
        <w:trPr>
          <w:trHeight w:val="183"/>
        </w:trPr>
        <w:tc>
          <w:tcPr>
            <w:tcW w:w="90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5"/>
                <w:szCs w:val="15"/>
                <w:color w:val="auto"/>
              </w:rPr>
            </w:pPr>
          </w:p>
        </w:tc>
      </w:tr>
      <w:tr>
        <w:trPr>
          <w:trHeight w:val="48"/>
        </w:trPr>
        <w:tc>
          <w:tcPr>
            <w:tcW w:w="9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5"/>
        </w:trPr>
        <w:tc>
          <w:tcPr>
            <w:tcW w:w="90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(114,940)</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(100,415)</w:t>
            </w:r>
          </w:p>
        </w:tc>
      </w:tr>
      <w:tr>
        <w:trPr>
          <w:trHeight w:val="42"/>
        </w:trPr>
        <w:tc>
          <w:tcPr>
            <w:tcW w:w="9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020" w:type="dxa"/>
            <w:vAlign w:val="bottom"/>
          </w:tcPr>
          <w:p>
            <w:pPr>
              <w:ind w:left="16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3,820</w:t>
            </w:r>
          </w:p>
        </w:tc>
        <w:tc>
          <w:tcPr>
            <w:tcW w:w="3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4,089</w:t>
            </w:r>
          </w:p>
        </w:tc>
      </w:tr>
      <w:tr>
        <w:trPr>
          <w:trHeight w:val="189"/>
        </w:trPr>
        <w:tc>
          <w:tcPr>
            <w:tcW w:w="9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6,736</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8,747</w:t>
            </w:r>
          </w:p>
        </w:tc>
      </w:tr>
      <w:tr>
        <w:trPr>
          <w:trHeight w:val="189"/>
        </w:trPr>
        <w:tc>
          <w:tcPr>
            <w:tcW w:w="9020" w:type="dxa"/>
            <w:vAlign w:val="bottom"/>
          </w:tcPr>
          <w:p>
            <w:pPr>
              <w:ind w:left="160"/>
              <w:spacing w:after="0"/>
              <w:rPr>
                <w:sz w:val="20"/>
                <w:szCs w:val="20"/>
                <w:color w:val="auto"/>
              </w:rPr>
            </w:pPr>
            <w:r>
              <w:rPr>
                <w:rFonts w:ascii="Arial" w:cs="Arial" w:eastAsia="Arial" w:hAnsi="Arial"/>
                <w:sz w:val="16"/>
                <w:szCs w:val="16"/>
                <w:color w:val="auto"/>
              </w:rPr>
              <w:t>Non-cash lease expense</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2,507</w:t>
            </w:r>
          </w:p>
        </w:tc>
        <w:tc>
          <w:tcPr>
            <w:tcW w:w="3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2,687</w:t>
            </w:r>
          </w:p>
        </w:tc>
      </w:tr>
      <w:tr>
        <w:trPr>
          <w:trHeight w:val="189"/>
        </w:trPr>
        <w:tc>
          <w:tcPr>
            <w:tcW w:w="9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loss on impairment and dissolution of equity method investment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9020" w:type="dxa"/>
            <w:vAlign w:val="bottom"/>
          </w:tcPr>
          <w:p>
            <w:pPr>
              <w:ind w:left="160"/>
              <w:spacing w:after="0"/>
              <w:rPr>
                <w:sz w:val="20"/>
                <w:szCs w:val="20"/>
                <w:color w:val="auto"/>
              </w:rPr>
            </w:pPr>
            <w:r>
              <w:rPr>
                <w:rFonts w:ascii="Arial" w:cs="Arial" w:eastAsia="Arial" w:hAnsi="Arial"/>
                <w:sz w:val="16"/>
                <w:szCs w:val="16"/>
                <w:color w:val="auto"/>
              </w:rPr>
              <w:t>Non-cash share of net loss in equity method investments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3,542</w:t>
            </w:r>
          </w:p>
        </w:tc>
        <w:tc>
          <w:tcPr>
            <w:tcW w:w="3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9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 in fair value of convertible promissory notes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3,830</w:t>
            </w:r>
          </w:p>
        </w:tc>
      </w:tr>
      <w:tr>
        <w:trPr>
          <w:trHeight w:val="215"/>
        </w:trPr>
        <w:tc>
          <w:tcPr>
            <w:tcW w:w="9020" w:type="dxa"/>
            <w:vAlign w:val="bottom"/>
          </w:tcPr>
          <w:p>
            <w:pPr>
              <w:ind w:left="160"/>
              <w:spacing w:after="0"/>
              <w:rPr>
                <w:sz w:val="20"/>
                <w:szCs w:val="20"/>
                <w:color w:val="auto"/>
              </w:rPr>
            </w:pPr>
            <w:r>
              <w:rPr>
                <w:rFonts w:ascii="Arial" w:cs="Arial" w:eastAsia="Arial" w:hAnsi="Arial"/>
                <w:sz w:val="16"/>
                <w:szCs w:val="16"/>
                <w:color w:val="auto"/>
              </w:rPr>
              <w:t>Other items,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w:t>
            </w:r>
          </w:p>
        </w:tc>
        <w:tc>
          <w:tcPr>
            <w:tcW w:w="3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551</w:t>
            </w:r>
          </w:p>
        </w:tc>
      </w:tr>
      <w:tr>
        <w:trPr>
          <w:trHeight w:val="42"/>
        </w:trPr>
        <w:tc>
          <w:tcPr>
            <w:tcW w:w="9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020" w:type="dxa"/>
            <w:vAlign w:val="bottom"/>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(894)</w:t>
            </w:r>
          </w:p>
        </w:tc>
        <w:tc>
          <w:tcPr>
            <w:tcW w:w="3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924</w:t>
            </w:r>
          </w:p>
        </w:tc>
      </w:tr>
      <w:tr>
        <w:trPr>
          <w:trHeight w:val="189"/>
        </w:trPr>
        <w:tc>
          <w:tcPr>
            <w:tcW w:w="9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w:t>
            </w:r>
          </w:p>
        </w:tc>
      </w:tr>
      <w:tr>
        <w:trPr>
          <w:trHeight w:val="189"/>
        </w:trPr>
        <w:tc>
          <w:tcPr>
            <w:tcW w:w="902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(3,777)</w:t>
            </w:r>
          </w:p>
        </w:tc>
        <w:tc>
          <w:tcPr>
            <w:tcW w:w="38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399</w:t>
            </w:r>
          </w:p>
        </w:tc>
      </w:tr>
      <w:tr>
        <w:trPr>
          <w:trHeight w:val="189"/>
        </w:trPr>
        <w:tc>
          <w:tcPr>
            <w:tcW w:w="90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expenses and other liabilities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(5,092)</w:t>
            </w:r>
          </w:p>
        </w:tc>
      </w:tr>
      <w:tr>
        <w:trPr>
          <w:trHeight w:val="189"/>
        </w:trPr>
        <w:tc>
          <w:tcPr>
            <w:tcW w:w="9020" w:type="dxa"/>
            <w:vAlign w:val="bottom"/>
          </w:tcPr>
          <w:p>
            <w:pPr>
              <w:ind w:left="160"/>
              <w:spacing w:after="0"/>
              <w:rPr>
                <w:sz w:val="20"/>
                <w:szCs w:val="20"/>
                <w:color w:val="auto"/>
              </w:rPr>
            </w:pPr>
            <w:r>
              <w:rPr>
                <w:rFonts w:ascii="Arial" w:cs="Arial" w:eastAsia="Arial" w:hAnsi="Arial"/>
                <w:sz w:val="16"/>
                <w:szCs w:val="16"/>
                <w:color w:val="auto"/>
              </w:rPr>
              <w:t>Operating lease liabilities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(2,574)</w:t>
            </w:r>
          </w:p>
        </w:tc>
        <w:tc>
          <w:tcPr>
            <w:tcW w:w="3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(2,512)</w:t>
            </w: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(99,203)</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(86,827)</w:t>
            </w:r>
          </w:p>
        </w:tc>
      </w:tr>
      <w:tr>
        <w:trPr>
          <w:trHeight w:val="263"/>
        </w:trPr>
        <w:tc>
          <w:tcPr>
            <w:tcW w:w="90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(441)</w:t>
            </w:r>
          </w:p>
        </w:tc>
      </w:tr>
      <w:tr>
        <w:trPr>
          <w:trHeight w:val="196"/>
        </w:trPr>
        <w:tc>
          <w:tcPr>
            <w:tcW w:w="9020" w:type="dxa"/>
            <w:vAlign w:val="bottom"/>
          </w:tcPr>
          <w:p>
            <w:pPr>
              <w:spacing w:after="0"/>
              <w:rPr>
                <w:sz w:val="20"/>
                <w:szCs w:val="20"/>
                <w:color w:val="auto"/>
              </w:rPr>
            </w:pPr>
            <w:r>
              <w:rPr>
                <w:rFonts w:ascii="Arial" w:cs="Arial" w:eastAsia="Arial" w:hAnsi="Arial"/>
                <w:sz w:val="16"/>
                <w:szCs w:val="16"/>
                <w:color w:val="auto"/>
              </w:rPr>
              <w:t>Contributions for equity method investments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w:t>
            </w: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189"/>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(441)</w:t>
            </w:r>
          </w:p>
        </w:tc>
      </w:tr>
      <w:tr>
        <w:trPr>
          <w:trHeight w:val="263"/>
        </w:trPr>
        <w:tc>
          <w:tcPr>
            <w:tcW w:w="902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Series C redeemable convertible preferred stock</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9020" w:type="dxa"/>
            <w:vAlign w:val="bottom"/>
          </w:tcPr>
          <w:p>
            <w:pPr>
              <w:spacing w:after="0"/>
              <w:rPr>
                <w:sz w:val="20"/>
                <w:szCs w:val="20"/>
                <w:color w:val="auto"/>
              </w:rPr>
            </w:pPr>
            <w:r>
              <w:rPr>
                <w:rFonts w:ascii="Arial" w:cs="Arial" w:eastAsia="Arial" w:hAnsi="Arial"/>
                <w:sz w:val="16"/>
                <w:szCs w:val="16"/>
                <w:color w:val="auto"/>
              </w:rPr>
              <w:t>Proceeds from issuance of convertible promissory notes, net of issuance costs</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16,176</w:t>
            </w:r>
          </w:p>
        </w:tc>
        <w:tc>
          <w:tcPr>
            <w:tcW w:w="120" w:type="dxa"/>
            <w:vAlign w:val="bottom"/>
          </w:tcPr>
          <w:p>
            <w:pPr>
              <w:spacing w:after="0"/>
              <w:rPr>
                <w:sz w:val="16"/>
                <w:szCs w:val="16"/>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 awards, net of repurchases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209</w:t>
            </w: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1,728</w:t>
            </w:r>
          </w:p>
        </w:tc>
        <w:tc>
          <w:tcPr>
            <w:tcW w:w="3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16,385</w:t>
            </w:r>
          </w:p>
        </w:tc>
        <w:tc>
          <w:tcPr>
            <w:tcW w:w="120" w:type="dxa"/>
            <w:vAlign w:val="bottom"/>
          </w:tcPr>
          <w:p>
            <w:pPr>
              <w:spacing w:after="0"/>
              <w:rPr>
                <w:sz w:val="17"/>
                <w:szCs w:val="17"/>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 cash equivalents, and restricted cash</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(100,645)</w:t>
            </w: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(70,883)</w:t>
            </w:r>
          </w:p>
        </w:tc>
      </w:tr>
      <w:tr>
        <w:trPr>
          <w:trHeight w:val="196"/>
        </w:trPr>
        <w:tc>
          <w:tcPr>
            <w:tcW w:w="902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201,774</w:t>
            </w: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101,129</w:t>
            </w:r>
          </w:p>
        </w:tc>
        <w:tc>
          <w:tcPr>
            <w:tcW w:w="120" w:type="dxa"/>
            <w:vAlign w:val="bottom"/>
          </w:tcPr>
          <w:p>
            <w:pPr>
              <w:spacing w:after="0"/>
              <w:rPr>
                <w:sz w:val="17"/>
                <w:szCs w:val="17"/>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101,129</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30,246</w:t>
            </w:r>
          </w:p>
        </w:tc>
        <w:tc>
          <w:tcPr>
            <w:tcW w:w="120" w:type="dxa"/>
            <w:vAlign w:val="bottom"/>
            <w:shd w:val="clear" w:color="auto" w:fill="CCEEFF"/>
          </w:tcPr>
          <w:p>
            <w:pPr>
              <w:spacing w:after="0"/>
              <w:rPr>
                <w:sz w:val="16"/>
                <w:szCs w:val="16"/>
                <w:color w:val="auto"/>
              </w:rPr>
            </w:pPr>
          </w:p>
        </w:tc>
      </w:tr>
      <w:tr>
        <w:trPr>
          <w:trHeight w:val="264"/>
        </w:trPr>
        <w:tc>
          <w:tcPr>
            <w:tcW w:w="902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 recorded in 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w:t>
            </w:r>
          </w:p>
        </w:tc>
      </w:tr>
      <w:tr>
        <w:trPr>
          <w:trHeight w:val="189"/>
        </w:trPr>
        <w:tc>
          <w:tcPr>
            <w:tcW w:w="9020" w:type="dxa"/>
            <w:vAlign w:val="bottom"/>
          </w:tcPr>
          <w:p>
            <w:pPr>
              <w:spacing w:after="0"/>
              <w:rPr>
                <w:sz w:val="20"/>
                <w:szCs w:val="20"/>
                <w:color w:val="auto"/>
              </w:rPr>
            </w:pPr>
            <w:r>
              <w:rPr>
                <w:rFonts w:ascii="Arial" w:cs="Arial" w:eastAsia="Arial" w:hAnsi="Arial"/>
                <w:sz w:val="16"/>
                <w:szCs w:val="16"/>
                <w:color w:val="auto"/>
              </w:rPr>
              <w:t>Vesting of restricted stock and stock options subject to repurchase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obtained by accrued commitment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15"/>
        </w:trPr>
        <w:tc>
          <w:tcPr>
            <w:tcW w:w="9020" w:type="dxa"/>
            <w:vAlign w:val="bottom"/>
          </w:tcPr>
          <w:p>
            <w:pPr>
              <w:spacing w:after="0"/>
              <w:rPr>
                <w:sz w:val="20"/>
                <w:szCs w:val="20"/>
                <w:color w:val="auto"/>
              </w:rPr>
            </w:pPr>
            <w:r>
              <w:rPr>
                <w:rFonts w:ascii="Arial" w:cs="Arial" w:eastAsia="Arial" w:hAnsi="Arial"/>
                <w:sz w:val="16"/>
                <w:szCs w:val="16"/>
                <w:color w:val="auto"/>
              </w:rPr>
              <w:t>Initial fair value of line-of-credit success fee derivative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175</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42"/>
        </w:trPr>
        <w:tc>
          <w:tcPr>
            <w:tcW w:w="9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Reconciliation to cash, cash equivalents, and restricted cash:</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0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99,919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29,158</w:t>
            </w:r>
          </w:p>
        </w:tc>
        <w:tc>
          <w:tcPr>
            <w:tcW w:w="120" w:type="dxa"/>
            <w:vAlign w:val="bottom"/>
          </w:tcPr>
          <w:p>
            <w:pPr>
              <w:spacing w:after="0"/>
              <w:rPr>
                <w:sz w:val="16"/>
                <w:szCs w:val="16"/>
                <w:color w:val="auto"/>
              </w:rPr>
            </w:pPr>
          </w:p>
        </w:tc>
      </w:tr>
      <w:tr>
        <w:trPr>
          <w:trHeight w:val="189"/>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1,088</w:t>
            </w:r>
          </w:p>
        </w:tc>
      </w:tr>
      <w:tr>
        <w:trPr>
          <w:trHeight w:val="208"/>
        </w:trPr>
        <w:tc>
          <w:tcPr>
            <w:tcW w:w="9020" w:type="dxa"/>
            <w:vAlign w:val="bottom"/>
          </w:tcPr>
          <w:p>
            <w:pPr>
              <w:spacing w:after="0"/>
              <w:rPr>
                <w:sz w:val="20"/>
                <w:szCs w:val="20"/>
                <w:color w:val="auto"/>
              </w:rPr>
            </w:pPr>
            <w:r>
              <w:rPr>
                <w:rFonts w:ascii="Arial" w:cs="Arial" w:eastAsia="Arial" w:hAnsi="Arial"/>
                <w:sz w:val="16"/>
                <w:szCs w:val="16"/>
                <w:color w:val="auto"/>
              </w:rPr>
              <w:t>Total cash, cash equivalents, and restricted cash</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101,129</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30,246</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17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these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Maze Therapeutics, Inc.</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Notes to the financial statements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 Organization and principal activities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29"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Maze Therapeutics, Inc., or the Company, is a clinical stage biopharmaceutical company harnessing the power of human genetics and variant functionalization with its Maze Compass platform to develop small molecule precision medicines for the treatment of common diseases. The Company was incorporated in Delaware in August 2017 and is located in South San Francisco, California.</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9"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The Company has incurred significant losses and negative cash flows from operations since its inception and expects to incur significant and increasing losses as a result of its continued research and development activities. During the year ended December 31, 2023, the Company incurred a net loss of $100.4 million and used $86.8 million of cash in operations. As of December 31, 2023, the Company had an accumulated deficit of $395.7 million. Historically, the Company has financed its operations primarily through private placements of its redeemable convertible preferred stock and issuances of convertible promissory notes. The Company may seek to raise capital through debt financings, private or public equity financings, license agreements, or other sources of financing. There can be no assurance that such financing will be available or will be at terms acceptable to the Company.</w:t>
      </w:r>
    </w:p>
    <w:p>
      <w:pPr>
        <w:spacing w:after="0" w:line="117"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As of December 31, 2023, the Company had cash and cash equivalents of $29.2 million. The Company entered into exclusive license agreements with several biotechnology companies after December 31, 2023, including the exclusive license agreement with Shionogi &amp; Co., Ltd., or Shionogi, pursuant to which the Company received aggregate one-time, nonrefundable, upfront payments of $167.5 million. The Company believes that its cash and cash equivalents as of December 31, 2023, together with the upfront payments for the exclusive license agreements and the additional $24.5 million in proceeds received from the issuance of convertible promissory notes subsequent to December 31, 2023 through the date these financial statements were issued, will be sufficient to fund the Company’s operations for at least one year from the issuance date of these financial statements.</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or GAAP, and include all adjustments considered necessary for the fair presentation of the Company’s financial position and operating results for the periods presented.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2"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The Company bases its estimates on historical experience and market-specific or other relevant assumptions that it believes are reasonable under the circumstances. Assets and liabilities reported in the Company’s balance sheet and expenses reported are affected by estimates and assumptions, which are used for, but are not limited to, determining the fair value of assets and liabilities, common stock valuation, income tax uncertainties,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80"/>
        <w:spacing w:after="0" w:line="271" w:lineRule="auto"/>
        <w:rPr>
          <w:sz w:val="20"/>
          <w:szCs w:val="20"/>
          <w:color w:val="auto"/>
        </w:rPr>
      </w:pPr>
      <w:r>
        <w:rPr>
          <w:rFonts w:ascii="Arial" w:cs="Arial" w:eastAsia="Arial" w:hAnsi="Arial"/>
          <w:sz w:val="18"/>
          <w:szCs w:val="18"/>
          <w:color w:val="auto"/>
        </w:rPr>
        <w:t>measurement of stock-based compensation expense, and certain accruals. Actual results could differ from such estimates or assumptions.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29"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maintains bank deposits in accounts at two separate federally insured financial institutions and these deposits may exceed federally insured limits. The Company is exposed to credit risk in the event of default by the financial institution holding its cash to the extent recorded in the balance sheet. The Company has not experienced any losses on its deposits of cash. The Company is also subject to a number of risks similar to other early-stage biopharmaceutical companies, including, but not limited to, the need to obtain adequate additional funding, possible failure of current or future preclinical testing or clinical trials, its reliance on third parties to conduct its preclinical testing or clinical trials, the need to obtain regulatory and marketing approvals for therapeutic candidates, competitors developing new technological innovations, the need to successfully commercialize and gain market acceptance of therapeutic candidates, the success of efforts to protect its proprietary technology, and the need to secure and maintain adequate manufacturing arrangements with third parties. If the Company does not successfully commercialize or partner any therapeutic candidates, it will be unable to generate product revenue or achieve profitability.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29" w:lineRule="exact"/>
        <w:rPr>
          <w:sz w:val="20"/>
          <w:szCs w:val="20"/>
          <w:color w:val="auto"/>
        </w:rPr>
      </w:pPr>
    </w:p>
    <w:p>
      <w:pPr>
        <w:ind w:left="120" w:right="480"/>
        <w:spacing w:after="0" w:line="247"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harnessing its understanding of human genetics and variant functionalization to develop small molecule precision medicines. The Company’s chief executive officer, who is the chief operating decision maker, reviews financial information on an aggregate basis for allocating and evaluating financial performance.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2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and establishes a fair value hierarchy that requires an entity to maximize the use of observable inputs, where available, and minimize the use of unobservable inputs when measuring fair value.</w:t>
      </w:r>
    </w:p>
    <w:p>
      <w:pPr>
        <w:spacing w:after="0" w:line="106"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The Company determined the fair value of financial assets and liabilities using the fair value hierarchy that describes three levels of inputs that may be used to measure fair value, as follows:</w:t>
      </w:r>
    </w:p>
    <w:p>
      <w:pPr>
        <w:spacing w:after="0" w:line="86" w:lineRule="exact"/>
        <w:rPr>
          <w:sz w:val="20"/>
          <w:szCs w:val="20"/>
          <w:color w:val="auto"/>
        </w:rPr>
      </w:pPr>
    </w:p>
    <w:p>
      <w:pPr>
        <w:ind w:left="340" w:hanging="224"/>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144" w:lineRule="exact"/>
        <w:rPr>
          <w:rFonts w:ascii="Arial" w:cs="Arial" w:eastAsia="Arial" w:hAnsi="Arial"/>
          <w:sz w:val="18"/>
          <w:szCs w:val="18"/>
          <w:color w:val="auto"/>
        </w:rPr>
      </w:pPr>
    </w:p>
    <w:p>
      <w:pPr>
        <w:ind w:left="340" w:right="160" w:hanging="224"/>
        <w:spacing w:after="0" w:line="253"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01"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Level 3—Unobservable inputs reflecting the Company’s own assumptions incorporated in valuation techniques used to determine fair value. These assumptions are required to be consistent with market participant assumptions that are reasonably available.</w:t>
      </w:r>
    </w:p>
    <w:p>
      <w:pPr>
        <w:spacing w:after="0" w:line="86" w:lineRule="exact"/>
        <w:rPr>
          <w:sz w:val="20"/>
          <w:szCs w:val="20"/>
          <w:color w:val="auto"/>
        </w:rPr>
      </w:pPr>
    </w:p>
    <w:p>
      <w:pPr>
        <w:ind w:left="120" w:right="740"/>
        <w:spacing w:after="0" w:line="271" w:lineRule="auto"/>
        <w:rPr>
          <w:sz w:val="20"/>
          <w:szCs w:val="20"/>
          <w:color w:val="auto"/>
        </w:rPr>
      </w:pPr>
      <w:r>
        <w:rPr>
          <w:rFonts w:ascii="Arial" w:cs="Arial" w:eastAsia="Arial" w:hAnsi="Arial"/>
          <w:sz w:val="18"/>
          <w:szCs w:val="18"/>
          <w:color w:val="auto"/>
        </w:rPr>
        <w:t>For certain financial instruments, including cash and accounts payable, as well as certain accrued liabilities, the recorded amount approximates estimated fair value due to their relatively short maturity period.</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5"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42"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The Company considers all highly liquid financial instruments with original maturities of 90 days or less at the date of purchase to be cash equivalents. As of December 31, 2022 and 2023, cash equivalents consisted of money market funds.</w:t>
      </w:r>
    </w:p>
    <w:p>
      <w:pPr>
        <w:spacing w:after="0" w:line="86"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color w:val="auto"/>
        </w:rPr>
        <w:t>Restricted cash is comprised of cash that is restricted as to withdrawal or use under the terms of certain contractual agreements. Restricted cash as of December 31, 2022 and 2023 included $ 1.0 million and $1.1 million, respectively, as collateral for a letter of credit related to the Company’s headquarters building lease in South San Francisco, California. As of December 31, 2022 and 2023, restricted cash also included $0.2 million and zero, respectively, as collateral for the Company’s credit card program. Restricted cash is classified as a noncurrent asset on the balance sheet. As of December 31, 2022 and 2023, restricted cash consisted of money market funds.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42"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Property and equipment are presented at cost, net of accumulated depreciation. Depreciation is recorded using the straight-line method over the estimated useful life. Depreciation begins at the time the asset is placed in service. Maintenance and repairs that do not improve or extend the life of the assets are charged to expense as incurred and costs of major replacements or improvements are capitalized. The Company’s estimated useful lives of its property and equipment are as follows:</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5940" w:type="dxa"/>
            <w:vAlign w:val="bottom"/>
            <w:tcBorders>
              <w:top w:val="single" w:sz="8" w:color="auto"/>
            </w:tcBorders>
            <w:shd w:val="clear" w:color="auto" w:fill="CCEEFF"/>
          </w:tcPr>
          <w:p>
            <w:pPr>
              <w:jc w:val="center"/>
              <w:ind w:left="2630"/>
              <w:spacing w:after="0"/>
              <w:rPr>
                <w:sz w:val="20"/>
                <w:szCs w:val="20"/>
                <w:color w:val="auto"/>
              </w:rPr>
            </w:pPr>
            <w:r>
              <w:rPr>
                <w:rFonts w:ascii="Arial" w:cs="Arial" w:eastAsia="Arial" w:hAnsi="Arial"/>
                <w:sz w:val="18"/>
                <w:szCs w:val="18"/>
                <w:color w:val="auto"/>
                <w:w w:val="98"/>
              </w:rPr>
              <w:t>5 years</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5940" w:type="dxa"/>
            <w:vAlign w:val="bottom"/>
          </w:tcPr>
          <w:p>
            <w:pPr>
              <w:jc w:val="center"/>
              <w:ind w:left="2630"/>
              <w:spacing w:after="0" w:line="202" w:lineRule="exact"/>
              <w:rPr>
                <w:sz w:val="20"/>
                <w:szCs w:val="20"/>
                <w:color w:val="auto"/>
              </w:rPr>
            </w:pPr>
            <w:r>
              <w:rPr>
                <w:rFonts w:ascii="Arial" w:cs="Arial" w:eastAsia="Arial" w:hAnsi="Arial"/>
                <w:sz w:val="18"/>
                <w:szCs w:val="18"/>
                <w:color w:val="auto"/>
                <w:w w:val="98"/>
              </w:rPr>
              <w:t>3 years</w:t>
            </w: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5940" w:type="dxa"/>
            <w:vAlign w:val="bottom"/>
            <w:shd w:val="clear" w:color="auto" w:fill="CCEEFF"/>
          </w:tcPr>
          <w:p>
            <w:pPr>
              <w:jc w:val="center"/>
              <w:ind w:left="2630"/>
              <w:spacing w:after="0" w:line="202" w:lineRule="exact"/>
              <w:rPr>
                <w:sz w:val="20"/>
                <w:szCs w:val="20"/>
                <w:color w:val="auto"/>
              </w:rPr>
            </w:pPr>
            <w:r>
              <w:rPr>
                <w:rFonts w:ascii="Arial" w:cs="Arial" w:eastAsia="Arial" w:hAnsi="Arial"/>
                <w:sz w:val="18"/>
                <w:szCs w:val="18"/>
                <w:color w:val="auto"/>
                <w:w w:val="98"/>
              </w:rPr>
              <w:t>5 years</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5940" w:type="dxa"/>
            <w:vAlign w:val="bottom"/>
          </w:tcPr>
          <w:p>
            <w:pPr>
              <w:jc w:val="center"/>
              <w:ind w:left="2630"/>
              <w:spacing w:after="0" w:line="202" w:lineRule="exact"/>
              <w:rPr>
                <w:sz w:val="20"/>
                <w:szCs w:val="20"/>
                <w:color w:val="auto"/>
              </w:rPr>
            </w:pPr>
            <w:r>
              <w:rPr>
                <w:rFonts w:ascii="Arial" w:cs="Arial" w:eastAsia="Arial" w:hAnsi="Arial"/>
                <w:sz w:val="18"/>
                <w:szCs w:val="18"/>
                <w:color w:val="auto"/>
                <w:w w:val="98"/>
              </w:rPr>
              <w:t>3 years</w:t>
            </w:r>
          </w:p>
        </w:tc>
      </w:tr>
      <w:tr>
        <w:trPr>
          <w:trHeight w:val="184"/>
        </w:trPr>
        <w:tc>
          <w:tcPr>
            <w:tcW w:w="50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Leasehold improvements</w:t>
            </w:r>
          </w:p>
        </w:tc>
        <w:tc>
          <w:tcPr>
            <w:tcW w:w="5940" w:type="dxa"/>
            <w:vAlign w:val="bottom"/>
            <w:shd w:val="clear" w:color="auto" w:fill="CCEEFF"/>
          </w:tcPr>
          <w:p>
            <w:pPr>
              <w:jc w:val="center"/>
              <w:ind w:left="2650"/>
              <w:spacing w:after="0" w:line="183" w:lineRule="exact"/>
              <w:rPr>
                <w:sz w:val="20"/>
                <w:szCs w:val="20"/>
                <w:color w:val="auto"/>
              </w:rPr>
            </w:pPr>
            <w:r>
              <w:rPr>
                <w:rFonts w:ascii="Arial" w:cs="Arial" w:eastAsia="Arial" w:hAnsi="Arial"/>
                <w:sz w:val="18"/>
                <w:szCs w:val="18"/>
                <w:color w:val="auto"/>
                <w:w w:val="99"/>
              </w:rPr>
              <w:t>Shorter of remaining lease term</w:t>
            </w:r>
          </w:p>
        </w:tc>
      </w:tr>
      <w:tr>
        <w:trPr>
          <w:trHeight w:val="221"/>
        </w:trPr>
        <w:tc>
          <w:tcPr>
            <w:tcW w:w="5080" w:type="dxa"/>
            <w:vAlign w:val="bottom"/>
            <w:shd w:val="clear" w:color="auto" w:fill="CCEEFF"/>
          </w:tcPr>
          <w:p>
            <w:pPr>
              <w:spacing w:after="0"/>
              <w:rPr>
                <w:sz w:val="19"/>
                <w:szCs w:val="19"/>
                <w:color w:val="auto"/>
              </w:rPr>
            </w:pPr>
          </w:p>
        </w:tc>
        <w:tc>
          <w:tcPr>
            <w:tcW w:w="5940" w:type="dxa"/>
            <w:vAlign w:val="bottom"/>
            <w:shd w:val="clear" w:color="auto" w:fill="CCEEFF"/>
          </w:tcPr>
          <w:p>
            <w:pPr>
              <w:jc w:val="center"/>
              <w:ind w:left="2650"/>
              <w:spacing w:after="0"/>
              <w:rPr>
                <w:sz w:val="20"/>
                <w:szCs w:val="20"/>
                <w:color w:val="auto"/>
              </w:rPr>
            </w:pPr>
            <w:r>
              <w:rPr>
                <w:rFonts w:ascii="Arial" w:cs="Arial" w:eastAsia="Arial" w:hAnsi="Arial"/>
                <w:sz w:val="18"/>
                <w:szCs w:val="18"/>
                <w:color w:val="auto"/>
                <w:w w:val="99"/>
              </w:rPr>
              <w:t>or estimated useful life</w:t>
            </w:r>
          </w:p>
        </w:tc>
      </w:tr>
      <w:tr>
        <w:trPr>
          <w:trHeight w:val="203"/>
        </w:trPr>
        <w:tc>
          <w:tcPr>
            <w:tcW w:w="5080" w:type="dxa"/>
            <w:vAlign w:val="bottom"/>
            <w:tcBorders>
              <w:bottom w:val="single" w:sz="8" w:color="auto"/>
            </w:tcBorders>
          </w:tcPr>
          <w:p>
            <w:pPr>
              <w:spacing w:after="0"/>
              <w:rPr>
                <w:sz w:val="17"/>
                <w:szCs w:val="17"/>
                <w:color w:val="auto"/>
              </w:rPr>
            </w:pPr>
          </w:p>
        </w:tc>
        <w:tc>
          <w:tcPr>
            <w:tcW w:w="5940" w:type="dxa"/>
            <w:vAlign w:val="bottom"/>
            <w:tcBorders>
              <w:bottom w:val="single" w:sz="8" w:color="auto"/>
            </w:tcBorders>
          </w:tcPr>
          <w:p>
            <w:pPr>
              <w:spacing w:after="0"/>
              <w:rPr>
                <w:sz w:val="17"/>
                <w:szCs w:val="17"/>
                <w:color w:val="auto"/>
              </w:rPr>
            </w:pPr>
          </w:p>
        </w:tc>
      </w:tr>
    </w:tbl>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42"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asset or asset group may not be recoverable. The recoverability of assets to be held and used is measured by comparing the carrying amount to the estimated undiscounted future cash flows expected to be generated by the asset or asset group. If the carrying amount exceeds the estimated undiscounted future cash flows, an impairment loss is recognized. There have been no such impairments of long-lived assets for the years ended December 31, 2022 and 2023.</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42"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The Company uses the equity method to account for investments in entities when the Company can exercise significant influence, but not control, over the operating and financial decisions of an equity method investee. Generally, the ability to exercise significant influence is presumed when an investor possesses more than 20% of the voting interests of the investee. This presumption may be overcome based on specific facts and circumstances that demonstrate that the ability to exercise significant influence is restricted. The Company applies the equity method to investments in common stock, common stock equivalents, preferred stock and to other investments in entities that have risk and reward characteristics that are substantially similar to an investment in the investee’s common stock.</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In applying the equity method, the investment is recorded at cost. The carrying amount of the investment is subsequently increased or decreased by the Company’s proportionate share of the net earnings or losses and other comprehensive income or loss of the investee based on its ownership percentage of common stock, common stock equivalents or preferred stock during the respective reporting period. Payments to investees such as additional investments, loans and expenses incurred on behalf of investees, as well as payments from investees such as dividends, distributions and repayments of loans are recorded as adjustments to the carrying value of the investment. In the event that net losses of the investee reduce the carrying amount to zero, additional net losses may be recorded if the Company holds other investments in the investee not accounted for under the equity method, has guaranteed obligations of the investee, or is otherwise committed to provide further financial support for the investee.</w:t>
      </w:r>
    </w:p>
    <w:p>
      <w:pPr>
        <w:spacing w:after="0" w:line="11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Under the equity method of accounting, the Company reviews its related investments for indicators of impairment at each reporting period and such investments are written down to fair value if there is evidence of a loss in value that is other-than-temporary. Factors that may be indicative of an impairment include, but are not limited to, a series of operating losses of an investee, the absence of an ability to recover the carrying amount of the investment, the inability of the investee to sustain an earnings capacity and a current fair value of an investment that is less than its carrying amount. Indicators that a decline in value may be other-than-temporary include the length of time and the extent to which the estimated fair value or market value has been below the carrying value, the financial condition and the near-term prospects of the investee, the intent and ability of the Company to retain the investment in the investee for a period of time sufficient to allow for any anticipated recovery in market value and general market conditions. The estimation of fair value and whether an other-than-temporary impairment has occurred requires the application of significant judgment and future results may vary from current assumptions. The carrying value of the Company’s equity method investments was zero as of December 31, 2022 and 2023. The Company recognized a loss on impairment of $5.4 million during the year ended December 31, 2022 related to its equity method investment in Contour Therapeutics LLC, or Contour. No impairment losses related to the Company’s equity method investments were recognized during the year ended December 31, 2023.</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4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Company determines if an arrangement is a lease at the inception of the arrangement. Operating leases are included in right-of-use assets, operating lease liabilities, current, and operating lease liabilities, net of current portion in its balance sheets. Right-of-use assets represent the Company’s right to use an underlying asset for the lease term and lease liabilities represent its obligation to make lease payments arising from the lease. Operating lease right-of-use assets and liabilities are recognized at the lease commencement date based on the present value of lease payments over the lease term. In determining the present value of lease payments, the Company uses its incremental borrowing rate based on the information available at the lease commencement date. The operating lease right-of-use assets also include any lease payments made and exclude lease incentives. The Company’s lease terms may include options to extend or terminate the lease when it is reasonably certain that the Company will exercise any such options. Lease expense is recognized on a straight-line basis over the expected lease term. The Company has elected not to separate lease and non-lease components, such as common area maintenance charges, and instead it accounts for these as a single lease component. Leases with an initial term of 12 months or less are not recorded on the balance sheet, unless they include an option to purchase the underlying asset or to extend the lease that the Company is reasonably certain to exercise.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December 2023, the Company entered into Convertible Note Purchase Agreements with various existing investors to issue up to</w:t>
      </w:r>
    </w:p>
    <w:p>
      <w:pPr>
        <w:spacing w:after="0" w:line="14"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 xml:space="preserve">$25.0 million of convertible promissory notes. As permitted under Accounting Standards Codification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or ASC 825, the Company elected the fair value option for recognition of the convertible promissory notes. In accordance with ASC 825, the Company records these convertible promissory notes at fair value and remeasures the convertible promissory notes at fair value each reporting period with changes in fair value recorded in the statements of operations and comprehensive loss. As a result of applying the fair value option, direct costs and fees related to the convertible promissory notes were recognized in earnings as incurred and not deferred.</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42"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The Company records convertible preferred stock at fair value on the dates of issuance, net of issuance costs. Upon the occurrence of certain events that are outside the Company’s control, including a deemed liquidation event, holders of the convertible preferred stock can cause redemption for cash. Therefore, redeemable convertible preferred stock is classified outside of stockholders’ deficit on the balance sheet as events triggering the redemption are not solely within the Company’s control. The carrying values of the redeemable convertible preferred stock are adjusted to their redemption value if and when it becomes probable that the preferred stock will become redeemable.</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2" w:lineRule="exact"/>
        <w:rPr>
          <w:sz w:val="20"/>
          <w:szCs w:val="20"/>
          <w:color w:val="auto"/>
        </w:rPr>
      </w:pPr>
    </w:p>
    <w:p>
      <w:pPr>
        <w:ind w:left="120" w:right="280"/>
        <w:spacing w:after="0" w:line="244" w:lineRule="auto"/>
        <w:rPr>
          <w:sz w:val="20"/>
          <w:szCs w:val="20"/>
          <w:color w:val="auto"/>
        </w:rPr>
      </w:pPr>
      <w:r>
        <w:rPr>
          <w:rFonts w:ascii="Arial" w:cs="Arial" w:eastAsia="Arial" w:hAnsi="Arial"/>
          <w:sz w:val="18"/>
          <w:szCs w:val="18"/>
          <w:color w:val="auto"/>
        </w:rPr>
        <w:t>Research and development, or R&amp;D, expenses are recorded in the period that services are rendered or goods are received. R&amp;D expenses consist of personnel related costs, including salaries, benefits and stock-based compensation, related to R&amp;D activities, laboratory supplies and facility costs, as well as fees paid to third parties that conduct certain R&amp;D activities on behalf of the Company. Nonrefundable advance payments for goods or services that will be used or rendered for future R&amp;D activities are capitalized and expensed as the goods are delivered or the related services are performed.</w:t>
      </w:r>
    </w:p>
    <w:p>
      <w:pPr>
        <w:spacing w:after="0" w:line="109"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As part of the process of preparing its financial statements, the Company is required to estimate and accrue certain R&amp;D expenses. This process involves the following:</w:t>
      </w:r>
    </w:p>
    <w:p>
      <w:pPr>
        <w:spacing w:after="0" w:line="86" w:lineRule="exact"/>
        <w:rPr>
          <w:sz w:val="20"/>
          <w:szCs w:val="20"/>
          <w:color w:val="auto"/>
        </w:rPr>
      </w:pPr>
    </w:p>
    <w:p>
      <w:pPr>
        <w:ind w:left="340" w:right="800" w:hanging="224"/>
        <w:spacing w:after="0" w:line="271"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identifying services that have been performed on the Company’s behalf and estimating the level of service performed and the associated cost incurred for the service when the Company has not yet been invoiced or otherwise notified of actual cost;</w:t>
      </w:r>
    </w:p>
    <w:p>
      <w:pPr>
        <w:spacing w:after="0" w:line="86" w:lineRule="exact"/>
        <w:rPr>
          <w:rFonts w:ascii="Arial" w:cs="Arial" w:eastAsia="Arial" w:hAnsi="Arial"/>
          <w:sz w:val="18"/>
          <w:szCs w:val="18"/>
          <w:color w:val="auto"/>
        </w:rPr>
      </w:pPr>
    </w:p>
    <w:p>
      <w:pPr>
        <w:ind w:left="340" w:right="920" w:hanging="224"/>
        <w:spacing w:after="0" w:line="271"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estimating and accruing expenses in the Company’s financial statements as of each balance sheet date based on facts and circumstances known to it at the time; and</w:t>
      </w:r>
    </w:p>
    <w:p>
      <w:pPr>
        <w:spacing w:after="0" w:line="86" w:lineRule="exact"/>
        <w:rPr>
          <w:rFonts w:ascii="Arial" w:cs="Arial" w:eastAsia="Arial" w:hAnsi="Arial"/>
          <w:sz w:val="18"/>
          <w:szCs w:val="18"/>
          <w:color w:val="auto"/>
        </w:rPr>
      </w:pPr>
    </w:p>
    <w:p>
      <w:pPr>
        <w:ind w:left="120" w:right="40" w:hanging="4"/>
        <w:spacing w:after="0" w:line="399" w:lineRule="auto"/>
        <w:tabs>
          <w:tab w:leader="none" w:pos="33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periodically confirming the accuracy of the Company’s estimates with selected service providers and making adjustments, if necessary. Examples of estimated R&amp;D expenses that the Company may accrue include costs for:</w:t>
      </w:r>
    </w:p>
    <w:p>
      <w:pPr>
        <w:ind w:left="340" w:hanging="224"/>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clinical research organizations, or CROs, in connection with clinical trials as well as preclinical and toxicology studies;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investigative sites in connection with clinical trials;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contract manufacturing organizations, or CMOs, in connection with the production of product and clinical trial materials;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5" w:right="4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bases its expense accruals related to clinical studies on its estimates of the services received and efforts expended pursuant to contracts with multiple research institutions and CROs that conduct and manage clinical studies on the Company’s behalf. The financial terms of these agreements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Company does not identify costs that it has begun to incur or if it underestimates or overestimates the level of services performed or the costs of these services, the Company’s actual expenses could differ from its estimates.</w:t>
      </w:r>
    </w:p>
    <w:p>
      <w:pPr>
        <w:spacing w:after="0" w:line="117"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To date, the Company has not experienced significant changes in its estimates of accrued R&amp;D expenses after a reporting period. However, due to the nature of estimates, there is no assurance that the Company will not make changes to its estimates in the future as it becomes aware of additional information about the status or conduct of its clinical studies and other R&amp;D activities. Such changes in estimates will be recognized as R&amp;D expenses in the period that the change in estimate occurs.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2"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The Company recognizes stock-based compensation expense for service-based stock options and restricted stock awards on a straight-line basis over the requisite service period. The Company measures the fair value of service-based stock options at the grant date using the Black-Scholes option-pricing model. Inputs to the Black-Scholes option-pricing model include the fair value of its common stock, the expected term of the awards, the expected common stock price volatility over the term of the awards, risk-free interest rates, and the expected dividend yield.</w:t>
      </w:r>
    </w:p>
    <w:p>
      <w:pPr>
        <w:spacing w:after="0" w:line="109"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The fair value of restricted stock awards is determined on the date of grant based on the estimated fair value of the Company’s common stock on that date. Stock-based compensation expense is adjusted for actual forfeitures of unvested awards in the same period as the forfeitures occur.</w:t>
      </w:r>
    </w:p>
    <w:p>
      <w:pPr>
        <w:spacing w:after="0" w:line="88"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The fair value of awards that contain market-based conditions is measured using a Monte-Carlo option pricing model at the date of grant using similar input assumptions as the Black-Scholes model while incorporating Level 3 inputs related to probability estimates of the market conditions being satisfied. Compensation expense related to awards with a market-based condition is recognized regardless of whether the market condition is ultimately satisfied, and compensation expense is not reversed if the achievement of the market condition does not occur.</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financial statements or tax returns subject to a determinable valuation allowance.</w:t>
      </w:r>
    </w:p>
    <w:p>
      <w:pPr>
        <w:spacing w:after="0" w:line="101"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86" w:lineRule="exact"/>
        <w:rPr>
          <w:sz w:val="20"/>
          <w:szCs w:val="20"/>
          <w:color w:val="auto"/>
        </w:rPr>
      </w:pPr>
    </w:p>
    <w:p>
      <w:pPr>
        <w:jc w:val="both"/>
        <w:ind w:left="120" w:right="340"/>
        <w:spacing w:after="0" w:line="253" w:lineRule="auto"/>
        <w:rPr>
          <w:sz w:val="20"/>
          <w:szCs w:val="20"/>
          <w:color w:val="auto"/>
        </w:rPr>
      </w:pPr>
      <w:r>
        <w:rPr>
          <w:rFonts w:ascii="Arial" w:cs="Arial" w:eastAsia="Arial" w:hAnsi="Arial"/>
          <w:sz w:val="18"/>
          <w:szCs w:val="18"/>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color w:val="auto"/>
        </w:rPr>
        <w:t>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2022 and 2023, the Company recorded a full valuation allowance on its deferred tax assets.</w:t>
      </w:r>
    </w:p>
    <w:p>
      <w:pPr>
        <w:spacing w:after="0" w:line="10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taxes as a component of the provision for income tax.</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transaction gain (loss)</w:t>
      </w:r>
    </w:p>
    <w:p>
      <w:pPr>
        <w:spacing w:after="0" w:line="142" w:lineRule="exact"/>
        <w:rPr>
          <w:sz w:val="20"/>
          <w:szCs w:val="20"/>
          <w:color w:val="auto"/>
        </w:rPr>
      </w:pPr>
    </w:p>
    <w:p>
      <w:pPr>
        <w:ind w:left="120" w:right="320"/>
        <w:spacing w:after="0" w:line="253" w:lineRule="auto"/>
        <w:rPr>
          <w:sz w:val="20"/>
          <w:szCs w:val="20"/>
          <w:color w:val="auto"/>
        </w:rPr>
      </w:pPr>
      <w:r>
        <w:rPr>
          <w:rFonts w:ascii="Arial" w:cs="Arial" w:eastAsia="Arial" w:hAnsi="Arial"/>
          <w:sz w:val="18"/>
          <w:szCs w:val="18"/>
          <w:color w:val="auto"/>
        </w:rPr>
        <w:t>Gains and losses arising from transactions and remeasurement of balances denominated in currencies other than U.S. dollars are recorded in interest and other income, net on the statement of operations and comprehensive loss. The Company recorded immaterial gains on foreign currency transactions for the years ended December 31, 2022 and 2023.</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4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During the years ended December 31, 2022 and 2023, the Company did not have any transactions that would be reported separately to derive comprehensive loss. Thus, comprehensive loss is the same as net loss for the periods presented.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during the period less common shares subject to vesting or forfeiture, without consideration for potentially dilutive securities. Diluted net loss per share is computed by dividing net loss by the weighted-average number of common shares and potentially dilutive securities outstanding for the period. For purposes of the diluted net loss per share calculation, redeemable convertible preferred stock, unvested restricted stock subject to repurchase and common stock options are considered to be potentially dilutive securities. Because the Company reported a net loss for the years ended December 31, 2022 and 2023, and the inclusion of the potentially dilutive securities would be antidilutive, diluted net loss per share is the same as basic net loss per share for the periods presented.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4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if and when it is probable that a liability has been incurred and the amount can be reasonably estimated. Legal costs incurred in connection with loss contingencies are expensed as incurred.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42"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The Company is an emerging growth company, or EGC, as defined in the Jumpstart Our Business Startups Act of 2012, or the JOBS Act, and may take advantage of reduced reporting requirements that are otherwise</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5" w:right="4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8"/>
          <w:szCs w:val="18"/>
          <w:color w:val="auto"/>
        </w:rPr>
        <w:t>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9" w:lineRule="exact"/>
        <w:rPr>
          <w:sz w:val="20"/>
          <w:szCs w:val="20"/>
          <w:color w:val="auto"/>
        </w:rPr>
      </w:pPr>
    </w:p>
    <w:p>
      <w:pPr>
        <w:jc w:val="both"/>
        <w:ind w:left="120"/>
        <w:spacing w:after="0" w:line="255"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and also issued subsequent amendments to the initial guidance under ASU No. 2018-19, ASU No. 2019-04, ASU No. 2019-05, ASU No. 2019-11, and ASU No. 2020-02 (collectively Topic 326). This guidance requires that financial assets measured at amortized cost be presented at the net amount expected to be collected.</w:t>
      </w:r>
    </w:p>
    <w:p>
      <w:pPr>
        <w:spacing w:after="0" w:line="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measurement of expected credit losses is based on historical experience, current conditions, and reasonable and supportable forecasts that affect collectability. Topic 326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The Company adopted Topic 326 as of January 1, 2023. The adoption of this standard did not have a material impact on the accompanying financial statements.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pronouncements—Not yet adopted</w:t>
      </w:r>
    </w:p>
    <w:p>
      <w:pPr>
        <w:spacing w:after="0" w:line="12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which will require disclosure of incremental segment information on an annual and interim basis for all public entities. The amendments do not change how a public entity identifies its operating segments, aggregates those operating segments, or applies the quantitative thresholds to determine its reportable segments. ASU 2023-07 is effective for annual reporting beginning with the fiscal year ending December 31, 2024, and for interim periods thereafter. The Company is currently evaluating the incremental disclosures that will be required in the footnotes to the financial statements.</w:t>
      </w:r>
    </w:p>
    <w:p>
      <w:pPr>
        <w:spacing w:after="0" w:line="111" w:lineRule="exact"/>
        <w:rPr>
          <w:sz w:val="20"/>
          <w:szCs w:val="20"/>
          <w:color w:val="auto"/>
        </w:rPr>
      </w:pPr>
    </w:p>
    <w:p>
      <w:pPr>
        <w:ind w:left="120" w:right="120"/>
        <w:spacing w:after="0" w:line="242"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which will require incremental income tax disclosures on an annual basis for all public entities.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disclosure of income tax expense disaggregated by federal, state, and foreign. ASU 2023-09 is effective for annual reporting beginning with the fiscal year ending December 31, 2025. The Company is currently evaluating the incremental disclosures that will be required in its financial statements.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5" w:right="4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3. Fair value measurements</w:t>
      </w:r>
    </w:p>
    <w:p>
      <w:pPr>
        <w:spacing w:after="0" w:line="148"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The following tables summarize the types of assets and liabilities measured at fair value on a recurring basis by level within the fair value hierarchy. Refer to Note 10 on convertible promissory notes and other debt agreements regarding the Company’s methodology of measuring the fair value of the convertible promissory notes and the credit line success fee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6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rPr>
              <w:t>Fair value measurements</w:t>
            </w:r>
          </w:p>
        </w:tc>
      </w:tr>
      <w:tr>
        <w:trPr>
          <w:trHeight w:val="168"/>
        </w:trPr>
        <w:tc>
          <w:tcPr>
            <w:tcW w:w="5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4"/>
          </w:tcPr>
          <w:p>
            <w:pPr>
              <w:jc w:val="right"/>
              <w:ind w:right="20"/>
              <w:spacing w:after="0" w:line="168" w:lineRule="exact"/>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4"/>
                <w:szCs w:val="14"/>
                <w:color w:val="auto"/>
              </w:rPr>
            </w:pPr>
          </w:p>
        </w:tc>
      </w:tr>
      <w:tr>
        <w:trPr>
          <w:trHeight w:val="203"/>
        </w:trPr>
        <w:tc>
          <w:tcPr>
            <w:tcW w:w="5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Level 1</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9"/>
              </w:rPr>
              <w:t>Level 2</w:t>
            </w: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w w:val="99"/>
              </w:rPr>
              <w:t>Level 3</w:t>
            </w: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2022</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b w:val="1"/>
                <w:bCs w:val="1"/>
                <w:color w:val="auto"/>
              </w:rPr>
              <w:t>Assets</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1,966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1,966</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524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1,210</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1,210</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r>
      <w:tr>
        <w:trPr>
          <w:trHeight w:val="203"/>
        </w:trPr>
        <w:tc>
          <w:tcPr>
            <w:tcW w:w="5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 measured at fair value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3,176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3,176</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Credit line success fee derivative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7"/>
                <w:szCs w:val="17"/>
                <w:color w:val="auto"/>
              </w:rPr>
            </w:pPr>
          </w:p>
        </w:tc>
      </w:tr>
      <w:tr>
        <w:trPr>
          <w:trHeight w:val="209"/>
        </w:trPr>
        <w:tc>
          <w:tcPr>
            <w:tcW w:w="5240" w:type="dxa"/>
            <w:vAlign w:val="bottom"/>
          </w:tcPr>
          <w:p>
            <w:pPr>
              <w:ind w:left="360"/>
              <w:spacing w:after="0"/>
              <w:rPr>
                <w:sz w:val="20"/>
                <w:szCs w:val="20"/>
                <w:color w:val="auto"/>
              </w:rPr>
            </w:pPr>
            <w:r>
              <w:rPr>
                <w:rFonts w:ascii="Arial" w:cs="Arial" w:eastAsia="Arial" w:hAnsi="Arial"/>
                <w:sz w:val="18"/>
                <w:szCs w:val="18"/>
                <w:color w:val="auto"/>
              </w:rPr>
              <w:t>Total liabilities measured at fair value</w:t>
            </w:r>
          </w:p>
        </w:tc>
        <w:tc>
          <w:tcPr>
            <w:tcW w:w="19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December 31, 2023</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b w:val="1"/>
                <w:bCs w:val="1"/>
                <w:color w:val="auto"/>
              </w:rPr>
              <w:t>Assets</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w w:val="98"/>
              </w:rPr>
              <w:t>13,955</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13,955</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524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1,088</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1,088</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r>
      <w:tr>
        <w:trPr>
          <w:trHeight w:val="203"/>
        </w:trPr>
        <w:tc>
          <w:tcPr>
            <w:tcW w:w="5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 measured at fair value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w w:val="98"/>
              </w:rPr>
              <w:t>15,043</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15,043</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4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Credit line success fee derivative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w:t>
            </w:r>
          </w:p>
        </w:tc>
      </w:tr>
      <w:tr>
        <w:trPr>
          <w:trHeight w:val="210"/>
        </w:trPr>
        <w:tc>
          <w:tcPr>
            <w:tcW w:w="5240" w:type="dxa"/>
            <w:vAlign w:val="bottom"/>
          </w:tcPr>
          <w:p>
            <w:pPr>
              <w:spacing w:after="0" w:line="202" w:lineRule="exact"/>
              <w:rPr>
                <w:sz w:val="20"/>
                <w:szCs w:val="20"/>
                <w:color w:val="auto"/>
              </w:rPr>
            </w:pPr>
            <w:r>
              <w:rPr>
                <w:rFonts w:ascii="Arial" w:cs="Arial" w:eastAsia="Arial" w:hAnsi="Arial"/>
                <w:sz w:val="18"/>
                <w:szCs w:val="18"/>
                <w:color w:val="auto"/>
              </w:rPr>
              <w:t>Convertible promissory notes</w:t>
            </w:r>
          </w:p>
        </w:tc>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w w:val="98"/>
              </w:rPr>
              <w:t>20,080</w:t>
            </w: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20,080</w:t>
            </w:r>
          </w:p>
        </w:tc>
        <w:tc>
          <w:tcPr>
            <w:tcW w:w="60" w:type="dxa"/>
            <w:vAlign w:val="bottom"/>
            <w:gridSpan w:val="2"/>
          </w:tcPr>
          <w:p>
            <w:pPr>
              <w:spacing w:after="0"/>
              <w:rPr>
                <w:sz w:val="18"/>
                <w:szCs w:val="18"/>
                <w:color w:val="auto"/>
              </w:rPr>
            </w:pPr>
          </w:p>
        </w:tc>
      </w:tr>
      <w:tr>
        <w:trPr>
          <w:trHeight w:val="203"/>
        </w:trPr>
        <w:tc>
          <w:tcPr>
            <w:tcW w:w="5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 measured at fair value</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w w:val="98"/>
              </w:rPr>
              <w:t>20,130</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1"/>
              <w:spacing w:after="0" w:line="202" w:lineRule="exact"/>
              <w:rPr>
                <w:sz w:val="20"/>
                <w:szCs w:val="20"/>
                <w:color w:val="auto"/>
              </w:rPr>
            </w:pPr>
            <w:r>
              <w:rPr>
                <w:rFonts w:ascii="Arial" w:cs="Arial" w:eastAsia="Arial" w:hAnsi="Arial"/>
                <w:sz w:val="18"/>
                <w:szCs w:val="18"/>
                <w:color w:val="auto"/>
                <w:w w:val="88"/>
              </w:rPr>
              <w:t>      —</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20,130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Level 1, 2, or 3 during the years ended December 31, 2022 and 2023.</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4. Balance sheet components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8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4000" w:type="dxa"/>
            <w:vAlign w:val="bottom"/>
            <w:tcBorders>
              <w:bottom w:val="single" w:sz="8" w:color="auto"/>
            </w:tcBorders>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15"/>
              <w:spacing w:after="0" w:line="183"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5"/>
                <w:szCs w:val="15"/>
                <w:color w:val="auto"/>
              </w:rPr>
            </w:pPr>
          </w:p>
        </w:tc>
      </w:tr>
      <w:tr>
        <w:trPr>
          <w:trHeight w:val="183"/>
        </w:trPr>
        <w:tc>
          <w:tcPr>
            <w:tcW w:w="400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860" w:type="dxa"/>
            <w:vAlign w:val="bottom"/>
            <w:gridSpan w:val="4"/>
          </w:tcPr>
          <w:p>
            <w:pPr>
              <w:jc w:val="right"/>
              <w:ind w:right="12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Laboratory equipment</w:t>
            </w:r>
          </w:p>
        </w:tc>
        <w:tc>
          <w:tcPr>
            <w:tcW w:w="6020" w:type="dxa"/>
            <w:vAlign w:val="bottom"/>
            <w:gridSpan w:val="2"/>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$14,278</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14,574</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6020" w:type="dxa"/>
            <w:vAlign w:val="bottom"/>
            <w:gridSpan w:val="2"/>
          </w:tcPr>
          <w:p>
            <w:pPr>
              <w:jc w:val="right"/>
              <w:ind w:right="115"/>
              <w:spacing w:after="0" w:line="202" w:lineRule="exact"/>
              <w:rPr>
                <w:sz w:val="20"/>
                <w:szCs w:val="20"/>
                <w:color w:val="auto"/>
              </w:rPr>
            </w:pPr>
            <w:r>
              <w:rPr>
                <w:rFonts w:ascii="Arial" w:cs="Arial" w:eastAsia="Arial" w:hAnsi="Arial"/>
                <w:sz w:val="18"/>
                <w:szCs w:val="18"/>
                <w:color w:val="auto"/>
              </w:rPr>
              <w:t>5,331</w:t>
            </w:r>
          </w:p>
        </w:tc>
        <w:tc>
          <w:tcPr>
            <w:tcW w:w="2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5,360</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furniture</w:t>
            </w:r>
          </w:p>
        </w:tc>
        <w:tc>
          <w:tcPr>
            <w:tcW w:w="6020" w:type="dxa"/>
            <w:vAlign w:val="bottom"/>
            <w:gridSpan w:val="2"/>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1,528</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1,568</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Software</w:t>
            </w:r>
          </w:p>
        </w:tc>
        <w:tc>
          <w:tcPr>
            <w:tcW w:w="6020" w:type="dxa"/>
            <w:vAlign w:val="bottom"/>
            <w:gridSpan w:val="2"/>
          </w:tcPr>
          <w:p>
            <w:pPr>
              <w:jc w:val="right"/>
              <w:ind w:right="115"/>
              <w:spacing w:after="0" w:line="202" w:lineRule="exact"/>
              <w:rPr>
                <w:sz w:val="20"/>
                <w:szCs w:val="20"/>
                <w:color w:val="auto"/>
              </w:rPr>
            </w:pPr>
            <w:r>
              <w:rPr>
                <w:rFonts w:ascii="Arial" w:cs="Arial" w:eastAsia="Arial" w:hAnsi="Arial"/>
                <w:sz w:val="18"/>
                <w:szCs w:val="18"/>
                <w:color w:val="auto"/>
              </w:rPr>
              <w:t>690</w:t>
            </w:r>
          </w:p>
        </w:tc>
        <w:tc>
          <w:tcPr>
            <w:tcW w:w="26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745</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6020" w:type="dxa"/>
            <w:vAlign w:val="bottom"/>
            <w:gridSpan w:val="2"/>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273</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327</w:t>
            </w:r>
          </w:p>
        </w:tc>
      </w:tr>
      <w:tr>
        <w:trPr>
          <w:trHeight w:val="209"/>
        </w:trPr>
        <w:tc>
          <w:tcPr>
            <w:tcW w:w="4000" w:type="dxa"/>
            <w:vAlign w:val="bottom"/>
          </w:tcPr>
          <w:p>
            <w:pPr>
              <w:spacing w:after="0" w:line="202" w:lineRule="exact"/>
              <w:rPr>
                <w:sz w:val="20"/>
                <w:szCs w:val="20"/>
                <w:color w:val="auto"/>
              </w:rPr>
            </w:pPr>
            <w:r>
              <w:rPr>
                <w:rFonts w:ascii="Arial" w:cs="Arial" w:eastAsia="Arial" w:hAnsi="Arial"/>
                <w:sz w:val="18"/>
                <w:szCs w:val="18"/>
                <w:color w:val="auto"/>
              </w:rPr>
              <w:t>Fixed assets in-progress</w:t>
            </w:r>
          </w:p>
        </w:tc>
        <w:tc>
          <w:tcPr>
            <w:tcW w:w="5160" w:type="dxa"/>
            <w:vAlign w:val="bottom"/>
          </w:tcPr>
          <w:p>
            <w:pPr>
              <w:spacing w:after="0"/>
              <w:rPr>
                <w:sz w:val="18"/>
                <w:szCs w:val="18"/>
                <w:color w:val="auto"/>
              </w:rPr>
            </w:pPr>
          </w:p>
        </w:tc>
        <w:tc>
          <w:tcPr>
            <w:tcW w:w="860" w:type="dxa"/>
            <w:vAlign w:val="bottom"/>
            <w:tcBorders>
              <w:bottom w:val="single" w:sz="8" w:color="auto"/>
            </w:tcBorders>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r>
      <w:tr>
        <w:trPr>
          <w:trHeight w:val="203"/>
        </w:trPr>
        <w:tc>
          <w:tcPr>
            <w:tcW w:w="4000" w:type="dxa"/>
            <w:vAlign w:val="bottom"/>
            <w:shd w:val="clear" w:color="auto" w:fill="CCEEFF"/>
          </w:tcPr>
          <w:p>
            <w:pPr>
              <w:spacing w:after="0"/>
              <w:rPr>
                <w:sz w:val="17"/>
                <w:szCs w:val="17"/>
                <w:color w:val="auto"/>
              </w:rPr>
            </w:pPr>
          </w:p>
        </w:tc>
        <w:tc>
          <w:tcPr>
            <w:tcW w:w="6020" w:type="dxa"/>
            <w:vAlign w:val="bottom"/>
            <w:gridSpan w:val="2"/>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22,100</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22,631</w:t>
            </w:r>
          </w:p>
        </w:tc>
      </w:tr>
      <w:tr>
        <w:trPr>
          <w:trHeight w:val="210"/>
        </w:trPr>
        <w:tc>
          <w:tcPr>
            <w:tcW w:w="4000" w:type="dxa"/>
            <w:vAlign w:val="bottom"/>
          </w:tcPr>
          <w:p>
            <w:pPr>
              <w:spacing w:after="0" w:line="202" w:lineRule="exact"/>
              <w:rPr>
                <w:sz w:val="20"/>
                <w:szCs w:val="20"/>
                <w:color w:val="auto"/>
              </w:rPr>
            </w:pPr>
            <w:r>
              <w:rPr>
                <w:rFonts w:ascii="Arial" w:cs="Arial" w:eastAsia="Arial" w:hAnsi="Arial"/>
                <w:sz w:val="18"/>
                <w:szCs w:val="18"/>
                <w:color w:val="auto"/>
              </w:rPr>
              <w:t>Accumulated depreciation</w:t>
            </w:r>
          </w:p>
        </w:tc>
        <w:tc>
          <w:tcPr>
            <w:tcW w:w="5160" w:type="dxa"/>
            <w:vAlign w:val="bottom"/>
          </w:tcPr>
          <w:p>
            <w:pPr>
              <w:spacing w:after="0"/>
              <w:rPr>
                <w:sz w:val="18"/>
                <w:szCs w:val="18"/>
                <w:color w:val="auto"/>
              </w:rPr>
            </w:pPr>
          </w:p>
        </w:tc>
        <w:tc>
          <w:tcPr>
            <w:tcW w:w="8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(9,698)</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(13,786)</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 net</w:t>
            </w:r>
          </w:p>
        </w:tc>
        <w:tc>
          <w:tcPr>
            <w:tcW w:w="5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w w:val="98"/>
              </w:rPr>
              <w:t>$12,402</w:t>
            </w:r>
          </w:p>
        </w:tc>
        <w:tc>
          <w:tcPr>
            <w:tcW w:w="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8,845</w:t>
            </w:r>
          </w:p>
        </w:tc>
        <w:tc>
          <w:tcPr>
            <w:tcW w:w="120" w:type="dxa"/>
            <w:vAlign w:val="bottom"/>
            <w:shd w:val="clear" w:color="auto" w:fill="CCEEFF"/>
          </w:tcPr>
          <w:p>
            <w:pPr>
              <w:spacing w:after="0"/>
              <w:rPr>
                <w:sz w:val="17"/>
                <w:szCs w:val="17"/>
                <w:color w:val="auto"/>
              </w:rPr>
            </w:pPr>
          </w:p>
        </w:tc>
      </w:tr>
      <w:tr>
        <w:trPr>
          <w:trHeight w:val="203"/>
        </w:trPr>
        <w:tc>
          <w:tcPr>
            <w:tcW w:w="4000" w:type="dxa"/>
            <w:vAlign w:val="bottom"/>
            <w:tcBorders>
              <w:bottom w:val="single" w:sz="8" w:color="auto"/>
            </w:tcBorders>
          </w:tcPr>
          <w:p>
            <w:pPr>
              <w:spacing w:after="0"/>
              <w:rPr>
                <w:sz w:val="17"/>
                <w:szCs w:val="17"/>
                <w:color w:val="auto"/>
              </w:rPr>
            </w:pPr>
          </w:p>
        </w:tc>
        <w:tc>
          <w:tcPr>
            <w:tcW w:w="6020" w:type="dxa"/>
            <w:vAlign w:val="bottom"/>
            <w:tcBorders>
              <w:bottom w:val="single" w:sz="8" w:color="auto"/>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362"/>
        </w:trPr>
        <w:tc>
          <w:tcPr>
            <w:tcW w:w="4000" w:type="dxa"/>
            <w:vAlign w:val="bottom"/>
          </w:tcPr>
          <w:p>
            <w:pPr>
              <w:spacing w:after="0"/>
              <w:rPr>
                <w:sz w:val="24"/>
                <w:szCs w:val="24"/>
                <w:color w:val="auto"/>
              </w:rPr>
            </w:pPr>
          </w:p>
        </w:tc>
        <w:tc>
          <w:tcPr>
            <w:tcW w:w="6020" w:type="dxa"/>
            <w:vAlign w:val="bottom"/>
            <w:gridSpan w:val="2"/>
          </w:tcPr>
          <w:p>
            <w:pPr>
              <w:jc w:val="right"/>
              <w:ind w:right="4255"/>
              <w:spacing w:after="0"/>
              <w:rPr>
                <w:sz w:val="20"/>
                <w:szCs w:val="20"/>
                <w:color w:val="auto"/>
              </w:rPr>
            </w:pPr>
            <w:r>
              <w:rPr>
                <w:rFonts w:ascii="Arial" w:cs="Arial" w:eastAsia="Arial" w:hAnsi="Arial"/>
                <w:sz w:val="18"/>
                <w:szCs w:val="18"/>
                <w:color w:val="auto"/>
              </w:rPr>
              <w:t>F-15</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was $3.8 million and $4.1 million for the years ended December 31, 2022 and 2023,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7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67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93"/>
              <w:spacing w:after="0" w:line="183" w:lineRule="exact"/>
              <w:rPr>
                <w:sz w:val="20"/>
                <w:szCs w:val="20"/>
                <w:color w:val="auto"/>
              </w:rPr>
            </w:pPr>
            <w:r>
              <w:rPr>
                <w:rFonts w:ascii="Arial" w:cs="Arial" w:eastAsia="Arial" w:hAnsi="Arial"/>
                <w:sz w:val="16"/>
                <w:szCs w:val="16"/>
                <w:b w:val="1"/>
                <w:bCs w:val="1"/>
                <w:color w:val="auto"/>
              </w:rPr>
              <w:t>2022</w:t>
            </w: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5"/>
                <w:szCs w:val="15"/>
                <w:color w:val="auto"/>
              </w:rPr>
            </w:pPr>
          </w:p>
        </w:tc>
      </w:tr>
      <w:tr>
        <w:trPr>
          <w:trHeight w:val="183"/>
        </w:trPr>
        <w:tc>
          <w:tcPr>
            <w:tcW w:w="67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right"/>
              <w:ind w:right="6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 expenses</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7,384</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$6,882</w:t>
            </w: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5,847</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1,642</w:t>
            </w: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professional expenses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1,350</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1,112</w:t>
            </w:r>
          </w:p>
        </w:tc>
      </w:tr>
      <w:tr>
        <w:trPr>
          <w:trHeight w:val="209"/>
        </w:trPr>
        <w:tc>
          <w:tcPr>
            <w:tcW w:w="6700" w:type="dxa"/>
            <w:vAlign w:val="bottom"/>
          </w:tcPr>
          <w:p>
            <w:pPr>
              <w:spacing w:after="0" w:line="202" w:lineRule="exact"/>
              <w:rPr>
                <w:sz w:val="20"/>
                <w:szCs w:val="20"/>
                <w:color w:val="auto"/>
              </w:rPr>
            </w:pPr>
            <w:r>
              <w:rPr>
                <w:rFonts w:ascii="Arial" w:cs="Arial" w:eastAsia="Arial" w:hAnsi="Arial"/>
                <w:sz w:val="18"/>
                <w:szCs w:val="18"/>
                <w:color w:val="auto"/>
              </w:rPr>
              <w:t>Other accrued expenses and current liabilities</w:t>
            </w:r>
          </w:p>
        </w:tc>
        <w:tc>
          <w:tcPr>
            <w:tcW w:w="2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293</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accrued expenses and other current liabilities</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w w:val="98"/>
              </w:rPr>
              <w:t>14,874</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$9,808</w:t>
            </w:r>
          </w:p>
        </w:tc>
      </w:tr>
      <w:tr>
        <w:trPr>
          <w:trHeight w:val="203"/>
        </w:trPr>
        <w:tc>
          <w:tcPr>
            <w:tcW w:w="67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5. Equity method investments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Broadwing Bio LLC</w:t>
      </w:r>
    </w:p>
    <w:p>
      <w:pPr>
        <w:spacing w:after="0" w:line="14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 November 2020, the Company entered into a series of agreements with Alloy Therapeutics, Inc., or Alloy Therapeutics. Pursuant to the agreements, the Company agreed to commit capital for a 50% ownership interest in a joint venture entity, Broadwing Bio LLC, or Broadwing, which was formed to develop targeted antibody therapies for the treatment of ophthalmic diseases. The Company’s Chief Executive Officer is a member of the board of directors of Alloy Therapeutics. The Company made an initial contribution of $1.7 million of cash and committed to make additional in-kind contributions of $0.6 million, including facilities and operational services, in exchange for an initial 50% equity interest in Broadwing. The commitment to make additional in-kind contributions was recorded in other current liabilities. Alloy Therapeutics contributed cash and committed to provide its antibody discovery services for the other initial 50% equity interest in Broadwing. Under the terms of the agreement, the Company and Alloy Therapeutics have the option to continue to fund Broadwing to advance its programs through preclinical and clinical development. Under such terms and as of the inception of the agreement, the Company may opt to make additional cash contributions. The Company and Alloy Therapeutics will retain certain rights to participate in the development and commercialization of products originating from Broadwing.</w:t>
      </w:r>
    </w:p>
    <w:p>
      <w:pPr>
        <w:spacing w:after="0" w:line="118"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The Company determined as of December 31, 2022 and 2023 it had a variable interest in Broadwing through its equity investment and Broadwing is a variable interest entity due to the equity investment at risk being insufficient to finance its activities. The Company has evaluated the significant activities of Broadwing under the variable interest entity model and concluded that the significant activities consist primarily of research and development activities. As the Company does not have the sole power to direct such activities, the Company is not the primary beneficiary and accounts for the investment in Broadwing under the equity method.</w:t>
      </w:r>
    </w:p>
    <w:p>
      <w:pPr>
        <w:spacing w:after="0" w:line="95" w:lineRule="exact"/>
        <w:rPr>
          <w:sz w:val="20"/>
          <w:szCs w:val="20"/>
          <w:color w:val="auto"/>
        </w:rPr>
      </w:pPr>
    </w:p>
    <w:p>
      <w:pPr>
        <w:jc w:val="both"/>
        <w:ind w:left="120" w:right="480"/>
        <w:spacing w:after="0" w:line="253" w:lineRule="auto"/>
        <w:rPr>
          <w:sz w:val="20"/>
          <w:szCs w:val="20"/>
          <w:color w:val="auto"/>
        </w:rPr>
      </w:pPr>
      <w:r>
        <w:rPr>
          <w:rFonts w:ascii="Arial" w:cs="Arial" w:eastAsia="Arial" w:hAnsi="Arial"/>
          <w:sz w:val="18"/>
          <w:szCs w:val="18"/>
          <w:color w:val="auto"/>
        </w:rPr>
        <w:t>In March 2022, the Company opted to make an additional contribution of $1.2 million of cash and a commitment to provide additional in-kind contributions of $0.3 million consisting of facilities and operational services. This commitment was recorded as a commitment liability initially and was relieved in full during fiscal year 2022 as the Company provided the related services.</w:t>
      </w:r>
    </w:p>
    <w:p>
      <w:pPr>
        <w:spacing w:after="0" w:line="101"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8"/>
          <w:szCs w:val="18"/>
          <w:color w:val="auto"/>
        </w:rPr>
        <w:t>For the year ended December 31, 2022, the Company recorded a $2.7 million loss for its share of Broadwing’s operating losses. As of December 31, 2022 and 2023 the carrying amount of the investment was zero, which represents the Company’s maximum exposure to loss as a result of its involvement in Broadwing as of those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dates. During the years ended December 31, 2022 and 2023, the Company’s share of Broadwing’s losses exceeded the carrying amount of the equity investment. Since the Company has no obligation to provide cash financing to Broadwing, no additional losses are being recorded beyond the investment’s carrying amount.</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Contour Therapeutics LLC</w:t>
      </w:r>
    </w:p>
    <w:p>
      <w:pPr>
        <w:spacing w:after="0" w:line="12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In December 2020, the Company and BridgeBio Pharma LLC, or BridgeBio, completed the formation of a joint venture entity, Contour. Contour was formed to further development of therapeutic candidates and approaches designed to treat cardiovascular disease. The Company contributed know-how of $4.6 million and committed to make additional in-kind contributions of $4.0 million required to advance the program via in-kind services in exchange for an initial 30% equity interest in Contour. This initial commitment liability was initially recorded with $1.0 million in other current liabilities and $3.0 million in other long-term liabilities based upon when the Company expected to provide the in-kind contributions. BridgeBio contributed cash and committed to provide its expertise in research and clinical development for cardiovascular diseases for the other initial 70% equity interest in Contour.</w:t>
      </w:r>
    </w:p>
    <w:p>
      <w:pPr>
        <w:spacing w:after="0" w:line="117"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 Company determined it had a variable interest in Contour through its equity investment and Contour is a variable interest entity due to the equity investment at risk being insufficient to finance its activities. The Company evaluated the significant activities of Contour under the variable interest entity model and concluded that the significant activities consist primarily of research and development activities. As the Company does not have the sole power to direct such activities, the Company is not the primary beneficiary and accounts for the investment under the equity method.</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May 2022, Maze and BridgeBio entered into an agreement wherein BridgeBio was formally released from providing any further cash to Contour under its commitment to the joint venture. Accordingly, in June 2022, the Company determined its investment in Contour was impaired and recorded a loss on impairment of $ 5.4 million. Contour was dissolved in October 2022 and the Company no longer records any carrying value related to this investment. As the Company was released from its commitment liability to provide in-kind services, the Company recorded a corresponding gain of $3.0 million for the year ended December 31, 2022, resulting in an overall $2.4 million net loss on impairment and dissolution of equity method investment. The Company recorded its share of Contour’s operating losses up until its dissolution in October 2022, which amounted to $0.8 million for the year ended December 31, 2022.</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6. Capital structure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2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As of December 31, 2022 and 2023, the Company was authorized to issue 257,000,000 and 261,000,000 shares, respectively, of $0.001 par value common stock. Of the total common shares issued and outstanding, 3,000,000 shares were purchased by Third Rock Ventures, LLC, or TRV, upon the founding of the Company. TRV also purchased 55,000,000 shares of Series A redeemable convertible preferred stock. The remaining common shares issued and outstanding as of December 31, 2023 are restricted stock awards granted and stock option awards exercised under the plans discussed in Note 7 on Equity incentive plan and stock-based compensation expense. Common stockholders are entitled to dividends if and when declared by the Board of Directors of the Company, or the Board of Directors, subject to the prior rights of holders of all classes of stock outstanding having priority rights as to dividends. The holder of each share of common stock is entitled to one vote. As of December 31, 2022 and 2023, no dividends were declared.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5" w:right="4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reserved for future issuance, on an as-converted basis,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gridSpan w:val="3"/>
          </w:tcPr>
          <w:p>
            <w:pPr>
              <w:ind w:left="20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8240" w:type="dxa"/>
            <w:vAlign w:val="bottom"/>
            <w:tcBorders>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111"/>
              <w:spacing w:after="0" w:line="183" w:lineRule="exact"/>
              <w:rPr>
                <w:sz w:val="20"/>
                <w:szCs w:val="20"/>
                <w:color w:val="auto"/>
              </w:rPr>
            </w:pPr>
            <w:r>
              <w:rPr>
                <w:rFonts w:ascii="Arial" w:cs="Arial" w:eastAsia="Arial" w:hAnsi="Arial"/>
                <w:sz w:val="16"/>
                <w:szCs w:val="16"/>
                <w:b w:val="1"/>
                <w:bCs w:val="1"/>
                <w:color w:val="auto"/>
              </w:rPr>
              <w:t>2022</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redeemable convertible preferred stock</w:t>
            </w:r>
          </w:p>
        </w:tc>
        <w:tc>
          <w:tcPr>
            <w:tcW w:w="146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104,985,132</w:t>
            </w:r>
          </w:p>
        </w:tc>
        <w:tc>
          <w:tcPr>
            <w:tcW w:w="12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104,985,132</w:t>
            </w:r>
          </w:p>
        </w:tc>
        <w:tc>
          <w:tcPr>
            <w:tcW w:w="6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Series B redeemable convertible preferred stock</w:t>
            </w:r>
          </w:p>
        </w:tc>
        <w:tc>
          <w:tcPr>
            <w:tcW w:w="14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57,563,188</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57,563,188</w:t>
            </w:r>
          </w:p>
        </w:tc>
        <w:tc>
          <w:tcPr>
            <w:tcW w:w="6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redeemable convertible preferred stock</w:t>
            </w:r>
          </w:p>
        </w:tc>
        <w:tc>
          <w:tcPr>
            <w:tcW w:w="14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40,866,704</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40,866,704</w:t>
            </w:r>
          </w:p>
        </w:tc>
        <w:tc>
          <w:tcPr>
            <w:tcW w:w="6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Shares reserved under 2019 Equity Incentive Plan</w:t>
            </w:r>
          </w:p>
        </w:tc>
        <w:tc>
          <w:tcPr>
            <w:tcW w:w="14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2,317,524</w:t>
            </w:r>
          </w:p>
        </w:tc>
        <w:tc>
          <w:tcPr>
            <w:tcW w:w="12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583,767</w:t>
            </w:r>
          </w:p>
        </w:tc>
        <w:tc>
          <w:tcPr>
            <w:tcW w:w="6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 issued and outstanding</w:t>
            </w:r>
          </w:p>
        </w:tc>
        <w:tc>
          <w:tcPr>
            <w:tcW w:w="14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25,976,799</w:t>
            </w:r>
          </w:p>
        </w:tc>
        <w:tc>
          <w:tcPr>
            <w:tcW w:w="12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31,031,869</w:t>
            </w:r>
          </w:p>
        </w:tc>
        <w:tc>
          <w:tcPr>
            <w:tcW w:w="60" w:type="dxa"/>
            <w:vAlign w:val="bottom"/>
            <w:shd w:val="clear" w:color="auto" w:fill="CCEEFF"/>
          </w:tcPr>
          <w:p>
            <w:pPr>
              <w:spacing w:after="0"/>
              <w:rPr>
                <w:sz w:val="17"/>
                <w:szCs w:val="17"/>
                <w:color w:val="auto"/>
              </w:rPr>
            </w:pPr>
          </w:p>
        </w:tc>
      </w:tr>
      <w:tr>
        <w:trPr>
          <w:trHeight w:val="232"/>
        </w:trPr>
        <w:tc>
          <w:tcPr>
            <w:tcW w:w="8240" w:type="dxa"/>
            <w:vAlign w:val="bottom"/>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231,709,347</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235,030,660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0"/>
        </w:trPr>
        <w:tc>
          <w:tcPr>
            <w:tcW w:w="8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bl>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29"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In December 2021, the Company executed a Preferred Stock Purchase Agreement, or the Series C Purchase Agreement, with certain other investors to sell shares of Series C redeemable convertible preferred stock. Under the Series C Purchase Agreement, the Company issued a total of 40,866,704 shares of Series C preferred stock, or Series C Preferred Stock, (533,164 shares were issued during the twelve months ended December 31, 2022 at a price of $2.9515 per share for total net proceeds of $1.6 million) pursuant to the terms of the Series C Purchase Agreement. No additional redeemable convertible preferred shares were issued during the twelve months ended December 31, 2023.</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Issued and outstanding redeemable convertible preferred stock as of December 31, 2022 and 2023 consisted of the following:</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b w:val="1"/>
                <w:bCs w:val="1"/>
                <w:color w:val="auto"/>
              </w:rPr>
              <w:t>Original</w:t>
            </w: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4"/>
                <w:szCs w:val="14"/>
                <w:b w:val="1"/>
                <w:bCs w:val="1"/>
                <w:color w:val="auto"/>
              </w:rPr>
              <w:t>Aggregate</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5060" w:type="dxa"/>
            <w:vAlign w:val="bottom"/>
          </w:tcPr>
          <w:p>
            <w:pPr>
              <w:spacing w:after="0"/>
              <w:rPr>
                <w:sz w:val="14"/>
                <w:szCs w:val="14"/>
                <w:color w:val="auto"/>
              </w:rPr>
            </w:pPr>
          </w:p>
        </w:tc>
        <w:tc>
          <w:tcPr>
            <w:tcW w:w="1280" w:type="dxa"/>
            <w:vAlign w:val="bottom"/>
          </w:tcPr>
          <w:p>
            <w:pPr>
              <w:jc w:val="right"/>
              <w:ind w:right="74"/>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Shares issued</w:t>
            </w:r>
          </w:p>
        </w:tc>
        <w:tc>
          <w:tcPr>
            <w:tcW w:w="118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issue price</w:t>
            </w:r>
          </w:p>
        </w:tc>
        <w:tc>
          <w:tcPr>
            <w:tcW w:w="12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4"/>
                <w:szCs w:val="14"/>
                <w:b w:val="1"/>
                <w:bCs w:val="1"/>
                <w:color w:val="auto"/>
              </w:rPr>
              <w:t>liquidation</w:t>
            </w: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Net carrying</w:t>
            </w:r>
          </w:p>
        </w:tc>
      </w:tr>
      <w:tr>
        <w:trPr>
          <w:trHeight w:val="171"/>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Series</w:t>
            </w:r>
          </w:p>
        </w:tc>
        <w:tc>
          <w:tcPr>
            <w:tcW w:w="12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authorized</w:t>
            </w: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and outstanding</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value</w:t>
            </w:r>
          </w:p>
        </w:tc>
      </w:tr>
      <w:tr>
        <w:trPr>
          <w:trHeight w:val="190"/>
        </w:trPr>
        <w:tc>
          <w:tcPr>
            <w:tcW w:w="5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(in thousands, except share and per share data)</w:t>
            </w:r>
          </w:p>
        </w:tc>
      </w:tr>
      <w:tr>
        <w:trPr>
          <w:trHeight w:val="33"/>
        </w:trPr>
        <w:tc>
          <w:tcPr>
            <w:tcW w:w="5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December 31, 2022</w:t>
            </w:r>
          </w:p>
        </w:tc>
        <w:tc>
          <w:tcPr>
            <w:tcW w:w="1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Series A</w:t>
            </w:r>
          </w:p>
        </w:tc>
        <w:tc>
          <w:tcPr>
            <w:tcW w:w="12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104,985,132</w:t>
            </w: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104,985,132</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1.00</w:t>
            </w:r>
          </w:p>
        </w:tc>
        <w:tc>
          <w:tcPr>
            <w:tcW w:w="10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$ 104,985</w:t>
            </w: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104,985</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w:t>
            </w:r>
          </w:p>
        </w:tc>
        <w:tc>
          <w:tcPr>
            <w:tcW w:w="12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57,563,188</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57,563,188</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2.75</w:t>
            </w:r>
          </w:p>
        </w:tc>
        <w:tc>
          <w:tcPr>
            <w:tcW w:w="10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$ 158,299</w:t>
            </w:r>
          </w:p>
        </w:tc>
        <w:tc>
          <w:tcPr>
            <w:tcW w:w="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158,299</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Series C</w:t>
            </w:r>
          </w:p>
        </w:tc>
        <w:tc>
          <w:tcPr>
            <w:tcW w:w="12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40,866,704</w:t>
            </w: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40,866,704</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2.9515</w:t>
            </w:r>
          </w:p>
        </w:tc>
        <w:tc>
          <w:tcPr>
            <w:tcW w:w="10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$ 120,618</w:t>
            </w: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120,618</w:t>
            </w:r>
          </w:p>
        </w:tc>
      </w:tr>
      <w:tr>
        <w:trPr>
          <w:trHeight w:val="27"/>
        </w:trPr>
        <w:tc>
          <w:tcPr>
            <w:tcW w:w="50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203,415,024</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203,415,024</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$ 383,902</w:t>
            </w:r>
          </w:p>
        </w:tc>
        <w:tc>
          <w:tcPr>
            <w:tcW w:w="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383,902</w:t>
            </w:r>
          </w:p>
        </w:tc>
      </w:tr>
      <w:tr>
        <w:trPr>
          <w:trHeight w:val="270"/>
        </w:trPr>
        <w:tc>
          <w:tcPr>
            <w:tcW w:w="5060" w:type="dxa"/>
            <w:vAlign w:val="bottom"/>
          </w:tcPr>
          <w:p>
            <w:pPr>
              <w:spacing w:after="0"/>
              <w:rPr>
                <w:sz w:val="20"/>
                <w:szCs w:val="20"/>
                <w:color w:val="auto"/>
              </w:rPr>
            </w:pPr>
            <w:r>
              <w:rPr>
                <w:rFonts w:ascii="Arial" w:cs="Arial" w:eastAsia="Arial" w:hAnsi="Arial"/>
                <w:sz w:val="18"/>
                <w:szCs w:val="18"/>
                <w:b w:val="1"/>
                <w:bCs w:val="1"/>
                <w:color w:val="auto"/>
              </w:rPr>
              <w:t>As of December 31, 2023</w:t>
            </w:r>
          </w:p>
        </w:tc>
        <w:tc>
          <w:tcPr>
            <w:tcW w:w="1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12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104,985,132</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104,985,132</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1.00</w:t>
            </w:r>
          </w:p>
        </w:tc>
        <w:tc>
          <w:tcPr>
            <w:tcW w:w="10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$ 104,985</w:t>
            </w:r>
          </w:p>
        </w:tc>
        <w:tc>
          <w:tcPr>
            <w:tcW w:w="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104,985</w:t>
            </w: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12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57,563,188</w:t>
            </w: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57,563,188</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2.75</w:t>
            </w:r>
          </w:p>
        </w:tc>
        <w:tc>
          <w:tcPr>
            <w:tcW w:w="10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$ 158,299</w:t>
            </w:r>
          </w:p>
        </w:tc>
        <w:tc>
          <w:tcPr>
            <w:tcW w:w="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158,299</w:t>
            </w:r>
          </w:p>
        </w:tc>
      </w:tr>
      <w:tr>
        <w:trPr>
          <w:trHeight w:val="203"/>
        </w:trPr>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28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40,866,704</w:t>
            </w:r>
          </w:p>
        </w:tc>
        <w:tc>
          <w:tcPr>
            <w:tcW w:w="1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40,866,704</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2.9515</w:t>
            </w:r>
          </w:p>
        </w:tc>
        <w:tc>
          <w:tcPr>
            <w:tcW w:w="10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rPr>
              <w:t>$ 120,618</w:t>
            </w:r>
          </w:p>
        </w:tc>
        <w:tc>
          <w:tcPr>
            <w:tcW w:w="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120,618</w:t>
            </w:r>
          </w:p>
        </w:tc>
      </w:tr>
      <w:tr>
        <w:trPr>
          <w:trHeight w:val="232"/>
        </w:trPr>
        <w:tc>
          <w:tcPr>
            <w:tcW w:w="506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203,415,024</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203,415,024</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tcBorders>
          </w:tcPr>
          <w:p>
            <w:pPr>
              <w:jc w:val="center"/>
              <w:ind w:right="64"/>
              <w:spacing w:after="0"/>
              <w:rPr>
                <w:sz w:val="20"/>
                <w:szCs w:val="20"/>
                <w:color w:val="auto"/>
              </w:rPr>
            </w:pPr>
            <w:r>
              <w:rPr>
                <w:rFonts w:ascii="Arial" w:cs="Arial" w:eastAsia="Arial" w:hAnsi="Arial"/>
                <w:sz w:val="18"/>
                <w:szCs w:val="18"/>
                <w:color w:val="auto"/>
              </w:rPr>
              <w:t>$ 383,902</w:t>
            </w:r>
          </w:p>
        </w:tc>
        <w:tc>
          <w:tcPr>
            <w:tcW w:w="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383,902</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519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redeemable convertible preferred stock have various rights and preferences including the following: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and voting rights</w:t>
      </w:r>
    </w:p>
    <w:p>
      <w:pPr>
        <w:spacing w:after="0" w:line="142"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Each holder of redeemable convertible preferred stock is entitled to the number of votes equal to the number of shares of common stock into which such shares of redeemable convertible preferred stock held by such holder could then be converted. Each share is convertible at the holder’s option at any time into the number of shares of common stock determined by dividing the original issue price by the conversion price. The conversion price for Series A, Series B and Series C is currently set equal to the original issue price of $1.00, $2.75 and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$2.9515, respectively, and is subject to adjustments for anti-dilution in certain circumstances. Conversion is automatic immediately prior to the closing of a qualifying initial public offering and upon the election of holders of a majority of the then outstanding shares of preferred stock, voting together as a single class.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29"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color w:val="auto"/>
        </w:rPr>
        <w:t>The holders of redeemable convertible preferred stock are entitled to receive dividends out of any assets legally available only when, as, and if declared by the Board of Directors, prior to and in preference to any declaration or payment of any dividend on the common stock. Such dividends are noncumulative.</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preference</w:t>
      </w:r>
    </w:p>
    <w:p>
      <w:pPr>
        <w:spacing w:after="0" w:line="129"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 the event of any voluntary or involuntary liquidation, dissolution or winding up of the Company, or Liquidation Events, or deemed Liquidation Event, the holders of shares of the redeemable convertible preferred stock then outstanding shall be entitled to be paid out of the assets of the Company available for distribution to its stockholders before any payment shall be made to the holders of common stock. The amount per share shall be equal to the greater of (i) $1.00 for Series A, $2.75 for Series B and $2.9515 for Series C, plus any dividends declared but unpaid or (ii) such amount per share as would have been payable had all shares of the redeemable convertible preferred stock been converted into common stock immediately prior to such liquidation, dissolution or winding up of the Company or deemed Liquidation Event. In the event of any voluntary or involuntary liquidation, dissolution or winding up of the Company or deemed Liquidation Event, after the payment of all preferential amounts required to be paid to the holders of shares of redeemable convertible preferred stock, the remaining assets of the Company available for distribution to its stockholders shall be distributed among the holders of the shares of common stock, pro rata based on the number of shares held by each such holder.</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4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Upon a written request from the holders of a majority of the then outstanding shares of redeemable convertible preferred stock, which request can be made at any time after December 8, 2026, holders of the redeemable convertible preferred stock can cause the Company to redeem the redeemable convertible preferred stock for cash. Shares of redeemable convertible preferred stock must be redeemed by the Company at the original issue price for the redeemable convertible preferred stock plus any declared and unpaid dividends in three annual installments. On each of the three annual redemption dates, the Company must redeem the number of outstanding shares of redeemable convertible preferred stock determined by dividing the total number of outstanding shares of redeemable convertible preferred stock by the number of remaining redemption dates. Additionally, in the event a deemed Liquidation Event does not effect a dissolution of the Company under the Delaware General Corporation Law within 90 days, the holders of redeemable convertible preferred stock have the option (subject to the required vote) to redeem all outstanding shares of the redeemable convertible preferred stock from the net proceeds received for such deemed Liquidation Event at a price equal to the redeemable convertible preferred stock liquidation amount. As of December 31, 2022 and 2023, the carrying value of each series of redeemable convertible preferred stock was recorded at its redemption value.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Classification</w:t>
      </w:r>
    </w:p>
    <w:p>
      <w:pPr>
        <w:spacing w:after="0" w:line="142" w:lineRule="exact"/>
        <w:rPr>
          <w:sz w:val="20"/>
          <w:szCs w:val="20"/>
          <w:color w:val="auto"/>
        </w:rPr>
      </w:pPr>
    </w:p>
    <w:p>
      <w:pPr>
        <w:ind w:left="120" w:right="100"/>
        <w:spacing w:after="0" w:line="266" w:lineRule="auto"/>
        <w:rPr>
          <w:sz w:val="20"/>
          <w:szCs w:val="20"/>
          <w:color w:val="auto"/>
        </w:rPr>
      </w:pPr>
      <w:r>
        <w:rPr>
          <w:rFonts w:ascii="Arial" w:cs="Arial" w:eastAsia="Arial" w:hAnsi="Arial"/>
          <w:sz w:val="17"/>
          <w:szCs w:val="17"/>
          <w:color w:val="auto"/>
        </w:rPr>
        <w:t>Upon the occurrence of certain change in control events that are outside the Company’s control, including liquidation, sale, or transfer of the Company, holders of the redeemable convertible preferred stock can effectively cause redemption for cash. As a result, the Company has classified the redeemable convertible preferred stock as mezzanine equity on the balance sheets as the stock is contingently redeemable. The redeemable convertible preferred stock classified in mezzanine equity is subject to subsequent measurement</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under the guidance provided under FASB ASC 480-10-S99-3A, Accounting for Redeemable Equity Investments. The Company has elected to recognize changes in redemption value immediately as they occur through adjustments to the carrying amounts of the instruments at the end of the reporting period with the corresponding amount recorded to additional paid-in capital. No such changes were identified or recorded during the years ended December 31, 2022, and 2023.</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7. Equity incentive plan and stock-based compensation expense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Stock Award and Grant Plan</w:t>
      </w:r>
    </w:p>
    <w:p>
      <w:pPr>
        <w:spacing w:after="0" w:line="142"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In November 2018, the Company adopted the 2018 Stock Award and Grant Plan, or the 2018 Plan, which allowed for the granting of up to 17,000,000 equity awards to the founders, employees, members of the Board of Directors and consultants of the Company. The unvested shares of restricted common stock issued under the 2018 Plan are subject to repurchase by the Company at the original issuance price in the event of the holder’s termination, either voluntarily or involuntarily. Consideration received for unvested stock-based awards is initially recorded as a liability and subsequently reclassified into stockholders’ deficit as the related awards vest. Restricted common stock granted under the 2018 Plan generally vests over four years. Certain of the restricted common stock granted under the 2018 Plan vests upon achievement of certain performance conditions. The awards expire no more than 10 years from the date of grant.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awards (2018 Plan)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restricted common stock activity during the years ended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8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86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Restricted</w:t>
            </w: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grant date</w:t>
            </w:r>
          </w:p>
        </w:tc>
      </w:tr>
      <w:tr>
        <w:trPr>
          <w:trHeight w:val="203"/>
        </w:trPr>
        <w:tc>
          <w:tcPr>
            <w:tcW w:w="86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stock awards</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Unvested balance as of January 1, 2022</w:t>
            </w:r>
          </w:p>
        </w:tc>
        <w:tc>
          <w:tcPr>
            <w:tcW w:w="12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3,004,720</w:t>
            </w:r>
          </w:p>
        </w:tc>
        <w:tc>
          <w:tcPr>
            <w:tcW w:w="3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0.26</w:t>
            </w: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(2,258,131)</w:t>
            </w:r>
          </w:p>
        </w:tc>
        <w:tc>
          <w:tcPr>
            <w:tcW w:w="3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0.24</w:t>
            </w:r>
          </w:p>
        </w:tc>
      </w:tr>
      <w:tr>
        <w:trPr>
          <w:trHeight w:val="202"/>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Repurchased</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(53,743)</w:t>
            </w:r>
          </w:p>
        </w:tc>
        <w:tc>
          <w:tcPr>
            <w:tcW w:w="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Unvested restricted stock awards as of December 31, 2022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692,846</w:t>
            </w:r>
          </w:p>
        </w:tc>
        <w:tc>
          <w:tcPr>
            <w:tcW w:w="24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(642,846)</w:t>
            </w:r>
          </w:p>
        </w:tc>
        <w:tc>
          <w:tcPr>
            <w:tcW w:w="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0.37</w:t>
            </w:r>
          </w:p>
        </w:tc>
      </w:tr>
      <w:tr>
        <w:trPr>
          <w:trHeight w:val="232"/>
        </w:trPr>
        <w:tc>
          <w:tcPr>
            <w:tcW w:w="8680" w:type="dxa"/>
            <w:vAlign w:val="bottom"/>
          </w:tcPr>
          <w:p>
            <w:pPr>
              <w:spacing w:after="0"/>
              <w:rPr>
                <w:sz w:val="20"/>
                <w:szCs w:val="20"/>
                <w:color w:val="auto"/>
              </w:rPr>
            </w:pPr>
            <w:r>
              <w:rPr>
                <w:rFonts w:ascii="Arial" w:cs="Arial" w:eastAsia="Arial" w:hAnsi="Arial"/>
                <w:sz w:val="18"/>
                <w:szCs w:val="18"/>
                <w:color w:val="auto"/>
              </w:rPr>
              <w:t>Unvested restricted stock awards as of December 31, 2023</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20"/>
                <w:szCs w:val="20"/>
                <w:color w:val="auto"/>
              </w:rPr>
            </w:pP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608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03"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auto"/>
        </w:rPr>
        <w:t>The total number of shares under the 2018 Plan that were vested as of December 31, 2022 and 2023 was 10,053,828 and 10,696,924, respectively. As of December 31, 2022 and 2023, there were immaterial amounts recorded in accrued expenses and other current liabilities related to shares held by employees and non-employees that were unvested and subject to repurchase under this plan. During the years ended December 31, 2022 and 2023, any repurchased shares under the 2018 Plan were transferred to the 2019 Equity Incentive Plan. As of December 31, 2022 and 2023, no awards were available for issuance under the 2018 Plan.</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awards (outside of the 2018 Plan)</w:t>
      </w:r>
    </w:p>
    <w:p>
      <w:pPr>
        <w:spacing w:after="0" w:line="142"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In 2018, the Company issued 6,162,612 shares of restricted stock to founders and advisors outside of the 2018 Plan. The shares were issued under the terms of respective restricted common stock agreements, and unvested shares are subject to repurchase by the Company upon the holder’s termination of its relationship with the Company at the original purchase price per share.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color w:val="auto"/>
        </w:rPr>
        <w:t>The following table summarizes the changes in the Company’s unvested restricted common stock awards granted to founders and advisors outside of the 2018 Plan during the years ended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8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86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Restricted</w:t>
            </w:r>
          </w:p>
        </w:tc>
        <w:tc>
          <w:tcPr>
            <w:tcW w:w="1060" w:type="dxa"/>
            <w:vAlign w:val="bottom"/>
            <w:gridSpan w:val="2"/>
          </w:tcPr>
          <w:p>
            <w:pPr>
              <w:ind w:left="220"/>
              <w:spacing w:after="0"/>
              <w:rPr>
                <w:sz w:val="20"/>
                <w:szCs w:val="20"/>
                <w:color w:val="auto"/>
              </w:rPr>
            </w:pPr>
            <w:r>
              <w:rPr>
                <w:rFonts w:ascii="Arial" w:cs="Arial" w:eastAsia="Arial" w:hAnsi="Arial"/>
                <w:sz w:val="16"/>
                <w:szCs w:val="16"/>
                <w:b w:val="1"/>
                <w:bCs w:val="1"/>
                <w:color w:val="auto"/>
              </w:rPr>
              <w:t>grant date</w:t>
            </w:r>
          </w:p>
        </w:tc>
      </w:tr>
      <w:tr>
        <w:trPr>
          <w:trHeight w:val="203"/>
        </w:trPr>
        <w:tc>
          <w:tcPr>
            <w:tcW w:w="86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stock awards</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Unvested balance as of January 1, 2022</w:t>
            </w:r>
          </w:p>
        </w:tc>
        <w:tc>
          <w:tcPr>
            <w:tcW w:w="12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1,520,372</w:t>
            </w:r>
          </w:p>
        </w:tc>
        <w:tc>
          <w:tcPr>
            <w:tcW w:w="3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0.001</w:t>
            </w:r>
          </w:p>
        </w:tc>
      </w:tr>
      <w:tr>
        <w:trPr>
          <w:trHeight w:val="209"/>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(1,170,372)</w:t>
            </w:r>
          </w:p>
        </w:tc>
        <w:tc>
          <w:tcPr>
            <w:tcW w:w="3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0.001</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awards as of December 31, 2022</w:t>
            </w: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350,000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0.001</w:t>
            </w:r>
          </w:p>
        </w:tc>
      </w:tr>
      <w:tr>
        <w:trPr>
          <w:trHeight w:val="209"/>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awards as of December 31, 2023</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350,000</w:t>
            </w:r>
          </w:p>
        </w:tc>
        <w:tc>
          <w:tcPr>
            <w:tcW w:w="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326"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The total number of shares outside of the 2018 Plan that were vested as of December 31, 2022 and 2023 was 5,812,612. As of December 31, 2022 and 2023, there were immaterial amounts recorded in other liabilities related to shares held by employees and non-employees that were unvested and subject to repurchase outside of the 2018 Plan. The unvested awards as of December 31, 2022 and 2023 vest upon the achievement of future performance milestones.</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4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 August 2019, the Company’s Board of Directors approved the establishment of the 2019 Equity Incentive Plan, or the 2019 Plan. The 2019 Plan allows for the granting of restricted common stock, incentive stock options, or ISOs, and non-qualified stock options, or NSOs, to the employees, members of the Board of Directors and consultants of the Company. Restricted common stock granted under the 2019 Plan is generally vested upon issuance. Unvested shares of restricted common stock are subject to repurchase by the Company at the original issuance price in the event of the employee’s termination, either voluntarily or involuntarily. ISOs are granted only to the Company’s employees, including officers and directors who are also employees. NSOs are granted to consultants, employees, and non-employee directors of the Company. Stock options granted under the 2019 Plan generally expire 10 years from the date of grant. The 2019 Plan allows the holder of the stock option to early exercise the stock option in whole or in part prior to the full vesting of the stock option. Unvested stock options are subject to repurchase by the Company at the original issuance price in the event of the employee’s termination, either voluntarily or involuntarily. Early exercises of stock options are not deemed to be substantive exercises for accounting purposes and accordingly, consideration received for unvested stock options is initially recorded as a liability and subsequently reclassified into stockholders’ deficit as the related stock options vest.</w:t>
      </w:r>
    </w:p>
    <w:p>
      <w:pPr>
        <w:spacing w:after="0" w:line="115" w:lineRule="exact"/>
        <w:rPr>
          <w:sz w:val="20"/>
          <w:szCs w:val="20"/>
          <w:color w:val="auto"/>
        </w:rPr>
      </w:pPr>
    </w:p>
    <w:p>
      <w:pPr>
        <w:ind w:left="120" w:right="1160"/>
        <w:spacing w:after="0" w:line="271" w:lineRule="auto"/>
        <w:rPr>
          <w:sz w:val="20"/>
          <w:szCs w:val="20"/>
          <w:color w:val="auto"/>
        </w:rPr>
      </w:pPr>
      <w:r>
        <w:rPr>
          <w:rFonts w:ascii="Arial" w:cs="Arial" w:eastAsia="Arial" w:hAnsi="Arial"/>
          <w:sz w:val="18"/>
          <w:szCs w:val="18"/>
          <w:color w:val="auto"/>
        </w:rPr>
        <w:t>There were 2,317,524 and 583,767 equity incentive awards authorized and available for issuance under the 2019 Plan as of December 31, 2022 and 2023, respectively.</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 (2019 Plan)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under the 2019 Plan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Options outstanding</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115"/>
              <w:spacing w:after="0" w:line="168" w:lineRule="exact"/>
              <w:rPr>
                <w:sz w:val="20"/>
                <w:szCs w:val="20"/>
                <w:color w:val="auto"/>
              </w:rPr>
            </w:pPr>
            <w:r>
              <w:rPr>
                <w:rFonts w:ascii="Arial" w:cs="Arial" w:eastAsia="Arial" w:hAnsi="Arial"/>
                <w:sz w:val="16"/>
                <w:szCs w:val="16"/>
                <w:b w:val="1"/>
                <w:bCs w:val="1"/>
                <w:color w:val="auto"/>
              </w:rPr>
              <w:t>Weighted-</w:t>
            </w:r>
          </w:p>
        </w:tc>
        <w:tc>
          <w:tcPr>
            <w:tcW w:w="420" w:type="dxa"/>
            <w:vAlign w:val="bottom"/>
          </w:tcPr>
          <w:p>
            <w:pPr>
              <w:spacing w:after="0"/>
              <w:rPr>
                <w:sz w:val="14"/>
                <w:szCs w:val="14"/>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200"/>
              <w:spacing w:after="0" w:line="175" w:lineRule="exact"/>
              <w:rPr>
                <w:sz w:val="20"/>
                <w:szCs w:val="20"/>
                <w:color w:val="auto"/>
              </w:rPr>
            </w:pPr>
            <w:r>
              <w:rPr>
                <w:rFonts w:ascii="Arial" w:cs="Arial" w:eastAsia="Arial" w:hAnsi="Arial"/>
                <w:sz w:val="16"/>
                <w:szCs w:val="16"/>
                <w:b w:val="1"/>
                <w:bCs w:val="1"/>
                <w:color w:val="auto"/>
              </w:rPr>
              <w:t>Weighted-</w:t>
            </w:r>
          </w:p>
        </w:tc>
        <w:tc>
          <w:tcPr>
            <w:tcW w:w="1280" w:type="dxa"/>
            <w:vAlign w:val="bottom"/>
          </w:tcPr>
          <w:p>
            <w:pPr>
              <w:jc w:val="right"/>
              <w:ind w:right="115"/>
              <w:spacing w:after="0" w:line="175" w:lineRule="exact"/>
              <w:rPr>
                <w:sz w:val="20"/>
                <w:szCs w:val="20"/>
                <w:color w:val="auto"/>
              </w:rPr>
            </w:pPr>
            <w:r>
              <w:rPr>
                <w:rFonts w:ascii="Arial" w:cs="Arial" w:eastAsia="Arial" w:hAnsi="Arial"/>
                <w:sz w:val="16"/>
                <w:szCs w:val="16"/>
                <w:b w:val="1"/>
                <w:bCs w:val="1"/>
                <w:color w:val="auto"/>
              </w:rPr>
              <w:t>average</w:t>
            </w:r>
          </w:p>
        </w:tc>
        <w:tc>
          <w:tcPr>
            <w:tcW w:w="4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rPr>
              <w:t>average</w:t>
            </w:r>
          </w:p>
        </w:tc>
        <w:tc>
          <w:tcPr>
            <w:tcW w:w="1280" w:type="dxa"/>
            <w:vAlign w:val="bottom"/>
          </w:tcPr>
          <w:p>
            <w:pPr>
              <w:jc w:val="right"/>
              <w:ind w:right="115"/>
              <w:spacing w:after="0"/>
              <w:rPr>
                <w:sz w:val="20"/>
                <w:szCs w:val="20"/>
                <w:color w:val="auto"/>
              </w:rPr>
            </w:pPr>
            <w:r>
              <w:rPr>
                <w:rFonts w:ascii="Arial" w:cs="Arial" w:eastAsia="Arial" w:hAnsi="Arial"/>
                <w:sz w:val="16"/>
                <w:szCs w:val="16"/>
                <w:b w:val="1"/>
                <w:bCs w:val="1"/>
                <w:color w:val="auto"/>
              </w:rPr>
              <w:t>remaining</w:t>
            </w:r>
          </w:p>
        </w:tc>
        <w:tc>
          <w:tcPr>
            <w:tcW w:w="42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options</w:t>
            </w:r>
          </w:p>
        </w:tc>
        <w:tc>
          <w:tcPr>
            <w:tcW w:w="32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Arial" w:cs="Arial" w:eastAsia="Arial" w:hAnsi="Arial"/>
                <w:sz w:val="16"/>
                <w:szCs w:val="16"/>
                <w:b w:val="1"/>
                <w:bCs w:val="1"/>
                <w:color w:val="auto"/>
                <w:w w:val="99"/>
              </w:rPr>
              <w:t>exercise</w:t>
            </w:r>
          </w:p>
        </w:tc>
        <w:tc>
          <w:tcPr>
            <w:tcW w:w="1280" w:type="dxa"/>
            <w:vAlign w:val="bottom"/>
          </w:tcPr>
          <w:p>
            <w:pPr>
              <w:jc w:val="right"/>
              <w:ind w:right="115"/>
              <w:spacing w:after="0"/>
              <w:rPr>
                <w:sz w:val="20"/>
                <w:szCs w:val="20"/>
                <w:color w:val="auto"/>
              </w:rPr>
            </w:pPr>
            <w:r>
              <w:rPr>
                <w:rFonts w:ascii="Arial" w:cs="Arial" w:eastAsia="Arial" w:hAnsi="Arial"/>
                <w:sz w:val="16"/>
                <w:szCs w:val="16"/>
                <w:b w:val="1"/>
                <w:bCs w:val="1"/>
                <w:color w:val="auto"/>
              </w:rPr>
              <w:t>contractual</w:t>
            </w:r>
          </w:p>
        </w:tc>
        <w:tc>
          <w:tcPr>
            <w:tcW w:w="42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outstanding</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price</w:t>
            </w:r>
          </w:p>
        </w:tc>
        <w:tc>
          <w:tcPr>
            <w:tcW w:w="128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life (years)</w:t>
            </w:r>
          </w:p>
        </w:tc>
        <w:tc>
          <w:tcPr>
            <w:tcW w:w="1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2022</w:t>
            </w:r>
          </w:p>
        </w:tc>
        <w:tc>
          <w:tcPr>
            <w:tcW w:w="12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25,976,799</w:t>
            </w:r>
          </w:p>
        </w:tc>
        <w:tc>
          <w:tcPr>
            <w:tcW w:w="3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1.42</w:t>
            </w:r>
          </w:p>
        </w:tc>
        <w:tc>
          <w:tcPr>
            <w:tcW w:w="1280" w:type="dxa"/>
            <w:vAlign w:val="bottom"/>
            <w:shd w:val="clear" w:color="auto" w:fill="CCEEFF"/>
          </w:tcPr>
          <w:p>
            <w:pPr>
              <w:jc w:val="right"/>
              <w:ind w:right="115"/>
              <w:spacing w:after="0" w:line="196" w:lineRule="exact"/>
              <w:rPr>
                <w:sz w:val="20"/>
                <w:szCs w:val="20"/>
                <w:color w:val="auto"/>
              </w:rPr>
            </w:pPr>
            <w:r>
              <w:rPr>
                <w:rFonts w:ascii="Arial" w:cs="Arial" w:eastAsia="Arial" w:hAnsi="Arial"/>
                <w:sz w:val="18"/>
                <w:szCs w:val="18"/>
                <w:color w:val="auto"/>
              </w:rPr>
              <w:t>8.62</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6,342,750</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1.84</w:t>
            </w: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Exercised(1)</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(175,104)</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1.24</w:t>
            </w:r>
          </w:p>
        </w:tc>
        <w:tc>
          <w:tcPr>
            <w:tcW w:w="1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(1,112,576)</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1.57</w:t>
            </w: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as of December 31, 2023</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31,031,869</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1.50</w:t>
            </w:r>
          </w:p>
        </w:tc>
        <w:tc>
          <w:tcPr>
            <w:tcW w:w="128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7.95</w:t>
            </w:r>
          </w:p>
        </w:tc>
        <w:tc>
          <w:tcPr>
            <w:tcW w:w="4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8"/>
                <w:szCs w:val="18"/>
                <w:color w:val="auto"/>
              </w:rPr>
              <w:t>Vested and expected to vest as of December 31, 2023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30,501,869</w:t>
            </w:r>
          </w:p>
        </w:tc>
        <w:tc>
          <w:tcPr>
            <w:tcW w:w="28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1.50</w:t>
            </w: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7.93</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5,697</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 and exercisable as of December 31, 2023</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16,347,771</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1.32</w:t>
            </w:r>
          </w:p>
        </w:tc>
        <w:tc>
          <w:tcPr>
            <w:tcW w:w="128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7.48</w:t>
            </w:r>
          </w:p>
        </w:tc>
        <w:tc>
          <w:tcPr>
            <w:tcW w:w="4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03"/>
        </w:trPr>
        <w:tc>
          <w:tcPr>
            <w:tcW w:w="5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40" w:right="480" w:hanging="424"/>
        <w:spacing w:after="0" w:line="285" w:lineRule="auto"/>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As of December 31, 2023, 203,930 options exercised to date were subject to repurchase. During the year ended December 31, 2023, none of the 175,104 total exercised options were exercised early and were subject to repurchase at the time of exercise.</w:t>
      </w:r>
    </w:p>
    <w:p>
      <w:pPr>
        <w:spacing w:after="0" w:line="81" w:lineRule="exact"/>
        <w:rPr>
          <w:sz w:val="20"/>
          <w:szCs w:val="20"/>
          <w:color w:val="auto"/>
        </w:rPr>
      </w:pPr>
    </w:p>
    <w:p>
      <w:pPr>
        <w:jc w:val="both"/>
        <w:ind w:left="120" w:right="260"/>
        <w:spacing w:after="0" w:line="253" w:lineRule="auto"/>
        <w:rPr>
          <w:sz w:val="20"/>
          <w:szCs w:val="20"/>
          <w:color w:val="auto"/>
        </w:rPr>
      </w:pPr>
      <w:r>
        <w:rPr>
          <w:rFonts w:ascii="Arial" w:cs="Arial" w:eastAsia="Arial" w:hAnsi="Arial"/>
          <w:sz w:val="18"/>
          <w:szCs w:val="18"/>
          <w:color w:val="auto"/>
        </w:rPr>
        <w:t>The total intrinsic value of options exercised was less than $0.1 million and $0.1 million during the years ended December 31, 2022 and 2023, respectively. The intrinsic value is the difference between the estimated fair value of the Company’s common stock at the time of exercise and the exercise price of the stock option.</w:t>
      </w:r>
    </w:p>
    <w:p>
      <w:pPr>
        <w:spacing w:after="0" w:line="88"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The total fair value of options that vested during the years ended December 31, 2022 and 2023 was $5.7 million and $8.0 million, respectively. The weighted average grant-date fair value of employee options granted during the years ended December 31, 2022 and 2023 was $1.42 and $1.37 per share, respectively.</w:t>
      </w:r>
    </w:p>
    <w:p>
      <w:pPr>
        <w:spacing w:after="0" w:line="10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As of December 31, 2022 and 2023, there were immaterial amounts recorded in other liabilities related to shares held by employees and non-employees from early exercised options subject to vesting and repurchase under the 2019 Plan.</w:t>
      </w:r>
    </w:p>
    <w:p>
      <w:pPr>
        <w:spacing w:after="0" w:line="86"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There were no market-based awards granted or expensed for the year ended December 31, 2022. For the year ended December 31, 2023, the Company granted 500,000 options that had a fair value of $0.9 million on the grant date that vest upon the Company’s common stock meeting certain market-based price targets. The fair value of these market-based awards is being recognized through April 2026. For the year ended December 31, 2023, the Company recognized $0.2 million of share-based compensation expense related to these awards.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awards (2019 Plan)</w:t>
      </w:r>
    </w:p>
    <w:p>
      <w:pPr>
        <w:spacing w:after="0" w:line="14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During the years ended December 31, 2022 and 2023, there were 50 shares and 250 shares, respectively, of restricted stock issued under the 2019 Plan. The weighted average grant-date fair value of restricted stock granted during the years ended December 31, 2022 and 2023 was $2.00 and $1.84 per share, respectively.</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42"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color w:val="auto"/>
        </w:rPr>
        <w:t>The Company estimated the fair value of service-based stock options using the Black-Scholes option-pricing model. The fair value of service-based stock options is being amortized on the straight-line basis over the requisite service period of the awards.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7"/>
          <w:szCs w:val="17"/>
          <w:color w:val="auto"/>
        </w:rPr>
        <w:t>The fair value of the shares of common stock underlying stock options has historically been determined by the Board of Directors. Because there has been no public market for the Company’s common stock, the Board of Directors has determined the fair value of the common stock at the time of grant of the option by considering a number of objective and subjective factors including: (i) third-party valuations of the Company’s common stock; (ii) the Company’s stage of development; (iii) the status of research and development efforts;</w:t>
      </w:r>
    </w:p>
    <w:p>
      <w:pPr>
        <w:ind w:left="120" w:right="100" w:hanging="4"/>
        <w:spacing w:after="0" w:line="248" w:lineRule="auto"/>
        <w:tabs>
          <w:tab w:leader="none" w:pos="4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rights, preferences, and privileges of the Company’s redeemable convertible preferred stock relative to those of the Company’s common stock; (v) the Company’s operating results and financial condition, including the Company’s levels of available capital resources;</w:t>
      </w:r>
    </w:p>
    <w:p>
      <w:pPr>
        <w:spacing w:after="0" w:line="1" w:lineRule="exact"/>
        <w:rPr>
          <w:rFonts w:ascii="Arial" w:cs="Arial" w:eastAsia="Arial" w:hAnsi="Arial"/>
          <w:sz w:val="17"/>
          <w:szCs w:val="17"/>
          <w:color w:val="auto"/>
        </w:rPr>
      </w:pPr>
    </w:p>
    <w:p>
      <w:pPr>
        <w:ind w:left="120" w:right="20" w:hanging="4"/>
        <w:spacing w:after="0" w:line="250" w:lineRule="auto"/>
        <w:tabs>
          <w:tab w:leader="none" w:pos="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(vii) general U.S. market conditions; and (viii) the lack of marketability of the Company’s common stock.</w:t>
      </w:r>
    </w:p>
    <w:p>
      <w:pPr>
        <w:spacing w:after="0" w:line="104"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color w:val="auto"/>
        </w:rPr>
        <w:t>The Black-Scholes option-pricing model requires the use of highly subjective assumptions which determine the fair value of stock-based awards. These assumptions include:</w:t>
      </w:r>
    </w:p>
    <w:p>
      <w:pPr>
        <w:spacing w:after="0" w:line="86" w:lineRule="exact"/>
        <w:rPr>
          <w:sz w:val="20"/>
          <w:szCs w:val="20"/>
          <w:color w:val="auto"/>
        </w:rPr>
      </w:pPr>
    </w:p>
    <w:p>
      <w:pPr>
        <w:ind w:left="340" w:right="380" w:hanging="224"/>
        <w:spacing w:after="0" w:line="271"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stock option.</w:t>
      </w:r>
    </w:p>
    <w:p>
      <w:pPr>
        <w:spacing w:after="0" w:line="86" w:lineRule="exact"/>
        <w:rPr>
          <w:rFonts w:ascii="Arial" w:cs="Arial" w:eastAsia="Arial" w:hAnsi="Arial"/>
          <w:sz w:val="18"/>
          <w:szCs w:val="18"/>
          <w:color w:val="auto"/>
        </w:rPr>
      </w:pPr>
    </w:p>
    <w:p>
      <w:pPr>
        <w:ind w:left="340" w:right="60" w:hanging="224"/>
        <w:spacing w:after="0" w:line="244"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is privately held and does not have any trading history for its common stock,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was estimated based on the average volatility for comparable publicly traded biopharmaceutical companies over a period equal to the expected term of the stock option grants. The comparable companies were chosen based on their similar size, stage in the life cycle or area of specialty. The Company will continue to apply this process until enough historical information regarding the volatility of its own stock becomes available.</w:t>
      </w:r>
    </w:p>
    <w:p>
      <w:pPr>
        <w:spacing w:after="0" w:line="108" w:lineRule="exact"/>
        <w:rPr>
          <w:rFonts w:ascii="Arial" w:cs="Arial" w:eastAsia="Arial" w:hAnsi="Arial"/>
          <w:sz w:val="18"/>
          <w:szCs w:val="18"/>
          <w:color w:val="auto"/>
        </w:rPr>
      </w:pPr>
    </w:p>
    <w:p>
      <w:pPr>
        <w:jc w:val="both"/>
        <w:ind w:left="340" w:right="220" w:hanging="224"/>
        <w:spacing w:after="0" w:line="253"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 option grants are expected to be outstanding.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used the simplified method to determine the expected term. The simplified method is based on the midpoint between the vesting date and the end of the contractual term. The Company utilizes this method due to lack of historical exercise data.</w:t>
      </w:r>
    </w:p>
    <w:p>
      <w:pPr>
        <w:spacing w:after="0" w:line="101" w:lineRule="exact"/>
        <w:rPr>
          <w:rFonts w:ascii="Arial" w:cs="Arial" w:eastAsia="Arial" w:hAnsi="Arial"/>
          <w:sz w:val="18"/>
          <w:szCs w:val="18"/>
          <w:color w:val="auto"/>
        </w:rPr>
      </w:pPr>
    </w:p>
    <w:p>
      <w:pPr>
        <w:ind w:left="340" w:right="620" w:hanging="224"/>
        <w:spacing w:after="0" w:line="271"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the Company used an expected dividend yield of zero.</w:t>
      </w:r>
    </w:p>
    <w:p>
      <w:pPr>
        <w:spacing w:after="0" w:line="86"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The fair value of service-based stock options granted to employees and non-employees during the years ended December 31, 2022 and 2023 was estimated using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8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8020" w:type="dxa"/>
            <w:vAlign w:val="bottom"/>
            <w:tcBorders>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112"/>
              <w:spacing w:after="0" w:line="183" w:lineRule="exact"/>
              <w:rPr>
                <w:sz w:val="20"/>
                <w:szCs w:val="20"/>
                <w:color w:val="auto"/>
              </w:rPr>
            </w:pPr>
            <w:r>
              <w:rPr>
                <w:rFonts w:ascii="Arial" w:cs="Arial" w:eastAsia="Arial" w:hAnsi="Arial"/>
                <w:sz w:val="16"/>
                <w:szCs w:val="16"/>
                <w:b w:val="1"/>
                <w:bCs w:val="1"/>
                <w:color w:val="auto"/>
              </w:rPr>
              <w:t>2022</w:t>
            </w:r>
          </w:p>
        </w:tc>
        <w:tc>
          <w:tcPr>
            <w:tcW w:w="1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5"/>
                <w:szCs w:val="15"/>
                <w:color w:val="auto"/>
              </w:rPr>
            </w:pPr>
          </w:p>
        </w:tc>
      </w:tr>
      <w:tr>
        <w:trPr>
          <w:trHeight w:val="196"/>
        </w:trPr>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58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1.86%-4.05%</w:t>
            </w:r>
          </w:p>
        </w:tc>
        <w:tc>
          <w:tcPr>
            <w:tcW w:w="14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3.41%-4.74%</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5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80%</w:t>
            </w: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85%</w:t>
            </w: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15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5.5-6.25 years</w:t>
            </w:r>
          </w:p>
        </w:tc>
        <w:tc>
          <w:tcPr>
            <w:tcW w:w="1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6.0-6.25 years</w:t>
            </w:r>
          </w:p>
        </w:tc>
      </w:tr>
      <w:tr>
        <w:trPr>
          <w:trHeight w:val="239"/>
        </w:trPr>
        <w:tc>
          <w:tcPr>
            <w:tcW w:w="8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519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spacing w:after="0" w:line="276" w:lineRule="exact"/>
        <w:rPr>
          <w:sz w:val="20"/>
          <w:szCs w:val="20"/>
          <w:color w:val="auto"/>
        </w:rPr>
      </w:pPr>
    </w:p>
    <w:p>
      <w:pPr>
        <w:jc w:val="both"/>
        <w:ind w:left="120" w:right="260"/>
        <w:spacing w:after="0" w:line="253" w:lineRule="auto"/>
        <w:rPr>
          <w:sz w:val="20"/>
          <w:szCs w:val="20"/>
          <w:color w:val="auto"/>
        </w:rPr>
      </w:pPr>
      <w:r>
        <w:rPr>
          <w:rFonts w:ascii="Arial" w:cs="Arial" w:eastAsia="Arial" w:hAnsi="Arial"/>
          <w:sz w:val="18"/>
          <w:szCs w:val="18"/>
          <w:color w:val="auto"/>
        </w:rPr>
        <w:t>The fair value of awards that contain market-based conditions issued during fiscal year 2023 was measured using a Monte-Carlo option pricing model at the date of grant using input assumptions that include a risk-free rate of 4.35%, volatility of 80%, and a discount rate of 25%.</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2"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color w:val="auto"/>
        </w:rPr>
        <w:t>The following table summarizes the components of stock-based compensation expense recognized in the Company’s statement of operations and comprehensive loss during the years ended December 31,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9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9220" w:type="dxa"/>
            <w:vAlign w:val="bottom"/>
            <w:tcBorders>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5"/>
                <w:szCs w:val="15"/>
                <w:color w:val="auto"/>
              </w:rPr>
            </w:pPr>
          </w:p>
        </w:tc>
      </w:tr>
      <w:tr>
        <w:trPr>
          <w:trHeight w:val="183"/>
        </w:trPr>
        <w:tc>
          <w:tcPr>
            <w:tcW w:w="9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gridSpan w:val="2"/>
          </w:tcPr>
          <w:p>
            <w:pPr>
              <w:jc w:val="right"/>
              <w:ind w:right="6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$3,727</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$5,315</w:t>
            </w:r>
          </w:p>
        </w:tc>
      </w:tr>
      <w:tr>
        <w:trPr>
          <w:trHeight w:val="209"/>
        </w:trPr>
        <w:tc>
          <w:tcPr>
            <w:tcW w:w="922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3,009</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3,432</w:t>
            </w:r>
          </w:p>
        </w:tc>
        <w:tc>
          <w:tcPr>
            <w:tcW w:w="60" w:type="dxa"/>
            <w:vAlign w:val="bottom"/>
          </w:tcPr>
          <w:p>
            <w:pPr>
              <w:spacing w:after="0"/>
              <w:rPr>
                <w:sz w:val="18"/>
                <w:szCs w:val="18"/>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stock-based compensation expense</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$6,736</w:t>
            </w:r>
          </w:p>
        </w:tc>
        <w:tc>
          <w:tcPr>
            <w:tcW w:w="12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608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326"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For the year ended December 31, 2022 and 2023, the Company recognized $0.6 million and $0.2 million, respectively, in stock-based compensation expense related to restricted stock issued to founders, employees, and non-employees. For the years ended December 31, 2022 and 2023, the Company recognized $6.2 million and $8.5 million, respectively, in stock-based compensation related to stock option grants issued to employees and non-employees. As of December 31, 2022 and 2023, there was $17.7 million and $16.4 million, respectively, of total unrecognized compensation cost related to unvested options and restricted stock awards for which the cost is expected to be recognized over a weighted-average period of 2.87 years and 2.52 years, respectively.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8. Commitments and contingencies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9"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No contingent liabilities have been recorded as of December 31, 2022 and 2023.</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9"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color w:val="auto"/>
        </w:rPr>
        <w:t>In accordance with the Company’s amended and restated certificate of incorporation and amended and restated bylaws, the Company has indemnification obligations to its officers and directors for certain events or occurrences, subject to certain limits, while they are serving in such capacity. There have been no claims to date, and the Company has a directors and officers liability insurance policy that may enable it to recover a portion of any amounts paid for future claims.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Consortium agreements</w:t>
      </w:r>
    </w:p>
    <w:p>
      <w:pPr>
        <w:spacing w:after="0" w:line="129"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Since November 2019, the Company entered into a Consortium Agreement and certain related amended agreements with the University of Helsinki and other parties for access to a collaborative pre-competitive research project. The project aims to collect genomic information from patient samples in biobanks across Finland to which the Company is granted access. Under the agreement, the Company is obligated to pay certain installments through the year 2027. The Company paid $1.5 million and $0.9 million during the years ended December 31, 2022 and 2023, respectively, under the related agreements. As of December 31, 2023, the Company is obligated to pay approximately $5.4 million under this agreement, of which $0.8 million, $0.7 million, $1.1 million, and $2.8 million will be paid in each of the years ended December 31, 2024, 2025, 2026, and 2027, respectively.</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In November 2021 the Company entered into a Genes and Health Industry Consortium Agreement with Queen Mary University to source genetic and paired clinical data from a long-term community-based study run jointly by government, academic and non-profit institutions. Under the agreement, the Company is obligated to pay certain installments through the year 2025. The Company paid $1.8 million and $1.2 million during the years ended December 31, 2022 and 2023, respectively under the related agreement. As of December 31, 2023, the Company is obligated to pay approximately $1.4 million under this agreement, of which $0.9 million and $0.5 million will be paid in each of the years ended December 31, 2024 and 2025, respectively.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9. Operating Leases</w:t>
      </w:r>
    </w:p>
    <w:p>
      <w:pPr>
        <w:spacing w:after="0" w:line="13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September 2019, the Company entered into a lease in South San Francisco, California for approximately 67,200 square feet of office and laboratory space, which serves as the Company’s corporate headquarters, or Headquarters. The lease commenced in May 2020 and terminates in November 2030 with an option to extend the lease term for an additional period of eight years. The Company determined that given the length of time between lease commencement and the renewal period for this lease agreement (more than 10 years from the commencement date) and the uncertainty of business and market conditions in the future, it is not reasonably certain that the renewal option will be exercised. The Company is obligated to make total fixed payments over the lease term of approximately $53.5 million. The Company has provided the landlord with a letter of credit in the amount of $1.1 million. The security for the letter of credit is classified as restricted cash under long term assets on the balance sheet. Under this lease, the Company received reimbursement of $4.4 million for the costs associated with the design, development and construction of certain improvements that are deemed to be the property of the landlord. Such expenditures for lessor assets are recorded as prepaid rent and then reduced upon reimbursement. Total rent expense for this lease was $5.1 million for each of the years ended December 31, 2022 and 2023.</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lease costs, which are included in operating expenses in the statements of operations and comprehensive loss,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9440" w:type="dxa"/>
            <w:vAlign w:val="bottom"/>
          </w:tcPr>
          <w:p>
            <w:pPr>
              <w:spacing w:after="0"/>
              <w:rPr>
                <w:sz w:val="17"/>
                <w:szCs w:val="17"/>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9440" w:type="dxa"/>
            <w:vAlign w:val="bottom"/>
            <w:tcBorders>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5"/>
                <w:szCs w:val="15"/>
                <w:color w:val="auto"/>
              </w:rPr>
            </w:pPr>
          </w:p>
        </w:tc>
      </w:tr>
      <w:tr>
        <w:trPr>
          <w:trHeight w:val="183"/>
        </w:trPr>
        <w:tc>
          <w:tcPr>
            <w:tcW w:w="9440" w:type="dxa"/>
            <w:vAlign w:val="bottom"/>
          </w:tcPr>
          <w:p>
            <w:pPr>
              <w:spacing w:after="0"/>
              <w:rPr>
                <w:sz w:val="15"/>
                <w:szCs w:val="15"/>
                <w:color w:val="auto"/>
              </w:rPr>
            </w:pPr>
          </w:p>
        </w:tc>
        <w:tc>
          <w:tcPr>
            <w:tcW w:w="1580" w:type="dxa"/>
            <w:vAlign w:val="bottom"/>
            <w:gridSpan w:val="3"/>
          </w:tcPr>
          <w:p>
            <w:pPr>
              <w:jc w:val="right"/>
              <w:ind w:right="6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2"/>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expense</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$5,069</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$5,088</w:t>
            </w:r>
          </w:p>
        </w:tc>
      </w:tr>
      <w:tr>
        <w:trPr>
          <w:trHeight w:val="239"/>
        </w:trPr>
        <w:tc>
          <w:tcPr>
            <w:tcW w:w="9440" w:type="dxa"/>
            <w:vAlign w:val="bottom"/>
          </w:tcPr>
          <w:p>
            <w:pPr>
              <w:spacing w:after="0"/>
              <w:rPr>
                <w:sz w:val="20"/>
                <w:szCs w:val="20"/>
                <w:color w:val="auto"/>
              </w:rPr>
            </w:pPr>
            <w:r>
              <w:rPr>
                <w:rFonts w:ascii="Arial" w:cs="Arial" w:eastAsia="Arial" w:hAnsi="Arial"/>
                <w:sz w:val="18"/>
                <w:szCs w:val="18"/>
                <w:color w:val="auto"/>
              </w:rPr>
              <w:t>Cash paid for operating leases</w:t>
            </w:r>
          </w:p>
        </w:tc>
        <w:tc>
          <w:tcPr>
            <w:tcW w:w="620" w:type="dxa"/>
            <w:vAlign w:val="bottom"/>
          </w:tcPr>
          <w:p>
            <w:pPr>
              <w:jc w:val="right"/>
              <w:spacing w:after="0"/>
              <w:rPr>
                <w:sz w:val="20"/>
                <w:szCs w:val="20"/>
                <w:color w:val="auto"/>
              </w:rPr>
            </w:pPr>
            <w:r>
              <w:rPr>
                <w:rFonts w:ascii="Arial" w:cs="Arial" w:eastAsia="Arial" w:hAnsi="Arial"/>
                <w:sz w:val="18"/>
                <w:szCs w:val="18"/>
                <w:color w:val="auto"/>
              </w:rPr>
              <w:t>4,748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6087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p>
      <w:pPr>
        <w:spacing w:after="0" w:line="289"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8"/>
          <w:szCs w:val="18"/>
          <w:color w:val="auto"/>
        </w:rPr>
        <w:t>As of December 31, 2023, the weighted-average remaining lease term was 6.9 years, and the weighted-average discount rate was 9.0%. As of December 31, 2023, the Company recorded current operating lease liabilities of $4.5 million, non-current operating lease liabilities of $25.1 million, and a corresponding right-of-use asset of $26.1 million on the balance sheet.</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reconciles the undiscounted future minimum lease payments required to the operating leases recorded on the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balance sheet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9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Amount</w:t>
            </w:r>
          </w:p>
        </w:tc>
      </w:tr>
      <w:tr>
        <w:trPr>
          <w:trHeight w:val="183"/>
        </w:trPr>
        <w:tc>
          <w:tcPr>
            <w:tcW w:w="9760" w:type="dxa"/>
            <w:vAlign w:val="bottom"/>
          </w:tcPr>
          <w:p>
            <w:pPr>
              <w:spacing w:after="0"/>
              <w:rPr>
                <w:sz w:val="15"/>
                <w:szCs w:val="15"/>
                <w:color w:val="auto"/>
              </w:rPr>
            </w:pPr>
          </w:p>
        </w:tc>
        <w:tc>
          <w:tcPr>
            <w:tcW w:w="1260" w:type="dxa"/>
            <w:vAlign w:val="bottom"/>
            <w:gridSpan w:val="3"/>
          </w:tcPr>
          <w:p>
            <w:pPr>
              <w:ind w:left="20"/>
              <w:spacing w:after="0" w:line="183" w:lineRule="exact"/>
              <w:rPr>
                <w:sz w:val="20"/>
                <w:szCs w:val="20"/>
                <w:color w:val="auto"/>
              </w:rPr>
            </w:pPr>
            <w:r>
              <w:rPr>
                <w:rFonts w:ascii="Arial" w:cs="Arial" w:eastAsia="Arial" w:hAnsi="Arial"/>
                <w:sz w:val="16"/>
                <w:szCs w:val="16"/>
                <w:b w:val="1"/>
                <w:bCs w:val="1"/>
                <w:color w:val="auto"/>
              </w:rPr>
              <w:t>(in thousands)</w:t>
            </w: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4,650</w:t>
            </w:r>
          </w:p>
        </w:tc>
      </w:tr>
      <w:tr>
        <w:trPr>
          <w:trHeight w:val="203"/>
        </w:trPr>
        <w:tc>
          <w:tcPr>
            <w:tcW w:w="97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2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5,248</w:t>
            </w: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5,432</w:t>
            </w:r>
          </w:p>
        </w:tc>
      </w:tr>
      <w:tr>
        <w:trPr>
          <w:trHeight w:val="203"/>
        </w:trPr>
        <w:tc>
          <w:tcPr>
            <w:tcW w:w="97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2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5,622</w:t>
            </w: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5,819</w:t>
            </w:r>
          </w:p>
        </w:tc>
      </w:tr>
      <w:tr>
        <w:trPr>
          <w:trHeight w:val="209"/>
        </w:trPr>
        <w:tc>
          <w:tcPr>
            <w:tcW w:w="97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11,714</w:t>
            </w:r>
          </w:p>
        </w:tc>
        <w:tc>
          <w:tcPr>
            <w:tcW w:w="120" w:type="dxa"/>
            <w:vAlign w:val="bottom"/>
          </w:tcPr>
          <w:p>
            <w:pPr>
              <w:spacing w:after="0"/>
              <w:rPr>
                <w:sz w:val="18"/>
                <w:szCs w:val="18"/>
                <w:color w:val="auto"/>
              </w:rPr>
            </w:pPr>
          </w:p>
        </w:tc>
      </w:tr>
      <w:tr>
        <w:trPr>
          <w:trHeight w:val="203"/>
        </w:trPr>
        <w:tc>
          <w:tcPr>
            <w:tcW w:w="9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undiscounted future minimum lease payments</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38,485</w:t>
            </w:r>
          </w:p>
        </w:tc>
      </w:tr>
      <w:tr>
        <w:trPr>
          <w:trHeight w:val="210"/>
        </w:trPr>
        <w:tc>
          <w:tcPr>
            <w:tcW w:w="976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(8,942)</w:t>
            </w:r>
          </w:p>
        </w:tc>
      </w:tr>
      <w:tr>
        <w:trPr>
          <w:trHeight w:val="203"/>
        </w:trPr>
        <w:tc>
          <w:tcPr>
            <w:tcW w:w="97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operating lease liabilities</w:t>
            </w:r>
          </w:p>
        </w:tc>
        <w:tc>
          <w:tcPr>
            <w:tcW w:w="320" w:type="dxa"/>
            <w:vAlign w:val="bottom"/>
            <w:tcBorders>
              <w:top w:val="single" w:sz="8" w:color="auto"/>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29,543</w:t>
            </w:r>
          </w:p>
        </w:tc>
        <w:tc>
          <w:tcPr>
            <w:tcW w:w="120" w:type="dxa"/>
            <w:vAlign w:val="bottom"/>
            <w:shd w:val="clear" w:color="auto" w:fill="CCEEFF"/>
          </w:tcPr>
          <w:p>
            <w:pPr>
              <w:spacing w:after="0"/>
              <w:rPr>
                <w:sz w:val="17"/>
                <w:szCs w:val="17"/>
                <w:color w:val="auto"/>
              </w:rPr>
            </w:pPr>
          </w:p>
        </w:tc>
      </w:tr>
      <w:tr>
        <w:trPr>
          <w:trHeight w:val="203"/>
        </w:trPr>
        <w:tc>
          <w:tcPr>
            <w:tcW w:w="97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bl>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Sublease</w:t>
      </w:r>
    </w:p>
    <w:p>
      <w:pPr>
        <w:spacing w:after="0" w:line="129" w:lineRule="exact"/>
        <w:rPr>
          <w:sz w:val="20"/>
          <w:szCs w:val="20"/>
          <w:color w:val="auto"/>
        </w:rPr>
      </w:pPr>
    </w:p>
    <w:p>
      <w:pPr>
        <w:ind w:left="120" w:right="400"/>
        <w:spacing w:after="0" w:line="247" w:lineRule="auto"/>
        <w:rPr>
          <w:sz w:val="20"/>
          <w:szCs w:val="20"/>
          <w:color w:val="auto"/>
        </w:rPr>
      </w:pPr>
      <w:r>
        <w:rPr>
          <w:rFonts w:ascii="Arial" w:cs="Arial" w:eastAsia="Arial" w:hAnsi="Arial"/>
          <w:sz w:val="18"/>
          <w:szCs w:val="18"/>
          <w:color w:val="auto"/>
        </w:rPr>
        <w:t>The Company was a sublessor in a sublease agreement for approximately 6,500 rentable square feet of space in the Company’s Headquarters, the term of which expired in June 2022. Total sublease income was $0.3 million and zero for the years ended December 31, 2022 and 2023, respectively, and recorded in interest and other income. There were no future undiscounted cash flows relating to the sublease agreement as of December 31, 2022 and 2023.</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10. Convertible promissory notes and other debt agreements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December 2023, the Company entered into a convertible note purchase agreement with certain existing investors to issue up to</w:t>
      </w:r>
    </w:p>
    <w:p>
      <w:pPr>
        <w:spacing w:after="0" w:line="14" w:lineRule="exact"/>
        <w:rPr>
          <w:sz w:val="20"/>
          <w:szCs w:val="20"/>
          <w:color w:val="auto"/>
        </w:rPr>
      </w:pPr>
    </w:p>
    <w:p>
      <w:pPr>
        <w:ind w:left="120" w:right="260"/>
        <w:spacing w:after="0" w:line="242" w:lineRule="auto"/>
        <w:rPr>
          <w:sz w:val="20"/>
          <w:szCs w:val="20"/>
          <w:color w:val="auto"/>
        </w:rPr>
      </w:pPr>
      <w:r>
        <w:rPr>
          <w:rFonts w:ascii="Arial" w:cs="Arial" w:eastAsia="Arial" w:hAnsi="Arial"/>
          <w:sz w:val="18"/>
          <w:szCs w:val="18"/>
          <w:color w:val="auto"/>
        </w:rPr>
        <w:t>$25.0 million in convertible promissory notes, or the Convertible Promissory Notes. The Convertible Promissory Notes bear interest at a rate of 8% per annum and mature in December 2026. The Company issued $16.2 million of the Convertible Promissory Notes, net of issuance costs of $0.1 million, as of December 31, 2023.</w:t>
      </w:r>
    </w:p>
    <w:p>
      <w:pPr>
        <w:spacing w:after="0" w:line="112"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The Convertible Promissory Notes contain automatic conversion features that are triggered upon a qualified preferred stock financing or a qualified public offering. In the event of a qualified preferred stock financing or a qualified public offering, the total outstanding principal and accrued interest will automatically convert into preferred stock or common stock, respectively, at a conversion price equal to 80% of the price per share paid by other purchasers of the respective financing or offering. If the Convertible Promissory Notes have not been repaid or converted before they mature, the holders may convert the outstanding principal and accrued interest into Series C Preferred Stock at $2.9515 per share.</w:t>
      </w:r>
    </w:p>
    <w:p>
      <w:pPr>
        <w:spacing w:after="0" w:line="98"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The Company elected to apply the fair value option, as per ASC 825, to the outstanding Convertible Promissory Notes. As such, the Convertible Promissory Notes are recognized at fair value with changes in fair value recognized in the consolidated statements of operations and comprehensive loss. The fair value of the Convertible Promissory Notes is based on significant inputs, including volatility, discount yield, variables for the timing of the related conversion events and other probability estimates, which are deemed to be Level 3 inputs in the fair value hierarchy. The assumptions used to determine the fair value of the Convertible Promissory Notes included an estimated 90% probability of conversion of the promissory notes at a 20% discount, an assumed discount rate of 25%, the assumed value of the convertible preferred stock, and an estimated time to</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60"/>
        <w:spacing w:after="0" w:line="253" w:lineRule="auto"/>
        <w:rPr>
          <w:sz w:val="20"/>
          <w:szCs w:val="20"/>
          <w:color w:val="auto"/>
        </w:rPr>
      </w:pPr>
      <w:r>
        <w:rPr>
          <w:rFonts w:ascii="Arial" w:cs="Arial" w:eastAsia="Arial" w:hAnsi="Arial"/>
          <w:sz w:val="18"/>
          <w:szCs w:val="18"/>
          <w:color w:val="auto"/>
        </w:rPr>
        <w:t>settlement of up to 1.3 years. The fair value of the Convertible Promissory Notes was $20.1 million as of December 31, 2023. The Company recorded a loss of $3.8 million reflecting the change in fair value of the Convertible Promissory Notes in the statements of operations and comprehensive loss for the year ended December 31, 2023.</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June 2022, the Company entered into a loan and security agreement with a bank that provides a three-year revolving line of credit of up to $50.0 million that is secured by substantially all of the Company’s assets, except for its intellectual property. The Company has not elected to draw down any funds from this debt facility during the years ended December 31, 2022 and 2023. Advances under the revolving line may be prepaid and reborrowed by the Company without penalty. If a certain funding milestone is met due to the sale of equity securities and/or upfront non-refundable payments from strategic partnerships, the Company has the option to convert the aggregate principal amount into a term loan. Advances under the line of credit accrue interest at a variable annum rate of the greater of (i) 0.75% above the Prime Rate (as defined below) and (ii) 4.50%. The Prime Rate is defined as the variable rate of interest, per annum, most recently announced by the bank, as its “prime rate,” whether or not such announced rate is the lowest rate available from the bank.</w:t>
      </w:r>
    </w:p>
    <w:p>
      <w:pPr>
        <w:spacing w:after="0" w:line="11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Under the loan and security agreement, the Company is required to pay the bank a success fee of up to $2.0 million depending on if the Company closes a sale of substantially all of its assets, consummates a reorganization where the voting stockholders before such transaction hold less than 50% of the voting securities after such transaction, or the sale of the Company’s securities in connection with an initial public offering, reverse merger or other similar transaction wherein the Company’s securities may thereafter be traded in a public market. This success fee was deemed to be a freestanding derivative instrument that was bifurcated from the line-of-credit instrument and is initially and subsequently measured at fair value each reporting period. The fair value of this success fee derivative was estimated utilizing a probability-weighted cash flow approach, including variables for the timing of the related events and other probability estimates, which are deemed to be Level 3 inputs in the fair value hierarchy. The fair value of this success fee derivative was approximately</w:t>
      </w:r>
    </w:p>
    <w:p>
      <w:pPr>
        <w:spacing w:after="0" w:line="3"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$0.1 million as of December 31, 2022 and 2023, respectively, and is recorded in accrued expenses and other current liabilities. The change in fair value of the derivative of less than $0.1 million is recorded in interest and other income, net. Total issuance costs and the debt discount arising from the success fee amounted to $0.3 million and were recorded in other assets, which are amortized as interest expense over the commitment period.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11. Related party transactions</w:t>
      </w:r>
    </w:p>
    <w:p>
      <w:pPr>
        <w:spacing w:after="0" w:line="148"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color w:val="auto"/>
        </w:rPr>
        <w:t>The Company paid fees to its founders and certain board members in exchange for consulting services. During each of the years ended December 31, 2022 and 2023, the Company recorded such fees of $0.3 million as research and development expenses and $0.2 million as general and administrative expenses.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12. Income taxes</w:t>
      </w:r>
    </w:p>
    <w:p>
      <w:pPr>
        <w:spacing w:after="0" w:line="148"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No provision for, or benefit from, income taxes was recorded for the years ended December 31, 2022 and 2023. The Company has established a full valuation allowance against its net deferred tax assets due to the uncertainty surrounding the realization of such assets. All losses to date have been incurred domestically.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effective income tax rate of the Company’s provision for income taxes differed from the federal statutory rate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Year ended</w:t>
            </w:r>
          </w:p>
        </w:tc>
      </w:tr>
      <w:tr>
        <w:trPr>
          <w:trHeight w:val="203"/>
        </w:trPr>
        <w:tc>
          <w:tcPr>
            <w:tcW w:w="8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8900" w:type="dxa"/>
            <w:vAlign w:val="bottom"/>
            <w:tcBorders>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2022</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5"/>
                <w:szCs w:val="15"/>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Statutory income tax rate</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21.00%</w:t>
            </w:r>
          </w:p>
        </w:tc>
        <w:tc>
          <w:tcPr>
            <w:tcW w:w="11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21.00%</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State income tax</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0.79%</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1.69%</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Permanent differences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(0.08)%</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(0.88)%</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(0.58)%</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(0.89)%</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Others</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(0.51)%</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Tax credits</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2.53%</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(23.61)%</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(22.94)%</w:t>
            </w:r>
          </w:p>
        </w:tc>
      </w:tr>
      <w:tr>
        <w:trPr>
          <w:trHeight w:val="232"/>
        </w:trPr>
        <w:tc>
          <w:tcPr>
            <w:tcW w:w="8900" w:type="dxa"/>
            <w:vAlign w:val="bottom"/>
          </w:tcPr>
          <w:p>
            <w:pPr>
              <w:spacing w:after="0"/>
              <w:rPr>
                <w:sz w:val="20"/>
                <w:szCs w:val="20"/>
                <w:color w:val="auto"/>
              </w:rPr>
            </w:pPr>
            <w:r>
              <w:rPr>
                <w:rFonts w:ascii="Arial" w:cs="Arial" w:eastAsia="Arial" w:hAnsi="Arial"/>
                <w:sz w:val="18"/>
                <w:szCs w:val="18"/>
                <w:color w:val="auto"/>
              </w:rPr>
              <w:t>Total effective income tax rate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519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51980" cy="8890"/>
                    </a:xfrm>
                    <a:prstGeom prst="rect">
                      <a:avLst/>
                    </a:prstGeom>
                    <a:noFill/>
                  </pic:spPr>
                </pic:pic>
              </a:graphicData>
            </a:graphic>
          </wp:anchor>
        </w:drawing>
      </w:r>
    </w:p>
    <w:p>
      <w:pPr>
        <w:spacing w:after="0" w:line="303"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The tax effects of significant items comprising the Company’s deferred tax as of December 31, 2022 and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1289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-290195</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Operating loss and tax credit carryforwards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Research and development credits</w:t>
      </w:r>
    </w:p>
    <w:p>
      <w:pPr>
        <w:ind w:left="120"/>
        <w:spacing w:after="0" w:line="235" w:lineRule="auto"/>
        <w:rPr>
          <w:sz w:val="20"/>
          <w:szCs w:val="20"/>
          <w:color w:val="auto"/>
        </w:rPr>
      </w:pPr>
      <w:r>
        <w:rPr>
          <w:rFonts w:ascii="Arial" w:cs="Arial" w:eastAsia="Arial" w:hAnsi="Arial"/>
          <w:sz w:val="18"/>
          <w:szCs w:val="18"/>
          <w:color w:val="auto"/>
        </w:rPr>
        <w:t>Accruals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Capitalized research and development</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liabilities: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Right of use asset</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Valuation allowance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289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132080</wp:posOffset>
            </wp:positionV>
            <wp:extent cx="69176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120904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5" w:lineRule="exact"/>
        <w:rPr>
          <w:sz w:val="20"/>
          <w:szCs w:val="20"/>
          <w:color w:val="auto"/>
        </w:rPr>
      </w:pPr>
    </w:p>
    <w:p>
      <w:pPr>
        <w:ind w:left="380"/>
        <w:spacing w:after="0"/>
        <w:tabs>
          <w:tab w:leader="none" w:pos="154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2023</w:t>
      </w:r>
    </w:p>
    <w:p>
      <w:pPr>
        <w:spacing w:after="0" w:line="19"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jc w:val="right"/>
              <w:ind w:right="130"/>
              <w:spacing w:after="0"/>
              <w:rPr>
                <w:sz w:val="20"/>
                <w:szCs w:val="20"/>
                <w:color w:val="auto"/>
              </w:rPr>
            </w:pPr>
            <w:r>
              <w:rPr>
                <w:rFonts w:ascii="Arial" w:cs="Arial" w:eastAsia="Arial" w:hAnsi="Arial"/>
                <w:sz w:val="18"/>
                <w:szCs w:val="18"/>
                <w:color w:val="auto"/>
              </w:rPr>
              <w:t>$ 41,459</w:t>
            </w:r>
          </w:p>
        </w:tc>
        <w:tc>
          <w:tcPr>
            <w:tcW w:w="960" w:type="dxa"/>
            <w:vAlign w:val="bottom"/>
          </w:tcPr>
          <w:p>
            <w:pPr>
              <w:jc w:val="right"/>
              <w:spacing w:after="0"/>
              <w:rPr>
                <w:sz w:val="20"/>
                <w:szCs w:val="20"/>
                <w:color w:val="auto"/>
              </w:rPr>
            </w:pPr>
            <w:r>
              <w:rPr>
                <w:rFonts w:ascii="Arial" w:cs="Arial" w:eastAsia="Arial" w:hAnsi="Arial"/>
                <w:sz w:val="18"/>
                <w:szCs w:val="18"/>
                <w:color w:val="auto"/>
              </w:rPr>
              <w:t>$ 50,033</w:t>
            </w:r>
          </w:p>
        </w:tc>
      </w:tr>
      <w:tr>
        <w:trPr>
          <w:trHeight w:val="203"/>
        </w:trPr>
        <w:tc>
          <w:tcPr>
            <w:tcW w:w="9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6,741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6,216</w:t>
            </w:r>
          </w:p>
        </w:tc>
      </w:tr>
      <w:tr>
        <w:trPr>
          <w:trHeight w:val="203"/>
        </w:trPr>
        <w:tc>
          <w:tcPr>
            <w:tcW w:w="9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10,464</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14,663</w:t>
            </w:r>
          </w:p>
        </w:tc>
      </w:tr>
      <w:tr>
        <w:trPr>
          <w:trHeight w:val="203"/>
        </w:trPr>
        <w:tc>
          <w:tcPr>
            <w:tcW w:w="9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3,252</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3,952</w:t>
            </w:r>
          </w:p>
        </w:tc>
      </w:tr>
      <w:tr>
        <w:trPr>
          <w:trHeight w:val="221"/>
        </w:trPr>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14,799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24,097</w:t>
            </w:r>
          </w:p>
        </w:tc>
      </w:tr>
      <w:tr>
        <w:trPr>
          <w:trHeight w:val="210"/>
        </w:trPr>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76,715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98,961</w:t>
            </w:r>
          </w:p>
        </w:tc>
      </w:tr>
    </w:tbl>
    <w:p>
      <w:pPr>
        <w:spacing w:after="0" w:line="265" w:lineRule="exact"/>
        <w:rPr>
          <w:sz w:val="20"/>
          <w:szCs w:val="20"/>
          <w:color w:val="auto"/>
        </w:rPr>
      </w:pPr>
    </w:p>
    <w:p>
      <w:pPr>
        <w:ind w:left="1560" w:hanging="1184"/>
        <w:spacing w:after="0"/>
        <w:tabs>
          <w:tab w:leader="none" w:pos="15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(225)</w:t>
      </w:r>
    </w:p>
    <w:p>
      <w:pPr>
        <w:spacing w:after="0" w:line="25" w:lineRule="exact"/>
        <w:rPr>
          <w:rFonts w:ascii="Arial" w:cs="Arial" w:eastAsia="Arial" w:hAnsi="Arial"/>
          <w:sz w:val="17"/>
          <w:szCs w:val="17"/>
          <w:color w:val="auto"/>
        </w:rPr>
      </w:pPr>
    </w:p>
    <w:p>
      <w:pPr>
        <w:ind w:left="220"/>
        <w:spacing w:after="0"/>
        <w:rPr>
          <w:rFonts w:ascii="Arial" w:cs="Arial" w:eastAsia="Arial" w:hAnsi="Arial"/>
          <w:sz w:val="17"/>
          <w:szCs w:val="17"/>
          <w:color w:val="auto"/>
        </w:rPr>
      </w:pPr>
      <w:r>
        <w:rPr>
          <w:rFonts w:ascii="Arial" w:cs="Arial" w:eastAsia="Arial" w:hAnsi="Arial"/>
          <w:sz w:val="18"/>
          <w:szCs w:val="18"/>
          <w:color w:val="auto"/>
        </w:rPr>
        <w:t>(6,062)(5,500)</w:t>
      </w:r>
    </w:p>
    <w:p>
      <w:pPr>
        <w:spacing w:after="0" w:line="13" w:lineRule="exact"/>
        <w:rPr>
          <w:rFonts w:ascii="Arial" w:cs="Arial" w:eastAsia="Arial" w:hAnsi="Arial"/>
          <w:sz w:val="17"/>
          <w:szCs w:val="17"/>
          <w:color w:val="auto"/>
        </w:rPr>
      </w:pPr>
    </w:p>
    <w:p>
      <w:pPr>
        <w:ind w:left="220"/>
        <w:spacing w:after="0"/>
        <w:rPr>
          <w:rFonts w:ascii="Arial" w:cs="Arial" w:eastAsia="Arial" w:hAnsi="Arial"/>
          <w:sz w:val="17"/>
          <w:szCs w:val="17"/>
          <w:color w:val="auto"/>
        </w:rPr>
      </w:pPr>
      <w:r>
        <w:rPr>
          <w:rFonts w:ascii="Arial" w:cs="Arial" w:eastAsia="Arial" w:hAnsi="Arial"/>
          <w:sz w:val="18"/>
          <w:szCs w:val="18"/>
          <w:color w:val="auto"/>
        </w:rPr>
        <w:t>(6,514)(5,725)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-141605</wp:posOffset>
            </wp:positionV>
            <wp:extent cx="120904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090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wp:posOffset>
            </wp:positionV>
            <wp:extent cx="120904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1280" w:val="left"/>
        </w:tabs>
        <w:rPr>
          <w:sz w:val="20"/>
          <w:szCs w:val="20"/>
          <w:color w:val="auto"/>
        </w:rPr>
      </w:pPr>
      <w:r>
        <w:rPr>
          <w:rFonts w:ascii="Arial" w:cs="Arial" w:eastAsia="Arial" w:hAnsi="Arial"/>
          <w:sz w:val="18"/>
          <w:szCs w:val="18"/>
          <w:color w:val="auto"/>
        </w:rPr>
        <w:t>(70,201)</w:t>
      </w:r>
      <w:r>
        <w:rPr>
          <w:sz w:val="20"/>
          <w:szCs w:val="20"/>
          <w:color w:val="auto"/>
        </w:rPr>
        <w:tab/>
      </w:r>
      <w:r>
        <w:rPr>
          <w:rFonts w:ascii="Arial" w:cs="Arial" w:eastAsia="Arial" w:hAnsi="Arial"/>
          <w:sz w:val="18"/>
          <w:szCs w:val="18"/>
          <w:color w:val="auto"/>
        </w:rPr>
        <w:t>(93,236)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120904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3" w:lineRule="exact"/>
        <w:rPr>
          <w:sz w:val="20"/>
          <w:szCs w:val="20"/>
          <w:color w:val="auto"/>
        </w:rPr>
      </w:pPr>
    </w:p>
    <w:p>
      <w:pPr>
        <w:spacing w:after="0"/>
        <w:tabs>
          <w:tab w:leader="none" w:pos="540" w:val="left"/>
          <w:tab w:leader="none" w:pos="1160" w:val="left"/>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380" w:space="720"/>
            <w:col w:w="2040"/>
          </w:cols>
          <w:pgMar w:left="320" w:top="455" w:right="439" w:bottom="1440" w:gutter="0" w:footer="0" w:header="0"/>
          <w:type w:val="continuous"/>
        </w:sectPr>
      </w:pPr>
    </w:p>
    <w:p>
      <w:pPr>
        <w:spacing w:after="0" w:line="151"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ASC 740, Income Taxes, requires that the tax benefit of net operating losses, or NOLs,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history of operating losses, management believes that recognition of the deferred tax assets arising from the above-mentioned future tax benefits is currently not likely to be realized and, accordingly, has provided a valuation allowance.</w:t>
      </w:r>
    </w:p>
    <w:p>
      <w:pPr>
        <w:spacing w:after="0" w:line="9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realization of deferred tax assets is dependent upon future earnings, if any, of which the timing and amount are uncertain. Accordingly, the net deferred tax assets have been fully offset by a valuation allowance. During the years ended December 31, 2022 and 2023, the valuation allowance increased by $26.9 million and $23.0 million, respectively.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5" w:right="439" w:bottom="1440" w:gutter="0" w:footer="0" w:header="0"/>
          <w:type w:val="continuous"/>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the Internal Revenue Code of 1986, as amended, or the Code, and similar state provisions. The Company had a Section 382 study prepared which covered the period from inception through March 2024. The study concluded that several ownership changes occurred since the inception of the Company. However, it was determined that the annual available NOLs under Section 382 will be sufficient to utilize in their entirety prior to their respective expiration years.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operating losses and tax credit carryforwards as of December 31,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3280" w:type="dxa"/>
            <w:vAlign w:val="bottom"/>
            <w:gridSpan w:val="2"/>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Pr>
          <w:p>
            <w:pPr>
              <w:spacing w:after="0"/>
              <w:rPr>
                <w:sz w:val="16"/>
                <w:szCs w:val="16"/>
                <w:color w:val="auto"/>
              </w:rPr>
            </w:pPr>
          </w:p>
        </w:tc>
      </w:tr>
      <w:tr>
        <w:trPr>
          <w:trHeight w:val="203"/>
        </w:trPr>
        <w:tc>
          <w:tcPr>
            <w:tcW w:w="63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tcPr>
          <w:p>
            <w:pPr>
              <w:jc w:val="center"/>
              <w:ind w:left="92"/>
              <w:spacing w:after="0"/>
              <w:rPr>
                <w:sz w:val="20"/>
                <w:szCs w:val="20"/>
                <w:color w:val="auto"/>
              </w:rPr>
            </w:pPr>
            <w:r>
              <w:rPr>
                <w:rFonts w:ascii="Arial" w:cs="Arial" w:eastAsia="Arial" w:hAnsi="Arial"/>
                <w:sz w:val="16"/>
                <w:szCs w:val="16"/>
                <w:b w:val="1"/>
                <w:bCs w:val="1"/>
                <w:color w:val="auto"/>
              </w:rPr>
              <w:t>Expiration year</w:t>
            </w:r>
          </w:p>
        </w:tc>
      </w:tr>
      <w:tr>
        <w:trPr>
          <w:trHeight w:val="183"/>
        </w:trPr>
        <w:tc>
          <w:tcPr>
            <w:tcW w:w="6380" w:type="dxa"/>
            <w:vAlign w:val="bottom"/>
          </w:tcPr>
          <w:p>
            <w:pPr>
              <w:spacing w:after="0"/>
              <w:rPr>
                <w:sz w:val="15"/>
                <w:szCs w:val="15"/>
                <w:color w:val="auto"/>
              </w:rPr>
            </w:pPr>
          </w:p>
        </w:tc>
        <w:tc>
          <w:tcPr>
            <w:tcW w:w="3280" w:type="dxa"/>
            <w:vAlign w:val="bottom"/>
            <w:gridSpan w:val="2"/>
          </w:tcPr>
          <w:p>
            <w:pPr>
              <w:jc w:val="right"/>
              <w:ind w:right="112"/>
              <w:spacing w:after="0" w:line="183" w:lineRule="exact"/>
              <w:rPr>
                <w:sz w:val="20"/>
                <w:szCs w:val="20"/>
                <w:color w:val="auto"/>
              </w:rPr>
            </w:pPr>
            <w:r>
              <w:rPr>
                <w:rFonts w:ascii="Arial" w:cs="Arial" w:eastAsia="Arial" w:hAnsi="Arial"/>
                <w:sz w:val="16"/>
                <w:szCs w:val="16"/>
                <w:b w:val="1"/>
                <w:bCs w:val="1"/>
                <w:color w:val="auto"/>
              </w:rPr>
              <w:t>(in thousands)</w:t>
            </w:r>
          </w:p>
        </w:tc>
        <w:tc>
          <w:tcPr>
            <w:tcW w:w="1360" w:type="dxa"/>
            <w:vAlign w:val="bottom"/>
          </w:tcPr>
          <w:p>
            <w:pPr>
              <w:spacing w:after="0"/>
              <w:rPr>
                <w:sz w:val="15"/>
                <w:szCs w:val="15"/>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operating losses, federal (post-December 31, 2017)</w:t>
            </w:r>
          </w:p>
        </w:tc>
        <w:tc>
          <w:tcPr>
            <w:tcW w:w="22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236,126</w:t>
            </w:r>
          </w:p>
        </w:tc>
        <w:tc>
          <w:tcPr>
            <w:tcW w:w="1360" w:type="dxa"/>
            <w:vAlign w:val="bottom"/>
            <w:shd w:val="clear" w:color="auto" w:fill="CCEEFF"/>
          </w:tcPr>
          <w:p>
            <w:pPr>
              <w:jc w:val="center"/>
              <w:ind w:left="72"/>
              <w:spacing w:after="0" w:line="202" w:lineRule="exact"/>
              <w:rPr>
                <w:sz w:val="20"/>
                <w:szCs w:val="20"/>
                <w:color w:val="auto"/>
              </w:rPr>
            </w:pPr>
            <w:r>
              <w:rPr>
                <w:rFonts w:ascii="Arial" w:cs="Arial" w:eastAsia="Arial" w:hAnsi="Arial"/>
                <w:sz w:val="18"/>
                <w:szCs w:val="18"/>
                <w:color w:val="auto"/>
              </w:rPr>
              <w:t>Do not expire</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Net operating losses, federal (pre-January 1, 2018)</w:t>
            </w:r>
          </w:p>
        </w:tc>
        <w:tc>
          <w:tcPr>
            <w:tcW w:w="2240" w:type="dxa"/>
            <w:vAlign w:val="bottom"/>
          </w:tcPr>
          <w:p>
            <w:pPr>
              <w:spacing w:after="0"/>
              <w:rPr>
                <w:sz w:val="17"/>
                <w:szCs w:val="17"/>
                <w:color w:val="auto"/>
              </w:rPr>
            </w:pP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1,401</w:t>
            </w:r>
          </w:p>
        </w:tc>
        <w:tc>
          <w:tcPr>
            <w:tcW w:w="136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9"/>
              </w:rPr>
              <w:t>12/31/2037</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operating losses, state</w:t>
            </w:r>
          </w:p>
        </w:tc>
        <w:tc>
          <w:tcPr>
            <w:tcW w:w="2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2,444</w:t>
            </w:r>
          </w:p>
        </w:tc>
        <w:tc>
          <w:tcPr>
            <w:tcW w:w="1360" w:type="dxa"/>
            <w:vAlign w:val="bottom"/>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2037—2043</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Tax credits, federal</w:t>
            </w:r>
          </w:p>
        </w:tc>
        <w:tc>
          <w:tcPr>
            <w:tcW w:w="2240" w:type="dxa"/>
            <w:vAlign w:val="bottom"/>
          </w:tcPr>
          <w:p>
            <w:pPr>
              <w:spacing w:after="0"/>
              <w:rPr>
                <w:sz w:val="17"/>
                <w:szCs w:val="17"/>
                <w:color w:val="auto"/>
              </w:rPr>
            </w:pP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12,914</w:t>
            </w:r>
          </w:p>
        </w:tc>
        <w:tc>
          <w:tcPr>
            <w:tcW w:w="136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9"/>
              </w:rPr>
              <w:t>2037—2043</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credits, state</w:t>
            </w:r>
          </w:p>
        </w:tc>
        <w:tc>
          <w:tcPr>
            <w:tcW w:w="2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7,632</w:t>
            </w:r>
          </w:p>
        </w:tc>
        <w:tc>
          <w:tcPr>
            <w:tcW w:w="1360" w:type="dxa"/>
            <w:vAlign w:val="bottom"/>
            <w:shd w:val="clear" w:color="auto" w:fill="CCEEFF"/>
          </w:tcPr>
          <w:p>
            <w:pPr>
              <w:jc w:val="center"/>
              <w:ind w:left="92"/>
              <w:spacing w:after="0" w:line="202" w:lineRule="exact"/>
              <w:rPr>
                <w:sz w:val="20"/>
                <w:szCs w:val="20"/>
                <w:color w:val="auto"/>
              </w:rPr>
            </w:pPr>
            <w:r>
              <w:rPr>
                <w:rFonts w:ascii="Arial" w:cs="Arial" w:eastAsia="Arial" w:hAnsi="Arial"/>
                <w:sz w:val="18"/>
                <w:szCs w:val="18"/>
                <w:color w:val="auto"/>
                <w:w w:val="99"/>
              </w:rPr>
              <w:t>2038—2043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6"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ASC Topic 740-10 prescribes a comprehensive model for the recognition, measurement, presentation and disclosure in financial statements of any uncertain tax positions that have been taken or expected to be taken on a tax return. The Company had unrecognized tax benefits of $2.8 million as of December 31, 2022 and $4.6 million as of December 31, 2023. The amount of unrecognized tax benefits is not expected to significantly change over the next twelve months. No amounts, outside of valuation allowance, would impact the effective tax rate on continuing operations. The beginning and ending gross unrecognized tax benefits amounts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1" w:lineRule="exact"/>
        <w:rPr>
          <w:sz w:val="20"/>
          <w:szCs w:val="20"/>
          <w:color w:val="auto"/>
        </w:rPr>
      </w:pPr>
    </w:p>
    <w:p>
      <w:pPr>
        <w:ind w:left="100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12065</wp:posOffset>
            </wp:positionV>
            <wp:extent cx="9601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5" w:lineRule="exact"/>
        <w:rPr>
          <w:sz w:val="20"/>
          <w:szCs w:val="20"/>
          <w:color w:val="auto"/>
        </w:rPr>
      </w:pPr>
    </w:p>
    <w:p>
      <w:pPr>
        <w:ind w:left="9780"/>
        <w:spacing w:after="0"/>
        <w:tabs>
          <w:tab w:leader="none" w:pos="1070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9960"/>
        <w:spacing w:after="0"/>
        <w:rPr>
          <w:sz w:val="20"/>
          <w:szCs w:val="20"/>
          <w:color w:val="auto"/>
        </w:rPr>
      </w:pPr>
      <w:r>
        <w:rPr>
          <w:rFonts w:ascii="Arial" w:cs="Arial" w:eastAsia="Arial" w:hAnsi="Arial"/>
          <w:sz w:val="16"/>
          <w:szCs w:val="16"/>
          <w:b w:val="1"/>
          <w:bCs w:val="1"/>
          <w:color w:val="auto"/>
        </w:rPr>
        <w:t>(in thousands)</w:t>
      </w:r>
    </w:p>
    <w:tbl>
      <w:tblPr>
        <w:tblLayout w:type="fixed"/>
        <w:tblInd w:w="120" w:type="dxa"/>
        <w:tblCellMar>
          <w:top w:w="0" w:type="dxa"/>
          <w:left w:w="0" w:type="dxa"/>
          <w:bottom w:w="0" w:type="dxa"/>
          <w:right w:w="0" w:type="dxa"/>
        </w:tblCellMar>
      </w:tblPr>
      <w:tr>
        <w:trPr>
          <w:trHeight w:val="206"/>
        </w:trPr>
        <w:tc>
          <w:tcPr>
            <w:tcW w:w="9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Unrecognized tax benefit—beginning of period</w:t>
            </w:r>
          </w:p>
        </w:tc>
        <w:tc>
          <w:tcPr>
            <w:tcW w:w="760" w:type="dxa"/>
            <w:vAlign w:val="bottom"/>
            <w:shd w:val="clear" w:color="auto" w:fill="CCEEFF"/>
          </w:tcPr>
          <w:p>
            <w:pPr>
              <w:jc w:val="right"/>
              <w:ind w:right="90"/>
              <w:spacing w:after="0" w:line="206" w:lineRule="exact"/>
              <w:rPr>
                <w:sz w:val="20"/>
                <w:szCs w:val="20"/>
                <w:color w:val="auto"/>
              </w:rPr>
            </w:pPr>
            <w:r>
              <w:rPr>
                <w:rFonts w:ascii="Arial" w:cs="Arial" w:eastAsia="Arial" w:hAnsi="Arial"/>
                <w:sz w:val="18"/>
                <w:szCs w:val="18"/>
                <w:color w:val="auto"/>
              </w:rPr>
              <w:t>$1,863</w:t>
            </w:r>
          </w:p>
        </w:tc>
        <w:tc>
          <w:tcPr>
            <w:tcW w:w="8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$2,829</w:t>
            </w:r>
          </w:p>
        </w:tc>
      </w:tr>
      <w:tr>
        <w:trPr>
          <w:trHeight w:val="203"/>
        </w:trPr>
        <w:tc>
          <w:tcPr>
            <w:tcW w:w="9440" w:type="dxa"/>
            <w:vAlign w:val="bottom"/>
          </w:tcPr>
          <w:p>
            <w:pPr>
              <w:spacing w:after="0" w:line="202" w:lineRule="exact"/>
              <w:rPr>
                <w:sz w:val="20"/>
                <w:szCs w:val="20"/>
                <w:color w:val="auto"/>
              </w:rPr>
            </w:pPr>
            <w:r>
              <w:rPr>
                <w:rFonts w:ascii="Arial" w:cs="Arial" w:eastAsia="Arial" w:hAnsi="Arial"/>
                <w:sz w:val="18"/>
                <w:szCs w:val="18"/>
                <w:color w:val="auto"/>
              </w:rPr>
              <w:t>Gross increase/(decrease)—prior period tax positions</w:t>
            </w:r>
          </w:p>
        </w:tc>
        <w:tc>
          <w:tcPr>
            <w:tcW w:w="7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38</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w:t>
            </w:r>
          </w:p>
        </w:tc>
      </w:tr>
      <w:tr>
        <w:trPr>
          <w:trHeight w:val="203"/>
        </w:trPr>
        <w:tc>
          <w:tcPr>
            <w:tcW w:w="9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increase/(decrease)—current period tax positions</w:t>
            </w:r>
          </w:p>
        </w:tc>
        <w:tc>
          <w:tcPr>
            <w:tcW w:w="7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928</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1,629</w:t>
            </w:r>
          </w:p>
        </w:tc>
      </w:tr>
      <w:tr>
        <w:trPr>
          <w:trHeight w:val="232"/>
        </w:trPr>
        <w:tc>
          <w:tcPr>
            <w:tcW w:w="9440" w:type="dxa"/>
            <w:vAlign w:val="bottom"/>
          </w:tcPr>
          <w:p>
            <w:pPr>
              <w:spacing w:after="0"/>
              <w:rPr>
                <w:sz w:val="20"/>
                <w:szCs w:val="20"/>
                <w:color w:val="auto"/>
              </w:rPr>
            </w:pPr>
            <w:r>
              <w:rPr>
                <w:rFonts w:ascii="Arial" w:cs="Arial" w:eastAsia="Arial" w:hAnsi="Arial"/>
                <w:sz w:val="18"/>
                <w:szCs w:val="18"/>
                <w:color w:val="auto"/>
              </w:rPr>
              <w:t>Unrecognized tax benefit—end of period</w:t>
            </w:r>
          </w:p>
        </w:tc>
        <w:tc>
          <w:tcPr>
            <w:tcW w:w="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$2,829</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$4,623</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608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line="289"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It is the Company’s policy to include penalties and interest expense related to income taxes as a component of income tax expense as necessary. Management determined that no accrual for interest and penalties was required as of December 31, 2022 and 2023. The Company’s tax jurisdictions are the United States (federal) and the states of California, Colorado, Idaho, Maine, Massachusetts, New Hampshire, New York, and Utah. The Company’s tax years from inception in 2017 forward remain open for examination by the federal and state authorities due to the carryover of unused net operating losses and tax credits. The Company is not currently subject to income tax examinations by any authority.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13. Net loss and net loss per share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4"/>
          </w:tcPr>
          <w:p>
            <w:pPr>
              <w:jc w:val="center"/>
              <w:ind w:left="293"/>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83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233"/>
              <w:spacing w:after="0" w:line="183" w:lineRule="exact"/>
              <w:rPr>
                <w:sz w:val="20"/>
                <w:szCs w:val="20"/>
                <w:color w:val="auto"/>
              </w:rPr>
            </w:pPr>
            <w:r>
              <w:rPr>
                <w:rFonts w:ascii="Arial" w:cs="Arial" w:eastAsia="Arial" w:hAnsi="Arial"/>
                <w:sz w:val="16"/>
                <w:szCs w:val="16"/>
                <w:b w:val="1"/>
                <w:bCs w:val="1"/>
                <w:color w:val="auto"/>
              </w:rPr>
              <w:t>2022</w:t>
            </w:r>
          </w:p>
        </w:tc>
        <w:tc>
          <w:tcPr>
            <w:tcW w:w="3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5"/>
                <w:szCs w:val="15"/>
                <w:color w:val="auto"/>
              </w:rPr>
            </w:pPr>
          </w:p>
        </w:tc>
      </w:tr>
      <w:tr>
        <w:trPr>
          <w:trHeight w:val="48"/>
        </w:trPr>
        <w:tc>
          <w:tcPr>
            <w:tcW w:w="8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9"/>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73"/>
              <w:spacing w:after="0"/>
              <w:rPr>
                <w:sz w:val="20"/>
                <w:szCs w:val="20"/>
                <w:color w:val="auto"/>
              </w:rPr>
            </w:pPr>
            <w:r>
              <w:rPr>
                <w:rFonts w:ascii="Arial" w:cs="Arial" w:eastAsia="Arial" w:hAnsi="Arial"/>
                <w:sz w:val="18"/>
                <w:szCs w:val="18"/>
                <w:color w:val="auto"/>
              </w:rPr>
              <w:t>(114,940)</w:t>
            </w:r>
          </w:p>
        </w:tc>
        <w:tc>
          <w:tcPr>
            <w:tcW w:w="340" w:type="dxa"/>
            <w:vAlign w:val="bottom"/>
          </w:tcPr>
          <w:p>
            <w:pPr>
              <w:jc w:val="center"/>
              <w:ind w:left="1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(100,415)</w:t>
            </w:r>
          </w:p>
        </w:tc>
      </w:tr>
      <w:tr>
        <w:trPr>
          <w:trHeight w:val="31"/>
        </w:trPr>
        <w:tc>
          <w:tcPr>
            <w:tcW w:w="8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Weighted-average shares of common stock outstanding</w:t>
            </w:r>
          </w:p>
        </w:tc>
        <w:tc>
          <w:tcPr>
            <w:tcW w:w="100" w:type="dxa"/>
            <w:vAlign w:val="bottom"/>
          </w:tcPr>
          <w:p>
            <w:pPr>
              <w:spacing w:after="0"/>
              <w:rPr>
                <w:sz w:val="17"/>
                <w:szCs w:val="17"/>
                <w:color w:val="auto"/>
              </w:rPr>
            </w:pPr>
          </w:p>
        </w:tc>
        <w:tc>
          <w:tcPr>
            <w:tcW w:w="1220" w:type="dxa"/>
            <w:vAlign w:val="bottom"/>
          </w:tcPr>
          <w:p>
            <w:pPr>
              <w:jc w:val="right"/>
              <w:ind w:right="233"/>
              <w:spacing w:after="0" w:line="202" w:lineRule="exact"/>
              <w:rPr>
                <w:sz w:val="20"/>
                <w:szCs w:val="20"/>
                <w:color w:val="auto"/>
              </w:rPr>
            </w:pPr>
            <w:r>
              <w:rPr>
                <w:rFonts w:ascii="Arial" w:cs="Arial" w:eastAsia="Arial" w:hAnsi="Arial"/>
                <w:sz w:val="18"/>
                <w:szCs w:val="18"/>
                <w:color w:val="auto"/>
                <w:w w:val="97"/>
              </w:rPr>
              <w:t>22,848,251</w:t>
            </w:r>
          </w:p>
        </w:tc>
        <w:tc>
          <w:tcPr>
            <w:tcW w:w="34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22,949,245</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weighted-average common shares subject to vesting</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(3,468,668)</w:t>
            </w:r>
          </w:p>
        </w:tc>
        <w:tc>
          <w:tcPr>
            <w:tcW w:w="3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(877,837)</w:t>
            </w:r>
          </w:p>
        </w:tc>
      </w:tr>
      <w:tr>
        <w:trPr>
          <w:trHeight w:val="191"/>
        </w:trPr>
        <w:tc>
          <w:tcPr>
            <w:tcW w:w="8320" w:type="dxa"/>
            <w:vAlign w:val="bottom"/>
          </w:tcPr>
          <w:p>
            <w:pPr>
              <w:spacing w:after="0" w:line="191" w:lineRule="exact"/>
              <w:rPr>
                <w:sz w:val="20"/>
                <w:szCs w:val="20"/>
                <w:color w:val="auto"/>
              </w:rPr>
            </w:pPr>
            <w:r>
              <w:rPr>
                <w:rFonts w:ascii="Arial" w:cs="Arial" w:eastAsia="Arial" w:hAnsi="Arial"/>
                <w:sz w:val="18"/>
                <w:szCs w:val="18"/>
                <w:color w:val="auto"/>
              </w:rPr>
              <w:t>Weighted-average shares of common stock outstanding used in the calculation of basic and diluted</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8320" w:type="dxa"/>
            <w:vAlign w:val="bottom"/>
          </w:tcPr>
          <w:p>
            <w:pPr>
              <w:ind w:left="180"/>
              <w:spacing w:after="0"/>
              <w:rPr>
                <w:sz w:val="20"/>
                <w:szCs w:val="20"/>
                <w:color w:val="auto"/>
              </w:rPr>
            </w:pPr>
            <w:r>
              <w:rPr>
                <w:rFonts w:ascii="Arial" w:cs="Arial" w:eastAsia="Arial" w:hAnsi="Arial"/>
                <w:sz w:val="18"/>
                <w:szCs w:val="18"/>
                <w:color w:val="auto"/>
              </w:rPr>
              <w:t>net loss per share</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w w:val="97"/>
              </w:rPr>
              <w:t>19,379,583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22,071,408</w:t>
            </w:r>
          </w:p>
        </w:tc>
        <w:tc>
          <w:tcPr>
            <w:tcW w:w="120" w:type="dxa"/>
            <w:vAlign w:val="bottom"/>
          </w:tcPr>
          <w:p>
            <w:pPr>
              <w:spacing w:after="0"/>
              <w:rPr>
                <w:sz w:val="19"/>
                <w:szCs w:val="19"/>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33"/>
              <w:spacing w:after="0" w:line="202" w:lineRule="exact"/>
              <w:rPr>
                <w:sz w:val="20"/>
                <w:szCs w:val="20"/>
                <w:color w:val="auto"/>
              </w:rPr>
            </w:pPr>
            <w:r>
              <w:rPr>
                <w:rFonts w:ascii="Arial" w:cs="Arial" w:eastAsia="Arial" w:hAnsi="Arial"/>
                <w:sz w:val="18"/>
                <w:szCs w:val="18"/>
                <w:color w:val="auto"/>
              </w:rPr>
              <w:t>(5.93)</w:t>
            </w:r>
          </w:p>
        </w:tc>
        <w:tc>
          <w:tcPr>
            <w:tcW w:w="340" w:type="dxa"/>
            <w:vAlign w:val="bottom"/>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17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326"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8"/>
          <w:szCs w:val="18"/>
          <w:color w:val="auto"/>
        </w:rPr>
        <w:t>Since the Company was in a loss position for the period presented, basic net loss per share is the same as diluted net loss per share for the period as the inclusion of all common stock equivalents outstanding would have been anti-dilutive. Potentially dilutive securities that were not included in the diluted per share calculations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December 31,</w:t>
            </w:r>
          </w:p>
        </w:tc>
      </w:tr>
      <w:tr>
        <w:trPr>
          <w:trHeight w:val="183"/>
        </w:trPr>
        <w:tc>
          <w:tcPr>
            <w:tcW w:w="8240" w:type="dxa"/>
            <w:vAlign w:val="bottom"/>
            <w:tcBorders>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111"/>
              <w:spacing w:after="0" w:line="183" w:lineRule="exact"/>
              <w:rPr>
                <w:sz w:val="20"/>
                <w:szCs w:val="20"/>
                <w:color w:val="auto"/>
              </w:rPr>
            </w:pPr>
            <w:r>
              <w:rPr>
                <w:rFonts w:ascii="Arial" w:cs="Arial" w:eastAsia="Arial" w:hAnsi="Arial"/>
                <w:sz w:val="16"/>
                <w:szCs w:val="16"/>
                <w:b w:val="1"/>
                <w:bCs w:val="1"/>
                <w:color w:val="auto"/>
              </w:rPr>
              <w:t>2022</w:t>
            </w:r>
          </w:p>
        </w:tc>
        <w:tc>
          <w:tcPr>
            <w:tcW w:w="1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redeemable convertible preferred stock</w:t>
            </w:r>
          </w:p>
        </w:tc>
        <w:tc>
          <w:tcPr>
            <w:tcW w:w="1460" w:type="dxa"/>
            <w:vAlign w:val="bottom"/>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rPr>
              <w:t>104,985,132</w:t>
            </w:r>
          </w:p>
        </w:tc>
        <w:tc>
          <w:tcPr>
            <w:tcW w:w="13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104,985,132</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Series B redeemable convertible preferred stock</w:t>
            </w:r>
          </w:p>
        </w:tc>
        <w:tc>
          <w:tcPr>
            <w:tcW w:w="14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57,563,188</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57,563,188</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redeemable convertible preferred stock</w:t>
            </w:r>
          </w:p>
        </w:tc>
        <w:tc>
          <w:tcPr>
            <w:tcW w:w="14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40,866,704</w:t>
            </w: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40,866,704</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Shares subject to outstanding stock options</w:t>
            </w:r>
          </w:p>
        </w:tc>
        <w:tc>
          <w:tcPr>
            <w:tcW w:w="14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25,976,799</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31,031,869</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subject to repurchase</w:t>
            </w:r>
          </w:p>
        </w:tc>
        <w:tc>
          <w:tcPr>
            <w:tcW w:w="14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1,042,846</w:t>
            </w: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400,000</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Unvested exercised options subject to repurchase</w:t>
            </w:r>
          </w:p>
        </w:tc>
        <w:tc>
          <w:tcPr>
            <w:tcW w:w="146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533,803</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203,930</w:t>
            </w:r>
          </w:p>
        </w:tc>
      </w:tr>
      <w:tr>
        <w:trPr>
          <w:trHeight w:val="27"/>
        </w:trPr>
        <w:tc>
          <w:tcPr>
            <w:tcW w:w="824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jc w:val="right"/>
              <w:ind w:right="111"/>
              <w:spacing w:after="0" w:line="202" w:lineRule="exact"/>
              <w:rPr>
                <w:sz w:val="20"/>
                <w:szCs w:val="20"/>
                <w:color w:val="auto"/>
              </w:rPr>
            </w:pPr>
            <w:r>
              <w:rPr>
                <w:rFonts w:ascii="Arial" w:cs="Arial" w:eastAsia="Arial" w:hAnsi="Arial"/>
                <w:sz w:val="18"/>
                <w:szCs w:val="18"/>
                <w:color w:val="auto"/>
              </w:rPr>
              <w:t>230,968,472</w:t>
            </w: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235,050,823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519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12"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In addition to the above, the Company has excluded common shares from the assumed conversion of the Convertible Promissory Notes outstanding at December 31, 2023 from the computation of diluted net loss per share for the periods indicated because including them would have had an anti-dilutive effect. As described in Note 10 on Convertible promissory notes and other debt agreements, the Convertible Promissory Notes are convertible into either common stock or into preferred shares of the Company, which would then be convertible into common shares as described in the Convertible Promissory Note agreements.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14. Employee 401(k) plan</w:t>
      </w:r>
    </w:p>
    <w:p>
      <w:pPr>
        <w:spacing w:after="0" w:line="135"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In 2019, the Company implemented a defined contribution savings plan under Section 401(k) of the Code. Employees are eligible to participate in the plan on the first day of the month after their hire date and may contribute up to the current statutory limits under IRS regulations. The 401(k) plan permits the Company to make additional matching contributions on behalf of all employees. The Company incurred and accrued matching contributions of $0.3 million for each of the years ended December 31, 2022 and 2023.</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15. Subsequent events</w:t>
      </w:r>
    </w:p>
    <w:p>
      <w:pPr>
        <w:spacing w:after="0" w:line="148"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The Company evaluated subsequent events for recognition and measurement purposes through June 21, 2024, the date the financial statements were available for issuance.</w:t>
      </w:r>
    </w:p>
    <w:p>
      <w:pPr>
        <w:spacing w:after="0" w:line="86"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In January 2024, the Company completed the second closing of the issuance of the Convertible Promissory Notes for gross proceeds of $8.8 million. Additionally, in February 2024, the Company executed an amendment to the convertible note purchase agreement for the sale of additional Convertible Promissory Notes of up to $75.0 million in total, including the $25.0 million issued in the initial and second closings. From February 2024 through April 2024, the Company issued an additional $15.7 million in Convertible Promissory Notes, resulting in the Company receiving $24.5 million in gross proceeds subsequent to December 31, 2023, and issuing a total of $40.7 million aggregate principal amount of Convertible Promissory Notes.</w:t>
      </w:r>
    </w:p>
    <w:p>
      <w:pPr>
        <w:spacing w:after="0" w:line="98"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In March 2024, the Company entered into an exclusive license agreement with a biotechnology company pursuant to which the Company granted an exclusive worldwide license to a discovery research program targeting UNC13A for the treatment of amyotrophic lateral sclerosis. As consideration for the licensed rights and the transfer of know-how and materials, the Company received an upfront payment of $15.0 million.</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March 2024, the Company entered into an exclusive license agreement with Shionogi pursuant to which the Company granted Shionogi an exclusive, worldwide, sublicensable license to research, develop, manufacture and commercialize MZE001 and certain other small molecule compounds modulating glycogen synthase 1. As consideration for the licensed rights and the transfer of know-how and materials, the Company received an upfront payment of $150.0 million. The license agreement also requires that Shionogi pay the Company up to $275.0 million in the aggregate in milestone payments upon the completion of certain clinical and regulatory milestones and up to $330.0 million in the aggregate in milestone payments if certain sales milestones are achieved. The License Agreement also requires that Shionogi pay the Company tiered royalties ranging from percentages in the low double-digits to high teens on net sales of licensed products, subject to certain deductions.</w:t>
      </w:r>
    </w:p>
    <w:p>
      <w:pPr>
        <w:spacing w:after="0" w:line="113" w:lineRule="exact"/>
        <w:rPr>
          <w:sz w:val="20"/>
          <w:szCs w:val="20"/>
          <w:color w:val="auto"/>
        </w:rPr>
      </w:pPr>
    </w:p>
    <w:p>
      <w:pPr>
        <w:ind w:left="120" w:right="480"/>
        <w:spacing w:after="0" w:line="253" w:lineRule="auto"/>
        <w:rPr>
          <w:sz w:val="20"/>
          <w:szCs w:val="20"/>
          <w:color w:val="auto"/>
        </w:rPr>
      </w:pPr>
      <w:r>
        <w:rPr>
          <w:rFonts w:ascii="Arial" w:cs="Arial" w:eastAsia="Arial" w:hAnsi="Arial"/>
          <w:sz w:val="18"/>
          <w:szCs w:val="18"/>
          <w:color w:val="auto"/>
        </w:rPr>
        <w:t>In April 2024, the Company amended its Amended and Restated Certificate of Incorporation to increase its authorized shares to 268,150,000 of $0.001 par value common stock in connection with an amendment its 2019 Plan to increase the number of shares of common stock reserved for future issuance under the plan by 7,150,000 shares.</w:t>
      </w:r>
    </w:p>
    <w:p>
      <w:pPr>
        <w:spacing w:after="0" w:line="88"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color w:val="auto"/>
        </w:rPr>
        <w:t>From January 1, 2024 through June 21, 2024, the Company granted a total of 5,126,650 stock options with an exercise price of $1.46 per share, including 450,000 stock options granted to a member of the board of directors, and 150 fully vested restricted stock awards.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5" w:right="4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2891155</wp:posOffset>
            </wp:positionV>
            <wp:extent cx="651510" cy="6686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5151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Maze Therapeutics, Inc.</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Preliminary prospectus</w:t>
      </w:r>
    </w:p>
    <w:p>
      <w:pPr>
        <w:spacing w:after="0" w:line="163" w:lineRule="exact"/>
        <w:rPr>
          <w:sz w:val="20"/>
          <w:szCs w:val="20"/>
          <w:color w:val="auto"/>
        </w:rPr>
      </w:pPr>
    </w:p>
    <w:p>
      <w:pPr>
        <w:ind w:left="120"/>
        <w:spacing w:after="0"/>
        <w:tabs>
          <w:tab w:leader="none" w:pos="2380" w:val="left"/>
          <w:tab w:leader="none" w:pos="4580" w:val="left"/>
          <w:tab w:leader="none" w:pos="790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TD Cowen</w:t>
      </w:r>
      <w:r>
        <w:rPr>
          <w:sz w:val="20"/>
          <w:szCs w:val="20"/>
          <w:color w:val="auto"/>
        </w:rPr>
        <w:tab/>
      </w:r>
      <w:r>
        <w:rPr>
          <w:rFonts w:ascii="Arial" w:cs="Arial" w:eastAsia="Arial" w:hAnsi="Arial"/>
          <w:sz w:val="29"/>
          <w:szCs w:val="29"/>
          <w:b w:val="1"/>
          <w:bCs w:val="1"/>
          <w:color w:val="auto"/>
        </w:rPr>
        <w:t>Leerink Partners</w:t>
      </w:r>
      <w:r>
        <w:rPr>
          <w:sz w:val="20"/>
          <w:szCs w:val="20"/>
          <w:color w:val="auto"/>
        </w:rPr>
        <w:tab/>
      </w:r>
      <w:r>
        <w:rPr>
          <w:rFonts w:ascii="Arial" w:cs="Arial" w:eastAsia="Arial" w:hAnsi="Arial"/>
          <w:sz w:val="28"/>
          <w:szCs w:val="28"/>
          <w:b w:val="1"/>
          <w:b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 2024</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Part II</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13. Other expenses of issuance and distribution.</w:t>
      </w:r>
    </w:p>
    <w:p>
      <w:pPr>
        <w:spacing w:after="0" w:line="135" w:lineRule="exact"/>
        <w:rPr>
          <w:sz w:val="20"/>
          <w:szCs w:val="20"/>
          <w:color w:val="auto"/>
        </w:rPr>
      </w:pPr>
    </w:p>
    <w:p>
      <w:pPr>
        <w:ind w:left="120" w:right="700"/>
        <w:spacing w:after="0" w:line="253"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the FINRA filing fee and the Nasdaq Global Market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4"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Amount</w:t>
      </w:r>
    </w:p>
    <w:p>
      <w:pPr>
        <w:spacing w:after="0" w:line="21"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paid or</w:t>
      </w:r>
    </w:p>
    <w:p>
      <w:pPr>
        <w:spacing w:after="0" w:line="5"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color w:val="auto"/>
        </w:rPr>
        <w:t>to be paid</w:t>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10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  </w:t>
            </w:r>
          </w:p>
        </w:tc>
        <w:tc>
          <w:tcPr>
            <w:tcW w:w="1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4"/>
                <w:szCs w:val="4"/>
                <w:color w:val="auto"/>
                <w:w w:val="98"/>
              </w:rPr>
              <w:t> </w:t>
            </w:r>
          </w:p>
        </w:tc>
        <w:tc>
          <w:tcPr>
            <w:tcW w:w="1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4"/>
                <w:szCs w:val="4"/>
                <w:color w:val="auto"/>
                <w:w w:val="98"/>
              </w:rPr>
              <w:t> </w:t>
            </w: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Nasdaq Global Market listing fee</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2"/>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Blue Sky, qualification fees and expenses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 expenses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 </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w w:val="72"/>
              </w:rPr>
              <w:t> </w:t>
            </w:r>
          </w:p>
        </w:tc>
        <w:tc>
          <w:tcPr>
            <w:tcW w:w="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32"/>
        </w:trPr>
        <w:tc>
          <w:tcPr>
            <w:tcW w:w="1012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  </w:t>
            </w:r>
          </w:p>
        </w:tc>
        <w:tc>
          <w:tcPr>
            <w:tcW w:w="120" w:type="dxa"/>
            <w:vAlign w:val="bottom"/>
            <w:tcBorders>
              <w:top w:val="single" w:sz="8" w:color="auto"/>
            </w:tcBorders>
          </w:tcPr>
          <w:p>
            <w:pPr>
              <w:ind w:left="60"/>
              <w:spacing w:after="0"/>
              <w:rPr>
                <w:sz w:val="20"/>
                <w:szCs w:val="20"/>
                <w:color w:val="auto"/>
              </w:rPr>
            </w:pPr>
            <w:r>
              <w:rPr>
                <w:rFonts w:ascii="Arial" w:cs="Arial" w:eastAsia="Arial" w:hAnsi="Arial"/>
                <w:sz w:val="4"/>
                <w:szCs w:val="4"/>
                <w:color w:val="auto"/>
                <w:w w:val="98"/>
              </w:rPr>
              <w:t> </w:t>
            </w:r>
          </w:p>
        </w:tc>
        <w:tc>
          <w:tcPr>
            <w:tcW w:w="180" w:type="dxa"/>
            <w:vAlign w:val="bottom"/>
            <w:tcBorders>
              <w:top w:val="single" w:sz="8" w:color="auto"/>
            </w:tcBorders>
          </w:tcPr>
          <w:p>
            <w:pPr>
              <w:ind w:left="120"/>
              <w:spacing w:after="0"/>
              <w:rPr>
                <w:sz w:val="20"/>
                <w:szCs w:val="20"/>
                <w:color w:val="auto"/>
              </w:rPr>
            </w:pPr>
            <w:r>
              <w:rPr>
                <w:rFonts w:ascii="Arial" w:cs="Arial" w:eastAsia="Arial" w:hAnsi="Arial"/>
                <w:sz w:val="4"/>
                <w:szCs w:val="4"/>
                <w:color w:val="auto"/>
                <w:w w:val="98"/>
              </w:rPr>
              <w:t> </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519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309" w:lineRule="exact"/>
        <w:rPr>
          <w:sz w:val="20"/>
          <w:szCs w:val="20"/>
          <w:color w:val="auto"/>
        </w:rPr>
      </w:pPr>
    </w:p>
    <w:p>
      <w:pPr>
        <w:ind w:left="440" w:hanging="324"/>
        <w:spacing w:after="0"/>
        <w:tabs>
          <w:tab w:leader="none" w:pos="4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To be completed by amendment.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14. Indemnification of directors and officers.</w:t>
      </w:r>
    </w:p>
    <w:p>
      <w:pPr>
        <w:spacing w:after="0" w:line="135"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Section 145 of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84"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As permitted by the DGCL, the Registrant’s restated certificate of incorporation to be effective in connection with the completion of this offering contains provisions that eliminate the personal liability of its directors and officers for monetary damages for any breach of fiduciary duties as a director or officer, except liability for the following:</w:t>
      </w:r>
    </w:p>
    <w:p>
      <w:pPr>
        <w:spacing w:after="0" w:line="101" w:lineRule="exact"/>
        <w:rPr>
          <w:sz w:val="20"/>
          <w:szCs w:val="20"/>
          <w:color w:val="auto"/>
        </w:rPr>
      </w:pPr>
    </w:p>
    <w:p>
      <w:pPr>
        <w:ind w:left="340" w:hanging="224"/>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breach of the director’s or officer’s duty of loyalty to the Registrant or its stockholders;</w:t>
      </w:r>
    </w:p>
    <w:p>
      <w:pPr>
        <w:spacing w:after="0" w:line="13" w:lineRule="exact"/>
        <w:rPr>
          <w:rFonts w:ascii="Arial" w:cs="Arial" w:eastAsia="Arial" w:hAnsi="Arial"/>
          <w:sz w:val="18"/>
          <w:szCs w:val="18"/>
          <w:color w:val="auto"/>
        </w:rPr>
      </w:pPr>
    </w:p>
    <w:p>
      <w:pPr>
        <w:ind w:left="340" w:hanging="224"/>
        <w:spacing w:after="0" w:line="234"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ind w:left="340" w:hanging="224"/>
        <w:spacing w:after="0" w:line="234"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 respect to directors, under Section 174 of the DGCL (regarding unlawful dividends and stock purchases);</w:t>
      </w:r>
    </w:p>
    <w:p>
      <w:pPr>
        <w:ind w:left="340" w:hanging="224"/>
        <w:spacing w:after="0" w:line="234"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transaction from which the director or officer derived an improper personal benefit; or</w:t>
      </w:r>
    </w:p>
    <w:p>
      <w:pPr>
        <w:ind w:left="340" w:hanging="224"/>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 respect to officers, any action by or in the right of the Registrant.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permitted by the DGCL, the Registrant’s restated bylaws to be effective in connection with the completion of this offering, provide that:</w:t>
      </w:r>
    </w:p>
    <w:p>
      <w:pPr>
        <w:spacing w:after="0" w:line="144" w:lineRule="exact"/>
        <w:rPr>
          <w:sz w:val="20"/>
          <w:szCs w:val="20"/>
          <w:color w:val="auto"/>
        </w:rPr>
      </w:pPr>
    </w:p>
    <w:p>
      <w:pPr>
        <w:ind w:left="340" w:right="940" w:hanging="224"/>
        <w:spacing w:after="0" w:line="271"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officers to the fullest extent permitted by the DGCL, subject to limited exceptions;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right="340" w:hanging="224"/>
        <w:spacing w:after="0" w:line="271"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a legal proceeding to the fullest extent permitted by the DGCL, subject to limited exceptions;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144"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Prior to the completion of this offering, the Registrant intends to enter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officers for liabilities arising under the Securities Act.</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Registrant has directors’ and officers’ liability insurance for securities matters.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15. Recent sales of unregistered securities.</w:t>
      </w:r>
    </w:p>
    <w:p>
      <w:pPr>
        <w:spacing w:after="0" w:line="148"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The following lists set forth information regarding all securities sold or granted by the Registrant from        , 2021 through the date of this prospectus that were not registered under the Securities Act, and the consideration, if any, received by the Registrant for such securities: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Equity grants</w:t>
      </w:r>
    </w:p>
    <w:p>
      <w:pPr>
        <w:spacing w:after="0" w:line="142"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8"/>
          <w:szCs w:val="18"/>
          <w:i w:val="1"/>
          <w:iCs w:val="1"/>
          <w:color w:val="auto"/>
        </w:rPr>
        <w:t>Stock Option Grants</w:t>
      </w:r>
      <w:r>
        <w:rPr>
          <w:rFonts w:ascii="Arial" w:cs="Arial" w:eastAsia="Arial" w:hAnsi="Arial"/>
          <w:sz w:val="18"/>
          <w:szCs w:val="18"/>
          <w:color w:val="auto"/>
        </w:rPr>
        <w:t>. From        , 2021 through the date of this prospectus, the Registrant has granted to its employees,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 and other service providers options to purchase an aggregate of         shares of its common stock under the 2019 Plan, with exercise prices ranging from $        to $        per share.</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issuances of the securities described in this section (a) of Item 15 were deemed to be exempt from registration pursuant to</w:t>
      </w:r>
    </w:p>
    <w:p>
      <w:pPr>
        <w:spacing w:after="0" w:line="14" w:lineRule="exact"/>
        <w:rPr>
          <w:sz w:val="20"/>
          <w:szCs w:val="20"/>
          <w:color w:val="auto"/>
        </w:rPr>
      </w:pPr>
    </w:p>
    <w:p>
      <w:pPr>
        <w:ind w:left="120" w:right="200"/>
        <w:spacing w:after="0" w:line="250" w:lineRule="auto"/>
        <w:rPr>
          <w:sz w:val="20"/>
          <w:szCs w:val="20"/>
          <w:color w:val="auto"/>
        </w:rPr>
      </w:pPr>
      <w:r>
        <w:rPr>
          <w:rFonts w:ascii="Arial" w:cs="Arial" w:eastAsia="Arial" w:hAnsi="Arial"/>
          <w:sz w:val="18"/>
          <w:szCs w:val="18"/>
          <w:color w:val="auto"/>
        </w:rPr>
        <w:t>Section 4(a)(2) of the Securities Act or Rule 701 promulgated under the Securities Act as transactions pursuant to compensatory benefit plans.</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Common stock</w:t>
      </w:r>
    </w:p>
    <w:p>
      <w:pPr>
        <w:spacing w:after="0" w:line="129"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From         , 2021 through the date of this prospectus, the Registrant issued an aggregate of         shares of restricted common stock, for cash with purchase prices ranging from $ 0.15 to $2.00 per share, or for services rendered, to the Registrant’s employees, directors, advisors and consultants pursuant to the 2018 Plan or the 2019 Plan.</w:t>
      </w:r>
    </w:p>
    <w:p>
      <w:pPr>
        <w:spacing w:after="0" w:line="101"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color w:val="auto"/>
        </w:rPr>
        <w:t>The issuances of shares of common stock described in this section (b) of Item 15 were issued pursuant to either (i) restricted stock purchase agreements, pursuant to Section 4(a)(2) under the Securities Act or (ii) written compensatory plans or arrangements with the Registrant’s employees, directors, advisors and consultants, in reliance on the exemption provided by Rule 701 promulgated under the Securities Act or pursuant to Section 4(a)(2) under the Securities Act.</w:t>
      </w: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Preferred stock</w:t>
      </w:r>
    </w:p>
    <w:p>
      <w:pPr>
        <w:spacing w:after="0" w:line="14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On December 8, 2021, the Registrant sold an aggregate of 40,333,540 shares of Series C Preferred Stock, at a price per share of $2.9515 for total gross proceeds of $119.0 million. These transactions were exempt from the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registration requirements of the Securities Act in reliance upon Section 4(a)(2) of the Securities Act or Regulation D promulgated under the Securities Act.</w:t>
      </w:r>
    </w:p>
    <w:p>
      <w:pPr>
        <w:spacing w:after="0" w:line="86"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On March 21, 2022, the Registrant sold an aggregate of 363,759 shares of Series C Preferred Stock, at a price per share of $2.9515 for total gross proceeds of $1.1 million. These transactions were exempt from registration requirements of the Securities Act in reliance upon Section 4(a)(2) of the Securities Act or Regulation D promulgated under the Securities Act.</w:t>
      </w:r>
    </w:p>
    <w:p>
      <w:pPr>
        <w:spacing w:after="0" w:line="101"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8"/>
          <w:szCs w:val="18"/>
          <w:color w:val="auto"/>
        </w:rPr>
        <w:t>On March 29, 2022, the Registrant sold an aggregate of 169,405 shares of Series C Preferred Stock, at a price per share of $2.9515 for total net proceeds of $0.5 million. These transactions were exempt from registration requirements of the Securities Act in reliance upon Section 4(a)(2) of the Securities Act or Regulation D promulgated under the Securities Act.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 Convertible promissory notes</w:t>
      </w:r>
    </w:p>
    <w:p>
      <w:pPr>
        <w:spacing w:after="0" w:line="142"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Between December 15, 2023 and April 3, 2024, the Registrant sold $40.7 million in aggregate principal amount of convertible promissory notes to certain accredited investors, which notes are convertible into shares of the Registrant’s common stock.</w:t>
      </w:r>
    </w:p>
    <w:p>
      <w:pPr>
        <w:spacing w:after="0" w:line="73"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16. Exhibits and financial statement schedules.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12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9900" w:type="dxa"/>
            <w:vAlign w:val="bottom"/>
          </w:tcPr>
          <w:p>
            <w:pPr>
              <w:spacing w:after="0"/>
              <w:rPr>
                <w:sz w:val="16"/>
                <w:szCs w:val="16"/>
                <w:color w:val="auto"/>
              </w:rPr>
            </w:pPr>
          </w:p>
        </w:tc>
      </w:tr>
      <w:tr>
        <w:trPr>
          <w:trHeight w:val="217"/>
        </w:trPr>
        <w:tc>
          <w:tcPr>
            <w:tcW w:w="1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99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Description of document</w:t>
            </w:r>
          </w:p>
        </w:tc>
      </w:tr>
      <w:tr>
        <w:trPr>
          <w:trHeight w:val="268"/>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1.1*</w:t>
            </w:r>
          </w:p>
        </w:tc>
        <w:tc>
          <w:tcPr>
            <w:tcW w:w="9900" w:type="dxa"/>
            <w:vAlign w:val="bottom"/>
          </w:tcPr>
          <w:p>
            <w:pPr>
              <w:ind w:left="340"/>
              <w:spacing w:after="0"/>
              <w:rPr>
                <w:sz w:val="20"/>
                <w:szCs w:val="20"/>
                <w:color w:val="auto"/>
              </w:rPr>
            </w:pPr>
            <w:r>
              <w:rPr>
                <w:rFonts w:ascii="Arial" w:cs="Arial" w:eastAsia="Arial" w:hAnsi="Arial"/>
                <w:sz w:val="18"/>
                <w:szCs w:val="18"/>
                <w:color w:val="auto"/>
              </w:rPr>
              <w:t>Form of Underwriting Agreement.</w:t>
            </w:r>
          </w:p>
        </w:tc>
      </w:tr>
      <w:tr>
        <w:trPr>
          <w:trHeight w:val="270"/>
        </w:trPr>
        <w:tc>
          <w:tcPr>
            <w:tcW w:w="1120" w:type="dxa"/>
            <w:vAlign w:val="bottom"/>
          </w:tcPr>
          <w:p>
            <w:pPr>
              <w:jc w:val="right"/>
              <w:ind w:right="431"/>
              <w:spacing w:after="0"/>
              <w:rPr>
                <w:sz w:val="20"/>
                <w:szCs w:val="20"/>
                <w:color w:val="auto"/>
              </w:rPr>
            </w:pPr>
            <w:r>
              <w:rPr>
                <w:rFonts w:ascii="Arial" w:cs="Arial" w:eastAsia="Arial" w:hAnsi="Arial"/>
                <w:sz w:val="18"/>
                <w:szCs w:val="18"/>
                <w:color w:val="auto"/>
              </w:rPr>
              <w:t>3.1</w:t>
            </w:r>
          </w:p>
        </w:tc>
        <w:tc>
          <w:tcPr>
            <w:tcW w:w="9900" w:type="dxa"/>
            <w:vAlign w:val="bottom"/>
          </w:tcPr>
          <w:p>
            <w:pPr>
              <w:ind w:left="340"/>
              <w:spacing w:after="0"/>
              <w:rPr>
                <w:sz w:val="20"/>
                <w:szCs w:val="20"/>
                <w:color w:val="auto"/>
              </w:rPr>
            </w:pPr>
            <w:r>
              <w:rPr>
                <w:rFonts w:ascii="Arial" w:cs="Arial" w:eastAsia="Arial" w:hAnsi="Arial"/>
                <w:sz w:val="18"/>
                <w:szCs w:val="18"/>
                <w:color w:val="auto"/>
              </w:rPr>
              <w:t>Certificate of Incorporation, as amended, as currently in effect.</w:t>
            </w:r>
          </w:p>
        </w:tc>
      </w:tr>
      <w:tr>
        <w:trPr>
          <w:trHeight w:val="270"/>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3.2*</w:t>
            </w:r>
          </w:p>
        </w:tc>
        <w:tc>
          <w:tcPr>
            <w:tcW w:w="9900" w:type="dxa"/>
            <w:vAlign w:val="bottom"/>
          </w:tcPr>
          <w:p>
            <w:pPr>
              <w:ind w:left="340"/>
              <w:spacing w:after="0"/>
              <w:rPr>
                <w:sz w:val="20"/>
                <w:szCs w:val="20"/>
                <w:color w:val="auto"/>
              </w:rPr>
            </w:pPr>
            <w:r>
              <w:rPr>
                <w:rFonts w:ascii="Arial" w:cs="Arial" w:eastAsia="Arial" w:hAnsi="Arial"/>
                <w:sz w:val="18"/>
                <w:szCs w:val="18"/>
                <w:color w:val="auto"/>
              </w:rPr>
              <w:t>Form of Restated Certificate of Incorporation to be effective upon the completion of this offering.</w:t>
            </w:r>
          </w:p>
        </w:tc>
      </w:tr>
      <w:tr>
        <w:trPr>
          <w:trHeight w:val="270"/>
        </w:trPr>
        <w:tc>
          <w:tcPr>
            <w:tcW w:w="1120" w:type="dxa"/>
            <w:vAlign w:val="bottom"/>
          </w:tcPr>
          <w:p>
            <w:pPr>
              <w:jc w:val="right"/>
              <w:ind w:right="431"/>
              <w:spacing w:after="0"/>
              <w:rPr>
                <w:sz w:val="20"/>
                <w:szCs w:val="20"/>
                <w:color w:val="auto"/>
              </w:rPr>
            </w:pPr>
            <w:r>
              <w:rPr>
                <w:rFonts w:ascii="Arial" w:cs="Arial" w:eastAsia="Arial" w:hAnsi="Arial"/>
                <w:sz w:val="18"/>
                <w:szCs w:val="18"/>
                <w:color w:val="auto"/>
              </w:rPr>
              <w:t>3.3</w:t>
            </w:r>
          </w:p>
        </w:tc>
        <w:tc>
          <w:tcPr>
            <w:tcW w:w="9900" w:type="dxa"/>
            <w:vAlign w:val="bottom"/>
          </w:tcPr>
          <w:p>
            <w:pPr>
              <w:ind w:left="340"/>
              <w:spacing w:after="0"/>
              <w:rPr>
                <w:sz w:val="20"/>
                <w:szCs w:val="20"/>
                <w:color w:val="auto"/>
              </w:rPr>
            </w:pPr>
            <w:r>
              <w:rPr>
                <w:rFonts w:ascii="Arial" w:cs="Arial" w:eastAsia="Arial" w:hAnsi="Arial"/>
                <w:sz w:val="18"/>
                <w:szCs w:val="18"/>
                <w:color w:val="auto"/>
              </w:rPr>
              <w:t>Bylaws, as currently in effect.</w:t>
            </w:r>
          </w:p>
        </w:tc>
      </w:tr>
      <w:tr>
        <w:trPr>
          <w:trHeight w:val="270"/>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3.4*</w:t>
            </w:r>
          </w:p>
        </w:tc>
        <w:tc>
          <w:tcPr>
            <w:tcW w:w="9900" w:type="dxa"/>
            <w:vAlign w:val="bottom"/>
          </w:tcPr>
          <w:p>
            <w:pPr>
              <w:ind w:left="340"/>
              <w:spacing w:after="0"/>
              <w:rPr>
                <w:sz w:val="20"/>
                <w:szCs w:val="20"/>
                <w:color w:val="auto"/>
              </w:rPr>
            </w:pPr>
            <w:r>
              <w:rPr>
                <w:rFonts w:ascii="Arial" w:cs="Arial" w:eastAsia="Arial" w:hAnsi="Arial"/>
                <w:sz w:val="18"/>
                <w:szCs w:val="18"/>
                <w:color w:val="auto"/>
              </w:rPr>
              <w:t>Form of Restated Bylaws to be effective upon the completion of this offering.</w:t>
            </w:r>
          </w:p>
        </w:tc>
      </w:tr>
      <w:tr>
        <w:trPr>
          <w:trHeight w:val="270"/>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4.1*</w:t>
            </w:r>
          </w:p>
        </w:tc>
        <w:tc>
          <w:tcPr>
            <w:tcW w:w="9900" w:type="dxa"/>
            <w:vAlign w:val="bottom"/>
          </w:tcPr>
          <w:p>
            <w:pPr>
              <w:ind w:left="340"/>
              <w:spacing w:after="0"/>
              <w:rPr>
                <w:sz w:val="20"/>
                <w:szCs w:val="20"/>
                <w:color w:val="auto"/>
              </w:rPr>
            </w:pPr>
            <w:r>
              <w:rPr>
                <w:rFonts w:ascii="Arial" w:cs="Arial" w:eastAsia="Arial" w:hAnsi="Arial"/>
                <w:sz w:val="18"/>
                <w:szCs w:val="18"/>
                <w:color w:val="auto"/>
              </w:rPr>
              <w:t>Form of Common Stock Certificate.</w:t>
            </w:r>
          </w:p>
        </w:tc>
      </w:tr>
      <w:tr>
        <w:trPr>
          <w:trHeight w:val="234"/>
        </w:trPr>
        <w:tc>
          <w:tcPr>
            <w:tcW w:w="1120" w:type="dxa"/>
            <w:vAlign w:val="bottom"/>
          </w:tcPr>
          <w:p>
            <w:pPr>
              <w:jc w:val="right"/>
              <w:ind w:right="431"/>
              <w:spacing w:after="0"/>
              <w:rPr>
                <w:sz w:val="20"/>
                <w:szCs w:val="20"/>
                <w:color w:val="auto"/>
              </w:rPr>
            </w:pPr>
            <w:r>
              <w:rPr>
                <w:rFonts w:ascii="Arial" w:cs="Arial" w:eastAsia="Arial" w:hAnsi="Arial"/>
                <w:sz w:val="18"/>
                <w:szCs w:val="18"/>
                <w:color w:val="auto"/>
              </w:rPr>
              <w:t>4.2</w:t>
            </w:r>
          </w:p>
        </w:tc>
        <w:tc>
          <w:tcPr>
            <w:tcW w:w="9900" w:type="dxa"/>
            <w:vAlign w:val="bottom"/>
          </w:tcPr>
          <w:p>
            <w:pPr>
              <w:ind w:left="340"/>
              <w:spacing w:after="0"/>
              <w:rPr>
                <w:sz w:val="20"/>
                <w:szCs w:val="20"/>
                <w:color w:val="auto"/>
              </w:rPr>
            </w:pPr>
            <w:r>
              <w:rPr>
                <w:rFonts w:ascii="Arial" w:cs="Arial" w:eastAsia="Arial" w:hAnsi="Arial"/>
                <w:sz w:val="18"/>
                <w:szCs w:val="18"/>
                <w:color w:val="auto"/>
              </w:rPr>
              <w:t>Amended and Restated Investors’ Rights Agreement, dated December 8, 2021, by and among Maze Therapeutics, Inc.</w:t>
            </w:r>
          </w:p>
        </w:tc>
      </w:tr>
      <w:tr>
        <w:trPr>
          <w:trHeight w:val="239"/>
        </w:trPr>
        <w:tc>
          <w:tcPr>
            <w:tcW w:w="1120" w:type="dxa"/>
            <w:vAlign w:val="bottom"/>
          </w:tcPr>
          <w:p>
            <w:pPr>
              <w:spacing w:after="0"/>
              <w:rPr>
                <w:sz w:val="20"/>
                <w:szCs w:val="20"/>
                <w:color w:val="auto"/>
              </w:rPr>
            </w:pPr>
          </w:p>
        </w:tc>
        <w:tc>
          <w:tcPr>
            <w:tcW w:w="9900" w:type="dxa"/>
            <w:vAlign w:val="bottom"/>
          </w:tcPr>
          <w:p>
            <w:pPr>
              <w:ind w:left="520"/>
              <w:spacing w:after="0"/>
              <w:rPr>
                <w:sz w:val="20"/>
                <w:szCs w:val="20"/>
                <w:color w:val="auto"/>
              </w:rPr>
            </w:pPr>
            <w:r>
              <w:rPr>
                <w:rFonts w:ascii="Arial" w:cs="Arial" w:eastAsia="Arial" w:hAnsi="Arial"/>
                <w:sz w:val="18"/>
                <w:szCs w:val="18"/>
                <w:color w:val="auto"/>
              </w:rPr>
              <w:t>and certain of its stockholders.</w:t>
            </w:r>
          </w:p>
        </w:tc>
      </w:tr>
      <w:tr>
        <w:trPr>
          <w:trHeight w:val="270"/>
        </w:trPr>
        <w:tc>
          <w:tcPr>
            <w:tcW w:w="1120" w:type="dxa"/>
            <w:vAlign w:val="bottom"/>
          </w:tcPr>
          <w:p>
            <w:pPr>
              <w:jc w:val="right"/>
              <w:ind w:right="431"/>
              <w:spacing w:after="0"/>
              <w:rPr>
                <w:sz w:val="20"/>
                <w:szCs w:val="20"/>
                <w:color w:val="auto"/>
              </w:rPr>
            </w:pPr>
            <w:r>
              <w:rPr>
                <w:rFonts w:ascii="Arial" w:cs="Arial" w:eastAsia="Arial" w:hAnsi="Arial"/>
                <w:sz w:val="18"/>
                <w:szCs w:val="18"/>
                <w:color w:val="auto"/>
              </w:rPr>
              <w:t>4.3</w:t>
            </w:r>
          </w:p>
        </w:tc>
        <w:tc>
          <w:tcPr>
            <w:tcW w:w="9900" w:type="dxa"/>
            <w:vAlign w:val="bottom"/>
          </w:tcPr>
          <w:p>
            <w:pPr>
              <w:ind w:left="340"/>
              <w:spacing w:after="0"/>
              <w:rPr>
                <w:sz w:val="20"/>
                <w:szCs w:val="20"/>
                <w:color w:val="auto"/>
              </w:rPr>
            </w:pPr>
            <w:r>
              <w:rPr>
                <w:rFonts w:ascii="Arial" w:cs="Arial" w:eastAsia="Arial" w:hAnsi="Arial"/>
                <w:sz w:val="18"/>
                <w:szCs w:val="18"/>
                <w:color w:val="auto"/>
              </w:rPr>
              <w:t>Form of Convertible Promissory Note.</w:t>
            </w:r>
          </w:p>
        </w:tc>
      </w:tr>
      <w:tr>
        <w:trPr>
          <w:trHeight w:val="270"/>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5.1*</w:t>
            </w:r>
          </w:p>
        </w:tc>
        <w:tc>
          <w:tcPr>
            <w:tcW w:w="9900" w:type="dxa"/>
            <w:vAlign w:val="bottom"/>
          </w:tcPr>
          <w:p>
            <w:pPr>
              <w:ind w:left="340"/>
              <w:spacing w:after="0"/>
              <w:rPr>
                <w:sz w:val="20"/>
                <w:szCs w:val="20"/>
                <w:color w:val="auto"/>
              </w:rPr>
            </w:pPr>
            <w:r>
              <w:rPr>
                <w:rFonts w:ascii="Arial" w:cs="Arial" w:eastAsia="Arial" w:hAnsi="Arial"/>
                <w:sz w:val="18"/>
                <w:szCs w:val="18"/>
                <w:color w:val="auto"/>
              </w:rPr>
              <w:t>Opinion of Fenwick &amp; West LLP.</w:t>
            </w:r>
          </w:p>
        </w:tc>
      </w:tr>
      <w:tr>
        <w:trPr>
          <w:trHeight w:val="270"/>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10.1*</w:t>
            </w:r>
          </w:p>
        </w:tc>
        <w:tc>
          <w:tcPr>
            <w:tcW w:w="9900" w:type="dxa"/>
            <w:vAlign w:val="bottom"/>
          </w:tcPr>
          <w:p>
            <w:pPr>
              <w:ind w:left="340"/>
              <w:spacing w:after="0"/>
              <w:rPr>
                <w:sz w:val="20"/>
                <w:szCs w:val="20"/>
                <w:color w:val="auto"/>
              </w:rPr>
            </w:pPr>
            <w:r>
              <w:rPr>
                <w:rFonts w:ascii="Arial" w:cs="Arial" w:eastAsia="Arial" w:hAnsi="Arial"/>
                <w:sz w:val="18"/>
                <w:szCs w:val="18"/>
                <w:color w:val="auto"/>
              </w:rPr>
              <w:t>Form of Indemnity Agreement.</w:t>
            </w:r>
          </w:p>
        </w:tc>
      </w:tr>
      <w:tr>
        <w:trPr>
          <w:trHeight w:val="270"/>
        </w:trPr>
        <w:tc>
          <w:tcPr>
            <w:tcW w:w="1120" w:type="dxa"/>
            <w:vAlign w:val="bottom"/>
          </w:tcPr>
          <w:p>
            <w:pPr>
              <w:jc w:val="right"/>
              <w:ind w:right="431"/>
              <w:spacing w:after="0"/>
              <w:rPr>
                <w:sz w:val="20"/>
                <w:szCs w:val="20"/>
                <w:color w:val="auto"/>
              </w:rPr>
            </w:pPr>
            <w:r>
              <w:rPr>
                <w:rFonts w:ascii="Arial" w:cs="Arial" w:eastAsia="Arial" w:hAnsi="Arial"/>
                <w:sz w:val="18"/>
                <w:szCs w:val="18"/>
                <w:color w:val="auto"/>
              </w:rPr>
              <w:t>10.2</w:t>
            </w:r>
          </w:p>
        </w:tc>
        <w:tc>
          <w:tcPr>
            <w:tcW w:w="9900" w:type="dxa"/>
            <w:vAlign w:val="bottom"/>
          </w:tcPr>
          <w:p>
            <w:pPr>
              <w:ind w:left="340"/>
              <w:spacing w:after="0"/>
              <w:rPr>
                <w:sz w:val="20"/>
                <w:szCs w:val="20"/>
                <w:color w:val="auto"/>
              </w:rPr>
            </w:pPr>
            <w:r>
              <w:rPr>
                <w:rFonts w:ascii="Arial" w:cs="Arial" w:eastAsia="Arial" w:hAnsi="Arial"/>
                <w:sz w:val="18"/>
                <w:szCs w:val="18"/>
                <w:color w:val="auto"/>
              </w:rPr>
              <w:t>2018 Stock Option and Grant Plan, as amended, and forms of award agreements.</w:t>
            </w:r>
          </w:p>
        </w:tc>
      </w:tr>
      <w:tr>
        <w:trPr>
          <w:trHeight w:val="270"/>
        </w:trPr>
        <w:tc>
          <w:tcPr>
            <w:tcW w:w="1120" w:type="dxa"/>
            <w:vAlign w:val="bottom"/>
          </w:tcPr>
          <w:p>
            <w:pPr>
              <w:jc w:val="right"/>
              <w:ind w:right="431"/>
              <w:spacing w:after="0"/>
              <w:rPr>
                <w:sz w:val="20"/>
                <w:szCs w:val="20"/>
                <w:color w:val="auto"/>
              </w:rPr>
            </w:pPr>
            <w:r>
              <w:rPr>
                <w:rFonts w:ascii="Arial" w:cs="Arial" w:eastAsia="Arial" w:hAnsi="Arial"/>
                <w:sz w:val="18"/>
                <w:szCs w:val="18"/>
                <w:color w:val="auto"/>
              </w:rPr>
              <w:t>10.3</w:t>
            </w:r>
          </w:p>
        </w:tc>
        <w:tc>
          <w:tcPr>
            <w:tcW w:w="9900" w:type="dxa"/>
            <w:vAlign w:val="bottom"/>
          </w:tcPr>
          <w:p>
            <w:pPr>
              <w:ind w:left="340"/>
              <w:spacing w:after="0"/>
              <w:rPr>
                <w:sz w:val="20"/>
                <w:szCs w:val="20"/>
                <w:color w:val="auto"/>
              </w:rPr>
            </w:pPr>
            <w:r>
              <w:rPr>
                <w:rFonts w:ascii="Arial" w:cs="Arial" w:eastAsia="Arial" w:hAnsi="Arial"/>
                <w:sz w:val="18"/>
                <w:szCs w:val="18"/>
                <w:color w:val="auto"/>
              </w:rPr>
              <w:t>2019 Equity Incentive Plan, as amended, and forms of award agreements.</w:t>
            </w:r>
          </w:p>
        </w:tc>
      </w:tr>
      <w:tr>
        <w:trPr>
          <w:trHeight w:val="234"/>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10.4*</w:t>
            </w:r>
          </w:p>
        </w:tc>
        <w:tc>
          <w:tcPr>
            <w:tcW w:w="9900" w:type="dxa"/>
            <w:vAlign w:val="bottom"/>
          </w:tcPr>
          <w:p>
            <w:pPr>
              <w:ind w:left="340"/>
              <w:spacing w:after="0"/>
              <w:rPr>
                <w:sz w:val="20"/>
                <w:szCs w:val="20"/>
                <w:color w:val="auto"/>
              </w:rPr>
            </w:pPr>
            <w:r>
              <w:rPr>
                <w:rFonts w:ascii="Arial" w:cs="Arial" w:eastAsia="Arial" w:hAnsi="Arial"/>
                <w:sz w:val="18"/>
                <w:szCs w:val="18"/>
                <w:color w:val="auto"/>
              </w:rPr>
              <w:t>2024 Equity Incentive Plan, to become effective on the date the registration statement is declared effective, and forms</w:t>
            </w:r>
          </w:p>
        </w:tc>
      </w:tr>
      <w:tr>
        <w:trPr>
          <w:trHeight w:val="239"/>
        </w:trPr>
        <w:tc>
          <w:tcPr>
            <w:tcW w:w="1120" w:type="dxa"/>
            <w:vAlign w:val="bottom"/>
          </w:tcPr>
          <w:p>
            <w:pPr>
              <w:spacing w:after="0"/>
              <w:rPr>
                <w:sz w:val="20"/>
                <w:szCs w:val="20"/>
                <w:color w:val="auto"/>
              </w:rPr>
            </w:pPr>
          </w:p>
        </w:tc>
        <w:tc>
          <w:tcPr>
            <w:tcW w:w="9900" w:type="dxa"/>
            <w:vAlign w:val="bottom"/>
          </w:tcPr>
          <w:p>
            <w:pPr>
              <w:ind w:left="520"/>
              <w:spacing w:after="0"/>
              <w:rPr>
                <w:sz w:val="20"/>
                <w:szCs w:val="20"/>
                <w:color w:val="auto"/>
              </w:rPr>
            </w:pPr>
            <w:r>
              <w:rPr>
                <w:rFonts w:ascii="Arial" w:cs="Arial" w:eastAsia="Arial" w:hAnsi="Arial"/>
                <w:sz w:val="18"/>
                <w:szCs w:val="18"/>
                <w:color w:val="auto"/>
              </w:rPr>
              <w:t>of award agreements.</w:t>
            </w:r>
          </w:p>
        </w:tc>
      </w:tr>
      <w:tr>
        <w:trPr>
          <w:trHeight w:val="234"/>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10.5*</w:t>
            </w:r>
          </w:p>
        </w:tc>
        <w:tc>
          <w:tcPr>
            <w:tcW w:w="9900" w:type="dxa"/>
            <w:vAlign w:val="bottom"/>
          </w:tcPr>
          <w:p>
            <w:pPr>
              <w:ind w:left="340"/>
              <w:spacing w:after="0"/>
              <w:rPr>
                <w:sz w:val="20"/>
                <w:szCs w:val="20"/>
                <w:color w:val="auto"/>
              </w:rPr>
            </w:pPr>
            <w:r>
              <w:rPr>
                <w:rFonts w:ascii="Arial" w:cs="Arial" w:eastAsia="Arial" w:hAnsi="Arial"/>
                <w:sz w:val="18"/>
                <w:szCs w:val="18"/>
                <w:color w:val="auto"/>
              </w:rPr>
              <w:t>2024 Employee Stock Purchase Plan, to become effective on the date the registration statement is declared effective,</w:t>
            </w:r>
          </w:p>
        </w:tc>
      </w:tr>
      <w:tr>
        <w:trPr>
          <w:trHeight w:val="239"/>
        </w:trPr>
        <w:tc>
          <w:tcPr>
            <w:tcW w:w="1120" w:type="dxa"/>
            <w:vAlign w:val="bottom"/>
          </w:tcPr>
          <w:p>
            <w:pPr>
              <w:spacing w:after="0"/>
              <w:rPr>
                <w:sz w:val="20"/>
                <w:szCs w:val="20"/>
                <w:color w:val="auto"/>
              </w:rPr>
            </w:pPr>
          </w:p>
        </w:tc>
        <w:tc>
          <w:tcPr>
            <w:tcW w:w="9900" w:type="dxa"/>
            <w:vAlign w:val="bottom"/>
          </w:tcPr>
          <w:p>
            <w:pPr>
              <w:ind w:left="520"/>
              <w:spacing w:after="0"/>
              <w:rPr>
                <w:sz w:val="20"/>
                <w:szCs w:val="20"/>
                <w:color w:val="auto"/>
              </w:rPr>
            </w:pPr>
            <w:r>
              <w:rPr>
                <w:rFonts w:ascii="Arial" w:cs="Arial" w:eastAsia="Arial" w:hAnsi="Arial"/>
                <w:sz w:val="18"/>
                <w:szCs w:val="18"/>
                <w:color w:val="auto"/>
              </w:rPr>
              <w:t>and forms of award agreements.</w:t>
            </w:r>
          </w:p>
        </w:tc>
      </w:tr>
      <w:tr>
        <w:trPr>
          <w:trHeight w:val="270"/>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10.6*</w:t>
            </w:r>
          </w:p>
        </w:tc>
        <w:tc>
          <w:tcPr>
            <w:tcW w:w="9900" w:type="dxa"/>
            <w:vAlign w:val="bottom"/>
          </w:tcPr>
          <w:p>
            <w:pPr>
              <w:ind w:left="340"/>
              <w:spacing w:after="0"/>
              <w:rPr>
                <w:sz w:val="20"/>
                <w:szCs w:val="20"/>
                <w:color w:val="auto"/>
              </w:rPr>
            </w:pPr>
            <w:r>
              <w:rPr>
                <w:rFonts w:ascii="Arial" w:cs="Arial" w:eastAsia="Arial" w:hAnsi="Arial"/>
                <w:sz w:val="18"/>
                <w:szCs w:val="18"/>
                <w:color w:val="auto"/>
              </w:rPr>
              <w:t>Lease Agreement, dated September 27, 2019, by and among Maze Therapeutics, Inc. and HCP Oyster Point III LLC.</w:t>
            </w:r>
          </w:p>
        </w:tc>
      </w:tr>
      <w:tr>
        <w:trPr>
          <w:trHeight w:val="270"/>
        </w:trPr>
        <w:tc>
          <w:tcPr>
            <w:tcW w:w="1120" w:type="dxa"/>
            <w:vAlign w:val="bottom"/>
          </w:tcPr>
          <w:p>
            <w:pPr>
              <w:jc w:val="right"/>
              <w:ind w:right="431"/>
              <w:spacing w:after="0"/>
              <w:rPr>
                <w:sz w:val="20"/>
                <w:szCs w:val="20"/>
                <w:color w:val="auto"/>
              </w:rPr>
            </w:pPr>
            <w:r>
              <w:rPr>
                <w:rFonts w:ascii="Arial" w:cs="Arial" w:eastAsia="Arial" w:hAnsi="Arial"/>
                <w:sz w:val="18"/>
                <w:szCs w:val="18"/>
                <w:color w:val="auto"/>
              </w:rPr>
              <w:t>10.7</w:t>
            </w:r>
          </w:p>
        </w:tc>
        <w:tc>
          <w:tcPr>
            <w:tcW w:w="9900" w:type="dxa"/>
            <w:vAlign w:val="bottom"/>
          </w:tcPr>
          <w:p>
            <w:pPr>
              <w:ind w:left="340"/>
              <w:spacing w:after="0"/>
              <w:rPr>
                <w:sz w:val="20"/>
                <w:szCs w:val="20"/>
                <w:color w:val="auto"/>
              </w:rPr>
            </w:pPr>
            <w:r>
              <w:rPr>
                <w:rFonts w:ascii="Arial" w:cs="Arial" w:eastAsia="Arial" w:hAnsi="Arial"/>
                <w:sz w:val="18"/>
                <w:szCs w:val="18"/>
                <w:color w:val="auto"/>
              </w:rPr>
              <w:t>Consulting Agreement, dated November 1, 2019, by and among Maze Therapeutics, Inc. and Charles Homcy, M.D.</w:t>
            </w:r>
          </w:p>
        </w:tc>
      </w:tr>
      <w:tr>
        <w:trPr>
          <w:trHeight w:val="270"/>
        </w:trPr>
        <w:tc>
          <w:tcPr>
            <w:tcW w:w="1120" w:type="dxa"/>
            <w:vAlign w:val="bottom"/>
          </w:tcPr>
          <w:p>
            <w:pPr>
              <w:jc w:val="right"/>
              <w:ind w:right="431"/>
              <w:spacing w:after="0"/>
              <w:rPr>
                <w:sz w:val="20"/>
                <w:szCs w:val="20"/>
                <w:color w:val="auto"/>
              </w:rPr>
            </w:pPr>
            <w:r>
              <w:rPr>
                <w:rFonts w:ascii="Arial" w:cs="Arial" w:eastAsia="Arial" w:hAnsi="Arial"/>
                <w:sz w:val="18"/>
                <w:szCs w:val="18"/>
                <w:color w:val="auto"/>
              </w:rPr>
              <w:t>10.8</w:t>
            </w:r>
          </w:p>
        </w:tc>
        <w:tc>
          <w:tcPr>
            <w:tcW w:w="9900" w:type="dxa"/>
            <w:vAlign w:val="bottom"/>
          </w:tcPr>
          <w:p>
            <w:pPr>
              <w:ind w:left="340"/>
              <w:spacing w:after="0"/>
              <w:rPr>
                <w:sz w:val="20"/>
                <w:szCs w:val="20"/>
                <w:color w:val="auto"/>
              </w:rPr>
            </w:pPr>
            <w:r>
              <w:rPr>
                <w:rFonts w:ascii="Arial" w:cs="Arial" w:eastAsia="Arial" w:hAnsi="Arial"/>
                <w:sz w:val="18"/>
                <w:szCs w:val="18"/>
                <w:color w:val="auto"/>
              </w:rPr>
              <w:t>Advisor Agreement, dated July 1, 2021, by and among Maze Therapeutics, Inc. and Richard Scheller, Ph.D.</w:t>
            </w:r>
          </w:p>
        </w:tc>
      </w:tr>
      <w:tr>
        <w:trPr>
          <w:trHeight w:val="270"/>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10.9*</w:t>
            </w:r>
          </w:p>
        </w:tc>
        <w:tc>
          <w:tcPr>
            <w:tcW w:w="9900" w:type="dxa"/>
            <w:vAlign w:val="bottom"/>
          </w:tcPr>
          <w:p>
            <w:pPr>
              <w:ind w:left="340"/>
              <w:spacing w:after="0"/>
              <w:rPr>
                <w:sz w:val="20"/>
                <w:szCs w:val="20"/>
                <w:color w:val="auto"/>
              </w:rPr>
            </w:pPr>
            <w:r>
              <w:rPr>
                <w:rFonts w:ascii="Arial" w:cs="Arial" w:eastAsia="Arial" w:hAnsi="Arial"/>
                <w:sz w:val="18"/>
                <w:szCs w:val="18"/>
                <w:color w:val="auto"/>
              </w:rPr>
              <w:t>Form of Executive Officer Employment Agreement.</w:t>
            </w:r>
          </w:p>
        </w:tc>
      </w:tr>
      <w:tr>
        <w:trPr>
          <w:trHeight w:val="234"/>
        </w:trPr>
        <w:tc>
          <w:tcPr>
            <w:tcW w:w="1120" w:type="dxa"/>
            <w:vAlign w:val="bottom"/>
          </w:tcPr>
          <w:p>
            <w:pPr>
              <w:jc w:val="right"/>
              <w:ind w:right="431"/>
              <w:spacing w:after="0"/>
              <w:rPr>
                <w:sz w:val="20"/>
                <w:szCs w:val="20"/>
                <w:color w:val="auto"/>
              </w:rPr>
            </w:pPr>
            <w:r>
              <w:rPr>
                <w:rFonts w:ascii="Arial" w:cs="Arial" w:eastAsia="Arial" w:hAnsi="Arial"/>
                <w:sz w:val="18"/>
                <w:szCs w:val="18"/>
                <w:color w:val="auto"/>
              </w:rPr>
              <w:t>10.10</w:t>
            </w:r>
          </w:p>
        </w:tc>
        <w:tc>
          <w:tcPr>
            <w:tcW w:w="9900" w:type="dxa"/>
            <w:vAlign w:val="bottom"/>
          </w:tcPr>
          <w:p>
            <w:pPr>
              <w:ind w:left="340"/>
              <w:spacing w:after="0"/>
              <w:rPr>
                <w:sz w:val="20"/>
                <w:szCs w:val="20"/>
                <w:color w:val="auto"/>
              </w:rPr>
            </w:pPr>
            <w:r>
              <w:rPr>
                <w:rFonts w:ascii="Arial" w:cs="Arial" w:eastAsia="Arial" w:hAnsi="Arial"/>
                <w:sz w:val="18"/>
                <w:szCs w:val="18"/>
                <w:color w:val="auto"/>
              </w:rPr>
              <w:t>Loan and Security Agreement, dated June 27, 2022, by and between Maze Therapeutics, Inc. and Pacific Western</w:t>
            </w:r>
          </w:p>
        </w:tc>
      </w:tr>
      <w:tr>
        <w:trPr>
          <w:trHeight w:val="239"/>
        </w:trPr>
        <w:tc>
          <w:tcPr>
            <w:tcW w:w="1120" w:type="dxa"/>
            <w:vAlign w:val="bottom"/>
          </w:tcPr>
          <w:p>
            <w:pPr>
              <w:spacing w:after="0"/>
              <w:rPr>
                <w:sz w:val="20"/>
                <w:szCs w:val="20"/>
                <w:color w:val="auto"/>
              </w:rPr>
            </w:pPr>
          </w:p>
        </w:tc>
        <w:tc>
          <w:tcPr>
            <w:tcW w:w="9900" w:type="dxa"/>
            <w:vAlign w:val="bottom"/>
          </w:tcPr>
          <w:p>
            <w:pPr>
              <w:ind w:left="520"/>
              <w:spacing w:after="0"/>
              <w:rPr>
                <w:sz w:val="20"/>
                <w:szCs w:val="20"/>
                <w:color w:val="auto"/>
              </w:rPr>
            </w:pPr>
            <w:r>
              <w:rPr>
                <w:rFonts w:ascii="Arial" w:cs="Arial" w:eastAsia="Arial" w:hAnsi="Arial"/>
                <w:sz w:val="18"/>
                <w:szCs w:val="18"/>
                <w:color w:val="auto"/>
              </w:rPr>
              <w:t>Bank, as amended.</w:t>
            </w:r>
          </w:p>
        </w:tc>
      </w:tr>
      <w:tr>
        <w:trPr>
          <w:trHeight w:val="270"/>
        </w:trPr>
        <w:tc>
          <w:tcPr>
            <w:tcW w:w="1120" w:type="dxa"/>
            <w:vAlign w:val="bottom"/>
          </w:tcPr>
          <w:p>
            <w:pPr>
              <w:jc w:val="right"/>
              <w:ind w:right="251"/>
              <w:spacing w:after="0"/>
              <w:rPr>
                <w:sz w:val="20"/>
                <w:szCs w:val="20"/>
                <w:color w:val="auto"/>
              </w:rPr>
            </w:pPr>
            <w:r>
              <w:rPr>
                <w:rFonts w:ascii="Arial" w:cs="Arial" w:eastAsia="Arial" w:hAnsi="Arial"/>
                <w:sz w:val="18"/>
                <w:szCs w:val="18"/>
                <w:color w:val="auto"/>
              </w:rPr>
              <w:t>10.11†^</w:t>
            </w:r>
          </w:p>
        </w:tc>
        <w:tc>
          <w:tcPr>
            <w:tcW w:w="9900" w:type="dxa"/>
            <w:vAlign w:val="bottom"/>
          </w:tcPr>
          <w:p>
            <w:pPr>
              <w:ind w:left="340"/>
              <w:spacing w:after="0"/>
              <w:rPr>
                <w:sz w:val="20"/>
                <w:szCs w:val="20"/>
                <w:color w:val="auto"/>
              </w:rPr>
            </w:pPr>
            <w:r>
              <w:rPr>
                <w:rFonts w:ascii="Arial" w:cs="Arial" w:eastAsia="Arial" w:hAnsi="Arial"/>
                <w:sz w:val="18"/>
                <w:szCs w:val="18"/>
                <w:color w:val="auto"/>
              </w:rPr>
              <w:t>License Agreement, dated as of March 25, 2024, by and between Maze Therapeutics, Inc. and Shionogi &amp; Co., Ltd.</w:t>
            </w:r>
          </w:p>
        </w:tc>
      </w:tr>
      <w:tr>
        <w:trPr>
          <w:trHeight w:val="270"/>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23.1*</w:t>
            </w:r>
          </w:p>
        </w:tc>
        <w:tc>
          <w:tcPr>
            <w:tcW w:w="990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70"/>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23.2*</w:t>
            </w:r>
          </w:p>
        </w:tc>
        <w:tc>
          <w:tcPr>
            <w:tcW w:w="9900" w:type="dxa"/>
            <w:vAlign w:val="bottom"/>
          </w:tcPr>
          <w:p>
            <w:pPr>
              <w:ind w:left="340"/>
              <w:spacing w:after="0"/>
              <w:rPr>
                <w:sz w:val="20"/>
                <w:szCs w:val="20"/>
                <w:color w:val="auto"/>
              </w:rPr>
            </w:pPr>
            <w:r>
              <w:rPr>
                <w:rFonts w:ascii="Arial" w:cs="Arial" w:eastAsia="Arial" w:hAnsi="Arial"/>
                <w:sz w:val="18"/>
                <w:szCs w:val="18"/>
                <w:color w:val="auto"/>
              </w:rPr>
              <w:t>Consent of Fenwick &amp; West LLP (included in Exhibit 5.1).</w:t>
            </w:r>
          </w:p>
        </w:tc>
      </w:tr>
      <w:tr>
        <w:trPr>
          <w:trHeight w:val="270"/>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24.1*</w:t>
            </w:r>
          </w:p>
        </w:tc>
        <w:tc>
          <w:tcPr>
            <w:tcW w:w="9900" w:type="dxa"/>
            <w:vAlign w:val="bottom"/>
          </w:tcPr>
          <w:p>
            <w:pPr>
              <w:ind w:left="340"/>
              <w:spacing w:after="0"/>
              <w:rPr>
                <w:sz w:val="20"/>
                <w:szCs w:val="20"/>
                <w:color w:val="auto"/>
              </w:rPr>
            </w:pPr>
            <w:r>
              <w:rPr>
                <w:rFonts w:ascii="Arial" w:cs="Arial" w:eastAsia="Arial" w:hAnsi="Arial"/>
                <w:sz w:val="18"/>
                <w:szCs w:val="18"/>
                <w:color w:val="auto"/>
              </w:rPr>
              <w:t>Power of Attorney (included in the signature page to this registration statement).</w:t>
            </w:r>
          </w:p>
        </w:tc>
      </w:tr>
      <w:tr>
        <w:trPr>
          <w:trHeight w:val="270"/>
        </w:trPr>
        <w:tc>
          <w:tcPr>
            <w:tcW w:w="1120" w:type="dxa"/>
            <w:vAlign w:val="bottom"/>
          </w:tcPr>
          <w:p>
            <w:pPr>
              <w:jc w:val="right"/>
              <w:ind w:right="351"/>
              <w:spacing w:after="0"/>
              <w:rPr>
                <w:sz w:val="20"/>
                <w:szCs w:val="20"/>
                <w:color w:val="auto"/>
              </w:rPr>
            </w:pPr>
            <w:r>
              <w:rPr>
                <w:rFonts w:ascii="Arial" w:cs="Arial" w:eastAsia="Arial" w:hAnsi="Arial"/>
                <w:sz w:val="18"/>
                <w:szCs w:val="18"/>
                <w:color w:val="auto"/>
              </w:rPr>
              <w:t>107*</w:t>
            </w:r>
          </w:p>
        </w:tc>
        <w:tc>
          <w:tcPr>
            <w:tcW w:w="9900" w:type="dxa"/>
            <w:vAlign w:val="bottom"/>
          </w:tcPr>
          <w:p>
            <w:pPr>
              <w:ind w:left="340"/>
              <w:spacing w:after="0"/>
              <w:rPr>
                <w:sz w:val="20"/>
                <w:szCs w:val="20"/>
                <w:color w:val="auto"/>
              </w:rPr>
            </w:pPr>
            <w:r>
              <w:rPr>
                <w:rFonts w:ascii="Arial" w:cs="Arial" w:eastAsia="Arial" w:hAnsi="Arial"/>
                <w:sz w:val="18"/>
                <w:szCs w:val="18"/>
                <w:color w:val="auto"/>
              </w:rPr>
              <w:t>Filing Fee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0"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Registrant has omitted portions of the exhibit (indicated by “[***]”) as permitted under Item 601(b)(10) of Regulation S-K.</w:t>
      </w:r>
    </w:p>
    <w:p>
      <w:pPr>
        <w:spacing w:after="0" w:line="82" w:lineRule="exact"/>
        <w:rPr>
          <w:sz w:val="20"/>
          <w:szCs w:val="20"/>
          <w:color w:val="auto"/>
        </w:rPr>
      </w:pPr>
    </w:p>
    <w:p>
      <w:pPr>
        <w:ind w:left="540" w:right="460" w:hanging="424"/>
        <w:spacing w:after="0" w:line="285" w:lineRule="auto"/>
        <w:tabs>
          <w:tab w:leader="none" w:pos="5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Registrant has omitted schedules and exhibits pursuant to Item 601(a)(5) of Regulation S-K. The Registrant agrees to furnish supplementally a copy of the omitted schedules and exhibits to the SEC upon request.</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29" w:lineRule="exact"/>
        <w:rPr>
          <w:sz w:val="20"/>
          <w:szCs w:val="20"/>
          <w:color w:val="auto"/>
        </w:rPr>
      </w:pPr>
    </w:p>
    <w:p>
      <w:pPr>
        <w:ind w:left="120" w:right="700"/>
        <w:spacing w:after="0" w:line="271"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notes.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17. Undertakings.</w:t>
      </w:r>
    </w:p>
    <w:p>
      <w:pPr>
        <w:spacing w:after="0" w:line="135"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 that:</w:t>
      </w:r>
    </w:p>
    <w:p>
      <w:pPr>
        <w:spacing w:after="0" w:line="144" w:lineRule="exact"/>
        <w:rPr>
          <w:sz w:val="20"/>
          <w:szCs w:val="20"/>
          <w:color w:val="auto"/>
        </w:rPr>
      </w:pPr>
    </w:p>
    <w:p>
      <w:pPr>
        <w:ind w:left="120" w:right="160" w:hanging="4"/>
        <w:spacing w:after="0" w:line="247" w:lineRule="auto"/>
        <w:tabs>
          <w:tab w:leader="none" w:pos="39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jc w:val="both"/>
        <w:ind w:left="120" w:hanging="4"/>
        <w:spacing w:after="0" w:line="253" w:lineRule="auto"/>
        <w:tabs>
          <w:tab w:leader="none" w:pos="39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5" w:right="4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Signatures</w:t>
      </w:r>
    </w:p>
    <w:p>
      <w:pPr>
        <w:spacing w:after="0" w:line="16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 Form S-1 to be signed on its behalf by the undersigned, thereunto duly authorized, in the City of South San Francisco, State of California, on the        day of        , 2024.</w:t>
      </w:r>
    </w:p>
    <w:p>
      <w:pPr>
        <w:spacing w:after="0" w:line="10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MAZE THERAPEUTICS,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5628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Jason Coloma, Ph.D.</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Executive Officer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20"/>
          </w:cols>
          <w:pgMar w:left="320" w:top="455" w:right="5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Power of attorney</w:t>
      </w:r>
    </w:p>
    <w:p>
      <w:pPr>
        <w:spacing w:after="0" w:line="168"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Jason Coloma, Ph.D. and Amy Bachrodt, and each one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12"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5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7"/>
              </w:rPr>
              <w:t>Date</w:t>
            </w:r>
          </w:p>
        </w:tc>
        <w:tc>
          <w:tcPr>
            <w:tcW w:w="920" w:type="dxa"/>
            <w:vAlign w:val="bottom"/>
            <w:tcBorders>
              <w:bottom w:val="single" w:sz="8" w:color="auto"/>
            </w:tcBorders>
          </w:tcPr>
          <w:p>
            <w:pPr>
              <w:spacing w:after="0"/>
              <w:rPr>
                <w:sz w:val="17"/>
                <w:szCs w:val="17"/>
                <w:color w:val="auto"/>
              </w:rPr>
            </w:pPr>
          </w:p>
        </w:tc>
      </w:tr>
      <w:tr>
        <w:trPr>
          <w:trHeight w:val="392"/>
        </w:trPr>
        <w:tc>
          <w:tcPr>
            <w:tcW w:w="3860" w:type="dxa"/>
            <w:vAlign w:val="bottom"/>
            <w:tcBorders>
              <w:bottom w:val="single" w:sz="8" w:color="auto"/>
            </w:tcBorders>
          </w:tcPr>
          <w:p>
            <w:pPr>
              <w:jc w:val="center"/>
              <w:ind w:right="66"/>
              <w:spacing w:after="0"/>
              <w:rPr>
                <w:sz w:val="20"/>
                <w:szCs w:val="20"/>
                <w:color w:val="auto"/>
              </w:rPr>
            </w:pPr>
            <w:r>
              <w:rPr>
                <w:rFonts w:ascii="Arial" w:cs="Arial" w:eastAsia="Arial" w:hAnsi="Arial"/>
                <w:sz w:val="4"/>
                <w:szCs w:val="4"/>
                <w:color w:val="auto"/>
                <w:w w:val="98"/>
              </w:rPr>
              <w:t> </w:t>
            </w: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520" w:type="dxa"/>
            <w:vAlign w:val="bottom"/>
          </w:tcPr>
          <w:p>
            <w:pPr>
              <w:ind w:left="42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40" w:type="dxa"/>
            <w:vAlign w:val="bottom"/>
          </w:tcPr>
          <w:p>
            <w:pPr>
              <w:ind w:left="80"/>
              <w:spacing w:after="0"/>
              <w:rPr>
                <w:sz w:val="20"/>
                <w:szCs w:val="20"/>
                <w:color w:val="auto"/>
              </w:rPr>
            </w:pPr>
            <w:r>
              <w:rPr>
                <w:rFonts w:ascii="Arial" w:cs="Arial" w:eastAsia="Arial" w:hAnsi="Arial"/>
                <w:sz w:val="18"/>
                <w:szCs w:val="18"/>
                <w:color w:val="auto"/>
                <w:w w:val="77"/>
              </w:rPr>
              <w:t> </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w w:val="99"/>
              </w:rPr>
              <w:t>, 2024</w:t>
            </w:r>
          </w:p>
        </w:tc>
      </w:tr>
      <w:tr>
        <w:trPr>
          <w:trHeight w:val="170"/>
        </w:trPr>
        <w:tc>
          <w:tcPr>
            <w:tcW w:w="3860" w:type="dxa"/>
            <w:vAlign w:val="bottom"/>
          </w:tcPr>
          <w:p>
            <w:pPr>
              <w:jc w:val="center"/>
              <w:spacing w:after="0" w:line="170" w:lineRule="exact"/>
              <w:rPr>
                <w:sz w:val="20"/>
                <w:szCs w:val="20"/>
                <w:color w:val="auto"/>
              </w:rPr>
            </w:pPr>
            <w:r>
              <w:rPr>
                <w:rFonts w:ascii="Arial" w:cs="Arial" w:eastAsia="Arial" w:hAnsi="Arial"/>
                <w:sz w:val="18"/>
                <w:szCs w:val="18"/>
                <w:color w:val="auto"/>
                <w:w w:val="99"/>
              </w:rPr>
              <w:t>Jason Coloma, Ph.D.</w:t>
            </w:r>
          </w:p>
        </w:tc>
        <w:tc>
          <w:tcPr>
            <w:tcW w:w="4940" w:type="dxa"/>
            <w:vAlign w:val="bottom"/>
          </w:tcPr>
          <w:p>
            <w:pPr>
              <w:jc w:val="center"/>
              <w:spacing w:after="0" w:line="170" w:lineRule="exact"/>
              <w:rPr>
                <w:sz w:val="20"/>
                <w:szCs w:val="20"/>
                <w:color w:val="auto"/>
              </w:rPr>
            </w:pPr>
            <w:r>
              <w:rPr>
                <w:rFonts w:ascii="Arial" w:cs="Arial" w:eastAsia="Arial" w:hAnsi="Arial"/>
                <w:sz w:val="18"/>
                <w:szCs w:val="18"/>
                <w:color w:val="auto"/>
                <w:w w:val="99"/>
              </w:rPr>
              <w:t>(Principal Executive Officer and Principal Financial</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9"/>
        </w:trPr>
        <w:tc>
          <w:tcPr>
            <w:tcW w:w="3860" w:type="dxa"/>
            <w:vAlign w:val="bottom"/>
          </w:tcPr>
          <w:p>
            <w:pPr>
              <w:spacing w:after="0"/>
              <w:rPr>
                <w:sz w:val="20"/>
                <w:szCs w:val="20"/>
                <w:color w:val="auto"/>
              </w:rPr>
            </w:pPr>
          </w:p>
        </w:tc>
        <w:tc>
          <w:tcPr>
            <w:tcW w:w="4940" w:type="dxa"/>
            <w:vAlign w:val="bottom"/>
          </w:tcPr>
          <w:p>
            <w:pPr>
              <w:jc w:val="center"/>
              <w:ind w:left="11"/>
              <w:spacing w:after="0"/>
              <w:rPr>
                <w:sz w:val="20"/>
                <w:szCs w:val="20"/>
                <w:color w:val="auto"/>
              </w:rPr>
            </w:pPr>
            <w:r>
              <w:rPr>
                <w:rFonts w:ascii="Arial" w:cs="Arial" w:eastAsia="Arial" w:hAnsi="Arial"/>
                <w:sz w:val="18"/>
                <w:szCs w:val="18"/>
                <w:color w:val="auto"/>
              </w:rPr>
              <w:t>Officer)</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4"/>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4940" w:type="dxa"/>
            <w:vAlign w:val="bottom"/>
          </w:tcPr>
          <w:p>
            <w:pPr>
              <w:jc w:val="center"/>
              <w:ind w:right="11"/>
              <w:spacing w:after="0"/>
              <w:rPr>
                <w:sz w:val="20"/>
                <w:szCs w:val="20"/>
                <w:color w:val="auto"/>
              </w:rPr>
            </w:pPr>
            <w:r>
              <w:rPr>
                <w:rFonts w:ascii="Arial" w:cs="Arial" w:eastAsia="Arial" w:hAnsi="Arial"/>
                <w:sz w:val="18"/>
                <w:szCs w:val="18"/>
                <w:color w:val="auto"/>
                <w:w w:val="98"/>
              </w:rPr>
              <w:t>SVP, Finance</w:t>
            </w:r>
          </w:p>
        </w:tc>
        <w:tc>
          <w:tcPr>
            <w:tcW w:w="520" w:type="dxa"/>
            <w:vAlign w:val="bottom"/>
          </w:tcPr>
          <w:p>
            <w:pPr>
              <w:ind w:left="42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40" w:type="dxa"/>
            <w:vAlign w:val="bottom"/>
          </w:tcPr>
          <w:p>
            <w:pPr>
              <w:ind w:left="80"/>
              <w:spacing w:after="0"/>
              <w:rPr>
                <w:sz w:val="20"/>
                <w:szCs w:val="20"/>
                <w:color w:val="auto"/>
              </w:rPr>
            </w:pPr>
            <w:r>
              <w:rPr>
                <w:rFonts w:ascii="Arial" w:cs="Arial" w:eastAsia="Arial" w:hAnsi="Arial"/>
                <w:sz w:val="18"/>
                <w:szCs w:val="18"/>
                <w:color w:val="auto"/>
                <w:w w:val="77"/>
              </w:rPr>
              <w:t> </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w w:val="99"/>
              </w:rPr>
              <w:t>, 2024</w:t>
            </w:r>
          </w:p>
        </w:tc>
      </w:tr>
      <w:tr>
        <w:trPr>
          <w:trHeight w:val="239"/>
        </w:trPr>
        <w:tc>
          <w:tcPr>
            <w:tcW w:w="3860" w:type="dxa"/>
            <w:vAlign w:val="bottom"/>
          </w:tcPr>
          <w:p>
            <w:pPr>
              <w:jc w:val="center"/>
              <w:spacing w:after="0"/>
              <w:rPr>
                <w:sz w:val="20"/>
                <w:szCs w:val="20"/>
                <w:color w:val="auto"/>
              </w:rPr>
            </w:pPr>
            <w:r>
              <w:rPr>
                <w:rFonts w:ascii="Arial" w:cs="Arial" w:eastAsia="Arial" w:hAnsi="Arial"/>
                <w:sz w:val="18"/>
                <w:szCs w:val="18"/>
                <w:color w:val="auto"/>
              </w:rPr>
              <w:t>Amy Bachrodt</w:t>
            </w:r>
          </w:p>
        </w:tc>
        <w:tc>
          <w:tcPr>
            <w:tcW w:w="4940" w:type="dxa"/>
            <w:vAlign w:val="bottom"/>
          </w:tcPr>
          <w:p>
            <w:pPr>
              <w:jc w:val="center"/>
              <w:ind w:left="11"/>
              <w:spacing w:after="0"/>
              <w:rPr>
                <w:sz w:val="20"/>
                <w:szCs w:val="20"/>
                <w:color w:val="auto"/>
              </w:rPr>
            </w:pPr>
            <w:r>
              <w:rPr>
                <w:rFonts w:ascii="Arial" w:cs="Arial" w:eastAsia="Arial" w:hAnsi="Arial"/>
                <w:sz w:val="18"/>
                <w:szCs w:val="18"/>
                <w:color w:val="auto"/>
                <w:w w:val="99"/>
              </w:rPr>
              <w:t>(Principal Accounting Officer)</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color w:val="auto"/>
                <w:w w:val="70"/>
              </w:rPr>
              <w:t>  </w:t>
            </w:r>
          </w:p>
        </w:tc>
        <w:tc>
          <w:tcPr>
            <w:tcW w:w="49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520" w:type="dxa"/>
            <w:vAlign w:val="bottom"/>
          </w:tcPr>
          <w:p>
            <w:pPr>
              <w:ind w:left="42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40" w:type="dxa"/>
            <w:vAlign w:val="bottom"/>
          </w:tcPr>
          <w:p>
            <w:pPr>
              <w:ind w:left="80"/>
              <w:spacing w:after="0"/>
              <w:rPr>
                <w:sz w:val="20"/>
                <w:szCs w:val="20"/>
                <w:color w:val="auto"/>
              </w:rPr>
            </w:pPr>
            <w:r>
              <w:rPr>
                <w:rFonts w:ascii="Arial" w:cs="Arial" w:eastAsia="Arial" w:hAnsi="Arial"/>
                <w:sz w:val="18"/>
                <w:szCs w:val="18"/>
                <w:color w:val="auto"/>
                <w:w w:val="77"/>
              </w:rPr>
              <w:t> </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w w:val="99"/>
              </w:rPr>
              <w:t>, 2024</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Charles Homcy, M.D.</w:t>
            </w:r>
          </w:p>
        </w:tc>
        <w:tc>
          <w:tcPr>
            <w:tcW w:w="4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color w:val="auto"/>
                <w:w w:val="70"/>
              </w:rPr>
              <w:t>  </w:t>
            </w:r>
          </w:p>
        </w:tc>
        <w:tc>
          <w:tcPr>
            <w:tcW w:w="49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520" w:type="dxa"/>
            <w:vAlign w:val="bottom"/>
          </w:tcPr>
          <w:p>
            <w:pPr>
              <w:ind w:left="42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40" w:type="dxa"/>
            <w:vAlign w:val="bottom"/>
          </w:tcPr>
          <w:p>
            <w:pPr>
              <w:ind w:left="80"/>
              <w:spacing w:after="0"/>
              <w:rPr>
                <w:sz w:val="20"/>
                <w:szCs w:val="20"/>
                <w:color w:val="auto"/>
              </w:rPr>
            </w:pPr>
            <w:r>
              <w:rPr>
                <w:rFonts w:ascii="Arial" w:cs="Arial" w:eastAsia="Arial" w:hAnsi="Arial"/>
                <w:sz w:val="18"/>
                <w:szCs w:val="18"/>
                <w:color w:val="auto"/>
                <w:w w:val="77"/>
              </w:rPr>
              <w:t> </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w w:val="99"/>
              </w:rPr>
              <w:t>, 2024</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Nancy C. Andrews, M.D., Ph.D.</w:t>
            </w:r>
          </w:p>
        </w:tc>
        <w:tc>
          <w:tcPr>
            <w:tcW w:w="4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color w:val="auto"/>
                <w:w w:val="70"/>
              </w:rPr>
              <w:t>  </w:t>
            </w:r>
          </w:p>
        </w:tc>
        <w:tc>
          <w:tcPr>
            <w:tcW w:w="49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520" w:type="dxa"/>
            <w:vAlign w:val="bottom"/>
          </w:tcPr>
          <w:p>
            <w:pPr>
              <w:ind w:left="42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40" w:type="dxa"/>
            <w:vAlign w:val="bottom"/>
          </w:tcPr>
          <w:p>
            <w:pPr>
              <w:ind w:left="80"/>
              <w:spacing w:after="0"/>
              <w:rPr>
                <w:sz w:val="20"/>
                <w:szCs w:val="20"/>
                <w:color w:val="auto"/>
              </w:rPr>
            </w:pPr>
            <w:r>
              <w:rPr>
                <w:rFonts w:ascii="Arial" w:cs="Arial" w:eastAsia="Arial" w:hAnsi="Arial"/>
                <w:sz w:val="18"/>
                <w:szCs w:val="18"/>
                <w:color w:val="auto"/>
                <w:w w:val="77"/>
              </w:rPr>
              <w:t> </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w w:val="99"/>
              </w:rPr>
              <w:t>, 2024</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Brendan Bulik-Sullivan, Ph.D.</w:t>
            </w:r>
          </w:p>
        </w:tc>
        <w:tc>
          <w:tcPr>
            <w:tcW w:w="4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color w:val="auto"/>
                <w:w w:val="70"/>
              </w:rPr>
              <w:t>  </w:t>
            </w:r>
          </w:p>
        </w:tc>
        <w:tc>
          <w:tcPr>
            <w:tcW w:w="49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520" w:type="dxa"/>
            <w:vAlign w:val="bottom"/>
          </w:tcPr>
          <w:p>
            <w:pPr>
              <w:ind w:left="42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40" w:type="dxa"/>
            <w:vAlign w:val="bottom"/>
          </w:tcPr>
          <w:p>
            <w:pPr>
              <w:ind w:left="80"/>
              <w:spacing w:after="0"/>
              <w:rPr>
                <w:sz w:val="20"/>
                <w:szCs w:val="20"/>
                <w:color w:val="auto"/>
              </w:rPr>
            </w:pPr>
            <w:r>
              <w:rPr>
                <w:rFonts w:ascii="Arial" w:cs="Arial" w:eastAsia="Arial" w:hAnsi="Arial"/>
                <w:sz w:val="18"/>
                <w:szCs w:val="18"/>
                <w:color w:val="auto"/>
                <w:w w:val="77"/>
              </w:rPr>
              <w:t> </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w w:val="99"/>
              </w:rPr>
              <w:t>, 2024</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Sekar Kathiresan, M.D.</w:t>
            </w:r>
          </w:p>
        </w:tc>
        <w:tc>
          <w:tcPr>
            <w:tcW w:w="4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color w:val="auto"/>
                <w:w w:val="70"/>
              </w:rPr>
              <w:t>  </w:t>
            </w:r>
          </w:p>
        </w:tc>
        <w:tc>
          <w:tcPr>
            <w:tcW w:w="49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520" w:type="dxa"/>
            <w:vAlign w:val="bottom"/>
          </w:tcPr>
          <w:p>
            <w:pPr>
              <w:ind w:left="42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40" w:type="dxa"/>
            <w:vAlign w:val="bottom"/>
          </w:tcPr>
          <w:p>
            <w:pPr>
              <w:ind w:left="80"/>
              <w:spacing w:after="0"/>
              <w:rPr>
                <w:sz w:val="20"/>
                <w:szCs w:val="20"/>
                <w:color w:val="auto"/>
              </w:rPr>
            </w:pPr>
            <w:r>
              <w:rPr>
                <w:rFonts w:ascii="Arial" w:cs="Arial" w:eastAsia="Arial" w:hAnsi="Arial"/>
                <w:sz w:val="18"/>
                <w:szCs w:val="18"/>
                <w:color w:val="auto"/>
                <w:w w:val="77"/>
              </w:rPr>
              <w:t> </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w w:val="99"/>
              </w:rPr>
              <w:t>, 2024</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Jonathan Lim, M.D.</w:t>
            </w:r>
          </w:p>
        </w:tc>
        <w:tc>
          <w:tcPr>
            <w:tcW w:w="4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color w:val="auto"/>
                <w:w w:val="70"/>
              </w:rPr>
              <w:t>  </w:t>
            </w:r>
          </w:p>
        </w:tc>
        <w:tc>
          <w:tcPr>
            <w:tcW w:w="49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520" w:type="dxa"/>
            <w:vAlign w:val="bottom"/>
          </w:tcPr>
          <w:p>
            <w:pPr>
              <w:ind w:left="42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40" w:type="dxa"/>
            <w:vAlign w:val="bottom"/>
          </w:tcPr>
          <w:p>
            <w:pPr>
              <w:ind w:left="80"/>
              <w:spacing w:after="0"/>
              <w:rPr>
                <w:sz w:val="20"/>
                <w:szCs w:val="20"/>
                <w:color w:val="auto"/>
              </w:rPr>
            </w:pPr>
            <w:r>
              <w:rPr>
                <w:rFonts w:ascii="Arial" w:cs="Arial" w:eastAsia="Arial" w:hAnsi="Arial"/>
                <w:sz w:val="18"/>
                <w:szCs w:val="18"/>
                <w:color w:val="auto"/>
                <w:w w:val="77"/>
              </w:rPr>
              <w:t> </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w w:val="99"/>
              </w:rPr>
              <w:t>, 2024</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Richard Scheller, Ph.D.</w:t>
            </w:r>
          </w:p>
        </w:tc>
        <w:tc>
          <w:tcPr>
            <w:tcW w:w="4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color w:val="auto"/>
                <w:w w:val="70"/>
              </w:rPr>
              <w:t>  </w:t>
            </w:r>
          </w:p>
        </w:tc>
        <w:tc>
          <w:tcPr>
            <w:tcW w:w="49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520" w:type="dxa"/>
            <w:vAlign w:val="bottom"/>
          </w:tcPr>
          <w:p>
            <w:pPr>
              <w:ind w:left="42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40" w:type="dxa"/>
            <w:vAlign w:val="bottom"/>
          </w:tcPr>
          <w:p>
            <w:pPr>
              <w:ind w:left="80"/>
              <w:spacing w:after="0"/>
              <w:rPr>
                <w:sz w:val="20"/>
                <w:szCs w:val="20"/>
                <w:color w:val="auto"/>
              </w:rPr>
            </w:pPr>
            <w:r>
              <w:rPr>
                <w:rFonts w:ascii="Arial" w:cs="Arial" w:eastAsia="Arial" w:hAnsi="Arial"/>
                <w:sz w:val="18"/>
                <w:szCs w:val="18"/>
                <w:color w:val="auto"/>
                <w:w w:val="77"/>
              </w:rPr>
              <w:t> </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w w:val="99"/>
              </w:rPr>
              <w:t>, 2024</w:t>
            </w:r>
          </w:p>
        </w:tc>
      </w:tr>
      <w:tr>
        <w:trPr>
          <w:trHeight w:val="209"/>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Catherine Angell Sohn, Pharm. D.</w:t>
            </w:r>
          </w:p>
        </w:tc>
        <w:tc>
          <w:tcPr>
            <w:tcW w:w="4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4040" w:type="dxa"/>
            <w:vAlign w:val="bottom"/>
            <w:tcBorders>
              <w:bottom w:val="single" w:sz="8" w:color="auto"/>
            </w:tcBorders>
          </w:tcPr>
          <w:p>
            <w:pPr>
              <w:jc w:val="center"/>
              <w:ind w:left="732"/>
              <w:spacing w:after="0"/>
              <w:rPr>
                <w:sz w:val="20"/>
                <w:szCs w:val="20"/>
                <w:color w:val="auto"/>
              </w:rPr>
            </w:pPr>
            <w:r>
              <w:rPr>
                <w:rFonts w:ascii="Arial" w:cs="Arial" w:eastAsia="Arial" w:hAnsi="Arial"/>
                <w:sz w:val="16"/>
                <w:szCs w:val="16"/>
                <w:b w:val="1"/>
                <w:bCs w:val="1"/>
                <w:color w:val="auto"/>
              </w:rPr>
              <w:t>Title</w:t>
            </w:r>
          </w:p>
        </w:tc>
        <w:tc>
          <w:tcPr>
            <w:tcW w:w="1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7"/>
              </w:rPr>
              <w:t>Date</w:t>
            </w:r>
          </w:p>
        </w:tc>
        <w:tc>
          <w:tcPr>
            <w:tcW w:w="920" w:type="dxa"/>
            <w:vAlign w:val="bottom"/>
            <w:tcBorders>
              <w:bottom w:val="single" w:sz="8" w:color="auto"/>
            </w:tcBorders>
          </w:tcPr>
          <w:p>
            <w:pPr>
              <w:spacing w:after="0"/>
              <w:rPr>
                <w:sz w:val="17"/>
                <w:szCs w:val="17"/>
                <w:color w:val="auto"/>
              </w:rPr>
            </w:pPr>
          </w:p>
        </w:tc>
      </w:tr>
      <w:tr>
        <w:trPr>
          <w:trHeight w:val="399"/>
        </w:trPr>
        <w:tc>
          <w:tcPr>
            <w:tcW w:w="386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  </w:t>
            </w:r>
          </w:p>
        </w:tc>
        <w:tc>
          <w:tcPr>
            <w:tcW w:w="4040" w:type="dxa"/>
            <w:vAlign w:val="bottom"/>
          </w:tcPr>
          <w:p>
            <w:pPr>
              <w:jc w:val="center"/>
              <w:ind w:left="732"/>
              <w:spacing w:after="0"/>
              <w:rPr>
                <w:sz w:val="20"/>
                <w:szCs w:val="20"/>
                <w:color w:val="auto"/>
              </w:rPr>
            </w:pPr>
            <w:r>
              <w:rPr>
                <w:rFonts w:ascii="Arial" w:cs="Arial" w:eastAsia="Arial" w:hAnsi="Arial"/>
                <w:sz w:val="18"/>
                <w:szCs w:val="18"/>
                <w:color w:val="auto"/>
                <w:w w:val="98"/>
              </w:rPr>
              <w:t>Director</w:t>
            </w:r>
          </w:p>
        </w:tc>
        <w:tc>
          <w:tcPr>
            <w:tcW w:w="1420" w:type="dxa"/>
            <w:vAlign w:val="bottom"/>
          </w:tcPr>
          <w:p>
            <w:pPr>
              <w:ind w:left="132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40" w:type="dxa"/>
            <w:vAlign w:val="bottom"/>
          </w:tcPr>
          <w:p>
            <w:pPr>
              <w:ind w:left="80"/>
              <w:spacing w:after="0"/>
              <w:rPr>
                <w:sz w:val="20"/>
                <w:szCs w:val="20"/>
                <w:color w:val="auto"/>
              </w:rPr>
            </w:pPr>
            <w:r>
              <w:rPr>
                <w:rFonts w:ascii="Arial" w:cs="Arial" w:eastAsia="Arial" w:hAnsi="Arial"/>
                <w:sz w:val="18"/>
                <w:szCs w:val="18"/>
                <w:color w:val="auto"/>
                <w:w w:val="77"/>
              </w:rPr>
              <w:t> </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w w:val="99"/>
              </w:rPr>
              <w:t>, 2024</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Daniel Spiegelman</w:t>
            </w:r>
          </w:p>
        </w:tc>
        <w:tc>
          <w:tcPr>
            <w:tcW w:w="4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  </w:t>
            </w:r>
          </w:p>
        </w:tc>
        <w:tc>
          <w:tcPr>
            <w:tcW w:w="4040" w:type="dxa"/>
            <w:vAlign w:val="bottom"/>
          </w:tcPr>
          <w:p>
            <w:pPr>
              <w:jc w:val="center"/>
              <w:ind w:left="732"/>
              <w:spacing w:after="0"/>
              <w:rPr>
                <w:sz w:val="20"/>
                <w:szCs w:val="20"/>
                <w:color w:val="auto"/>
              </w:rPr>
            </w:pPr>
            <w:r>
              <w:rPr>
                <w:rFonts w:ascii="Arial" w:cs="Arial" w:eastAsia="Arial" w:hAnsi="Arial"/>
                <w:sz w:val="18"/>
                <w:szCs w:val="18"/>
                <w:color w:val="auto"/>
                <w:w w:val="98"/>
              </w:rPr>
              <w:t>Director</w:t>
            </w:r>
          </w:p>
        </w:tc>
        <w:tc>
          <w:tcPr>
            <w:tcW w:w="1420" w:type="dxa"/>
            <w:vAlign w:val="bottom"/>
          </w:tcPr>
          <w:p>
            <w:pPr>
              <w:ind w:left="132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40" w:type="dxa"/>
            <w:vAlign w:val="bottom"/>
          </w:tcPr>
          <w:p>
            <w:pPr>
              <w:ind w:left="80"/>
              <w:spacing w:after="0"/>
              <w:rPr>
                <w:sz w:val="20"/>
                <w:szCs w:val="20"/>
                <w:color w:val="auto"/>
              </w:rPr>
            </w:pPr>
            <w:r>
              <w:rPr>
                <w:rFonts w:ascii="Arial" w:cs="Arial" w:eastAsia="Arial" w:hAnsi="Arial"/>
                <w:sz w:val="18"/>
                <w:szCs w:val="18"/>
                <w:color w:val="auto"/>
                <w:w w:val="77"/>
              </w:rPr>
              <w:t> </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w w:val="99"/>
              </w:rPr>
              <w:t>, 2024</w:t>
            </w:r>
          </w:p>
        </w:tc>
      </w:tr>
      <w:tr>
        <w:trPr>
          <w:trHeight w:val="232"/>
        </w:trPr>
        <w:tc>
          <w:tcPr>
            <w:tcW w:w="3860" w:type="dxa"/>
            <w:vAlign w:val="bottom"/>
          </w:tcPr>
          <w:p>
            <w:pPr>
              <w:jc w:val="center"/>
              <w:spacing w:after="0"/>
              <w:rPr>
                <w:sz w:val="20"/>
                <w:szCs w:val="20"/>
                <w:color w:val="auto"/>
              </w:rPr>
            </w:pPr>
            <w:r>
              <w:rPr>
                <w:rFonts w:ascii="Arial" w:cs="Arial" w:eastAsia="Arial" w:hAnsi="Arial"/>
                <w:sz w:val="18"/>
                <w:szCs w:val="18"/>
                <w:color w:val="auto"/>
                <w:w w:val="99"/>
              </w:rPr>
              <w:t>Jeffrey Tong, Ph.D.</w:t>
            </w:r>
          </w:p>
        </w:tc>
        <w:tc>
          <w:tcPr>
            <w:tcW w:w="4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6"/>
        </w:trPr>
        <w:tc>
          <w:tcPr>
            <w:tcW w:w="386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  </w:t>
            </w:r>
          </w:p>
        </w:tc>
        <w:tc>
          <w:tcPr>
            <w:tcW w:w="4040" w:type="dxa"/>
            <w:vAlign w:val="bottom"/>
          </w:tcPr>
          <w:p>
            <w:pPr>
              <w:jc w:val="center"/>
              <w:ind w:left="732"/>
              <w:spacing w:after="0"/>
              <w:rPr>
                <w:sz w:val="20"/>
                <w:szCs w:val="20"/>
                <w:color w:val="auto"/>
              </w:rPr>
            </w:pPr>
            <w:r>
              <w:rPr>
                <w:rFonts w:ascii="Arial" w:cs="Arial" w:eastAsia="Arial" w:hAnsi="Arial"/>
                <w:sz w:val="18"/>
                <w:szCs w:val="18"/>
                <w:color w:val="auto"/>
                <w:w w:val="98"/>
              </w:rPr>
              <w:t>Director</w:t>
            </w:r>
          </w:p>
        </w:tc>
        <w:tc>
          <w:tcPr>
            <w:tcW w:w="1420" w:type="dxa"/>
            <w:vAlign w:val="bottom"/>
          </w:tcPr>
          <w:p>
            <w:pPr>
              <w:ind w:left="132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tcPr>
          <w:p>
            <w:pPr>
              <w:ind w:left="80"/>
              <w:spacing w:after="0"/>
              <w:rPr>
                <w:sz w:val="20"/>
                <w:szCs w:val="20"/>
                <w:color w:val="auto"/>
              </w:rPr>
            </w:pPr>
            <w:r>
              <w:rPr>
                <w:rFonts w:ascii="Arial" w:cs="Arial" w:eastAsia="Arial" w:hAnsi="Arial"/>
                <w:sz w:val="11"/>
                <w:szCs w:val="11"/>
                <w:color w:val="auto"/>
                <w:w w:val="72"/>
              </w:rPr>
              <w:t> </w:t>
            </w:r>
          </w:p>
        </w:tc>
        <w:tc>
          <w:tcPr>
            <w:tcW w:w="240" w:type="dxa"/>
            <w:vAlign w:val="bottom"/>
          </w:tcPr>
          <w:p>
            <w:pPr>
              <w:ind w:left="80"/>
              <w:spacing w:after="0"/>
              <w:rPr>
                <w:sz w:val="20"/>
                <w:szCs w:val="20"/>
                <w:color w:val="auto"/>
              </w:rPr>
            </w:pPr>
            <w:r>
              <w:rPr>
                <w:rFonts w:ascii="Arial" w:cs="Arial" w:eastAsia="Arial" w:hAnsi="Arial"/>
                <w:sz w:val="18"/>
                <w:szCs w:val="18"/>
                <w:color w:val="auto"/>
                <w:w w:val="77"/>
              </w:rPr>
              <w:t> </w:t>
            </w:r>
          </w:p>
        </w:tc>
        <w:tc>
          <w:tcPr>
            <w:tcW w:w="920" w:type="dxa"/>
            <w:vAlign w:val="bottom"/>
          </w:tcPr>
          <w:p>
            <w:pPr>
              <w:jc w:val="right"/>
              <w:ind w:right="310"/>
              <w:spacing w:after="0"/>
              <w:rPr>
                <w:sz w:val="20"/>
                <w:szCs w:val="20"/>
                <w:color w:val="auto"/>
              </w:rPr>
            </w:pPr>
            <w:r>
              <w:rPr>
                <w:rFonts w:ascii="Arial" w:cs="Arial" w:eastAsia="Arial" w:hAnsi="Arial"/>
                <w:sz w:val="18"/>
                <w:szCs w:val="18"/>
                <w:color w:val="auto"/>
                <w:w w:val="99"/>
              </w:rPr>
              <w:t>, 2024</w:t>
            </w:r>
          </w:p>
        </w:tc>
      </w:tr>
      <w:tr>
        <w:trPr>
          <w:trHeight w:val="209"/>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Andy Tran</w:t>
            </w:r>
          </w:p>
        </w:tc>
        <w:tc>
          <w:tcPr>
            <w:tcW w:w="40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140"/>
          </w:cols>
          <w:pgMar w:left="320" w:top="455" w:right="4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Maze Therapeutics, Inc.,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21" w:lineRule="exact"/>
        <w:rPr>
          <w:sz w:val="20"/>
          <w:szCs w:val="20"/>
          <w:color w:val="auto"/>
        </w:rPr>
      </w:pPr>
    </w:p>
    <w:p>
      <w:pPr>
        <w:jc w:val="both"/>
        <w:ind w:right="420" w:firstLine="436"/>
        <w:spacing w:after="0" w:line="266" w:lineRule="auto"/>
        <w:tabs>
          <w:tab w:leader="none" w:pos="6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name of this corporation is Maze Therapeutics, Inc., and that this corporation was originally incorporated pursuant to the General Corporation Law on August 29, 2017 under the name Genetic Modifiers NewCo, Inc. The name of this corporation was changed on July 5, 2018 to Modulus Therapeutics, Inc. The name of this corporation was changed on September 25, 2018 to Maze Therapeutics, Inc.</w:t>
      </w:r>
    </w:p>
    <w:p>
      <w:pPr>
        <w:spacing w:after="0" w:line="67" w:lineRule="exact"/>
        <w:rPr>
          <w:rFonts w:ascii="Times New Roman" w:cs="Times New Roman" w:eastAsia="Times New Roman" w:hAnsi="Times New Roman"/>
          <w:sz w:val="18"/>
          <w:szCs w:val="18"/>
          <w:color w:val="auto"/>
        </w:rPr>
      </w:pPr>
    </w:p>
    <w:p>
      <w:pPr>
        <w:ind w:right="40" w:firstLine="436"/>
        <w:spacing w:after="0" w:line="261" w:lineRule="auto"/>
        <w:tabs>
          <w:tab w:leader="none" w:pos="6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duly adopted resolutions proposing to amend and restate the Certificate of Incorporation of this corporation, as amended,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Certificate of Incorporation of this corporation, as amended, be amended and restated in its entirety to read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of this corporation shall be: Maze Therapeutics,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address of the registered office of the Corporation in the State of Delaware is Corporation Trust Center, 1209 Orange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Street, in the City of Wilmington, New Castle County, Delaware 19801. The name of its registered agent at such address is The Corporation Trust Company.</w:t>
      </w:r>
    </w:p>
    <w:p>
      <w:pPr>
        <w:spacing w:after="0" w:line="171" w:lineRule="exact"/>
        <w:rPr>
          <w:sz w:val="20"/>
          <w:szCs w:val="20"/>
          <w:color w:val="auto"/>
        </w:rPr>
      </w:pPr>
    </w:p>
    <w:p>
      <w:pPr>
        <w:ind w:right="8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nature of the business or purposes to be conducted or promoted is to engage in any lawful act or activity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corporations may be organized under the General Corporation Law.</w:t>
      </w:r>
    </w:p>
    <w:p>
      <w:pPr>
        <w:spacing w:after="0" w:line="155" w:lineRule="exact"/>
        <w:rPr>
          <w:sz w:val="20"/>
          <w:szCs w:val="20"/>
          <w:color w:val="auto"/>
        </w:rPr>
      </w:pPr>
    </w:p>
    <w:p>
      <w:pPr>
        <w:jc w:val="both"/>
        <w:ind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(i) The total number of shares of all classes of stock which the Corporation shall have authority to issue is 257,000,000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202,881,860 shares of Preferred Stock, $0.001 par value per share (“</w:t>
      </w:r>
      <w:r>
        <w:rPr>
          <w:rFonts w:ascii="Times New Roman" w:cs="Times New Roman" w:eastAsia="Times New Roman" w:hAnsi="Times New Roman"/>
          <w:sz w:val="18"/>
          <w:szCs w:val="18"/>
          <w:b w:val="1"/>
          <w:b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249" w:name="page250"/>
    <w:bookmarkEnd w:id="249"/>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is a statement of the designations and the powers, privileges and rights, and the qualifications, limitations or restrictions thereof in respect of each class of capital stock of the Corporation.</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COMMON STOCK</w:t>
      </w:r>
    </w:p>
    <w:p>
      <w:pPr>
        <w:spacing w:after="0" w:line="117" w:lineRule="exact"/>
        <w:rPr>
          <w:sz w:val="20"/>
          <w:szCs w:val="20"/>
          <w:color w:val="auto"/>
        </w:rPr>
      </w:pPr>
    </w:p>
    <w:p>
      <w:pPr>
        <w:ind w:left="4" w:right="120" w:firstLine="436"/>
        <w:spacing w:after="0" w:line="282" w:lineRule="auto"/>
        <w:tabs>
          <w:tab w:leader="none" w:pos="62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53"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624"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The holders of the Common Stock are entitled to one vote for each share of Common Stock held at all meetings of stockholders (and written actions in lieu of meetings);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the Corporation’s Certificate of Incorporation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296" w:lineRule="exact"/>
        <w:rPr>
          <w:rFonts w:ascii="Times New Roman" w:cs="Times New Roman" w:eastAsia="Times New Roman" w:hAnsi="Times New Roman"/>
          <w:sz w:val="18"/>
          <w:szCs w:val="18"/>
          <w:color w:val="auto"/>
        </w:rPr>
      </w:pPr>
    </w:p>
    <w:p>
      <w:pPr>
        <w:ind w:left="204" w:hanging="204"/>
        <w:spacing w:after="0"/>
        <w:tabs>
          <w:tab w:leader="none" w:pos="20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17"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Preferred Stock may be issued from time to time in one or more series, each of such series to consist of such number of shares and to have such terms, rights, powers and preferences, and the qualifications and limitations with respect thereto, as stated or expressed herein.</w:t>
      </w:r>
    </w:p>
    <w:p>
      <w:pPr>
        <w:spacing w:after="0" w:line="158"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104,985,132 shares of the authorized and unissued Preferred Stock of the Corporation are hereby designated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with the following rights, preferences, powers, privileges and restrictions, qualifications and limitations. 57,563,188 shares of the authorized and unissued Preferred Stock of the Corporation are hereby designated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with the following rights, preferences, powers, privileges and restrictions, qualifications and limitations. 40,333,540 shares of the authorized and unissued Preferred Stock of the Corporation are hereby designated “</w:t>
      </w:r>
      <w:r>
        <w:rPr>
          <w:rFonts w:ascii="Times New Roman" w:cs="Times New Roman" w:eastAsia="Times New Roman" w:hAnsi="Times New Roman"/>
          <w:sz w:val="18"/>
          <w:szCs w:val="18"/>
          <w:b w:val="1"/>
          <w:bCs w:val="1"/>
          <w:color w:val="auto"/>
        </w:rPr>
        <w:t>Series C Preferred Stock</w:t>
      </w:r>
      <w:r>
        <w:rPr>
          <w:rFonts w:ascii="Times New Roman" w:cs="Times New Roman" w:eastAsia="Times New Roman" w:hAnsi="Times New Roman"/>
          <w:sz w:val="18"/>
          <w:szCs w:val="18"/>
          <w:color w:val="auto"/>
        </w:rPr>
        <w:t>” with the following rights, preferences, powers, privileges and restrictions, qualifications and limitations. Unless otherwise indicated, references to “Sections” and “Subsections” in this Part B of this Article Fourth refer to sections and subsections of Part B of this Article Fourth.</w:t>
      </w:r>
    </w:p>
    <w:p>
      <w:pPr>
        <w:spacing w:after="0" w:line="187" w:lineRule="exact"/>
        <w:rPr>
          <w:sz w:val="20"/>
          <w:szCs w:val="20"/>
          <w:color w:val="auto"/>
        </w:rPr>
      </w:pPr>
    </w:p>
    <w:p>
      <w:pPr>
        <w:ind w:left="4" w:firstLine="436"/>
        <w:spacing w:after="0" w:line="261" w:lineRule="auto"/>
        <w:tabs>
          <w:tab w:leader="none" w:pos="6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Preferred Stock then outstanding shall first receive, or simultaneously receive, a dividend on each</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50" w:name="page251"/>
    <w:bookmarkEnd w:id="250"/>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per share of such 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(as defined below); provided that, if the Corporation declares, pays or sets aside, on the same date, a dividend on shares of more than one class or series of capital stock of the Corporation, the dividend payable to the holders of Preferred Stock pursuant to this Section 1 shall be calculated based upon the dividend on the class or series of capital stock that would result in the highest Preferred Stock dividend. The “</w:t>
      </w:r>
      <w:r>
        <w:rPr>
          <w:rFonts w:ascii="Times New Roman" w:cs="Times New Roman" w:eastAsia="Times New Roman" w:hAnsi="Times New Roman"/>
          <w:sz w:val="17"/>
          <w:szCs w:val="17"/>
          <w:b w:val="1"/>
          <w:bCs w:val="1"/>
          <w:color w:val="auto"/>
        </w:rPr>
        <w:t>Series A Original Issue Price</w:t>
      </w:r>
      <w:r>
        <w:rPr>
          <w:rFonts w:ascii="Times New Roman" w:cs="Times New Roman" w:eastAsia="Times New Roman" w:hAnsi="Times New Roman"/>
          <w:sz w:val="17"/>
          <w:szCs w:val="17"/>
          <w:color w:val="auto"/>
        </w:rPr>
        <w:t>” shall mean $1.00 per share, subject to appropriate adjustment in the event of any stock dividend, stock split, combination or other similar recapitalization with respect to the Series A Preferred Stock. The “</w:t>
      </w:r>
      <w:r>
        <w:rPr>
          <w:rFonts w:ascii="Times New Roman" w:cs="Times New Roman" w:eastAsia="Times New Roman" w:hAnsi="Times New Roman"/>
          <w:sz w:val="17"/>
          <w:szCs w:val="17"/>
          <w:b w:val="1"/>
          <w:bCs w:val="1"/>
          <w:color w:val="auto"/>
        </w:rPr>
        <w:t>Series B Original Issue Price</w:t>
      </w:r>
      <w:r>
        <w:rPr>
          <w:rFonts w:ascii="Times New Roman" w:cs="Times New Roman" w:eastAsia="Times New Roman" w:hAnsi="Times New Roman"/>
          <w:sz w:val="17"/>
          <w:szCs w:val="17"/>
          <w:color w:val="auto"/>
        </w:rPr>
        <w:t>” shall mean $2.75 per share, subject to appropriate adjustment in the event of any stock dividend, stock split, combination or other similar recapitalization with respect to the Series B Preferred Stock. The “</w:t>
      </w:r>
      <w:r>
        <w:rPr>
          <w:rFonts w:ascii="Times New Roman" w:cs="Times New Roman" w:eastAsia="Times New Roman" w:hAnsi="Times New Roman"/>
          <w:sz w:val="17"/>
          <w:szCs w:val="17"/>
          <w:b w:val="1"/>
          <w:bCs w:val="1"/>
          <w:color w:val="auto"/>
        </w:rPr>
        <w:t>Series C Original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Issue Price</w:t>
      </w:r>
      <w:r>
        <w:rPr>
          <w:rFonts w:ascii="Times New Roman" w:cs="Times New Roman" w:eastAsia="Times New Roman" w:hAnsi="Times New Roman"/>
          <w:sz w:val="17"/>
          <w:szCs w:val="17"/>
          <w:color w:val="auto"/>
        </w:rPr>
        <w:t>” shall mean $2.9515 per share, subject to appropriate adjustment in the event of any stock dividend, stock split, combination or other similar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recapitalization with respect to the Series C Preferred Stock. The Series A Original Issue Price, Series B Original Issue Price and Series C Original Issue Price shall each be referred to as an “</w:t>
      </w:r>
      <w:r>
        <w:rPr>
          <w:rFonts w:ascii="Times New Roman" w:cs="Times New Roman" w:eastAsia="Times New Roman" w:hAnsi="Times New Roman"/>
          <w:sz w:val="17"/>
          <w:szCs w:val="17"/>
          <w:b w:val="1"/>
          <w:bCs w:val="1"/>
          <w:color w:val="auto"/>
        </w:rPr>
        <w:t>Original Issue Price</w:t>
      </w:r>
      <w:r>
        <w:rPr>
          <w:rFonts w:ascii="Times New Roman" w:cs="Times New Roman" w:eastAsia="Times New Roman" w:hAnsi="Times New Roman"/>
          <w:sz w:val="17"/>
          <w:szCs w:val="17"/>
          <w:color w:val="auto"/>
        </w:rPr>
        <w:t>” with respect to the applicable series of Preferred Stock.</w:t>
      </w:r>
    </w:p>
    <w:p>
      <w:pPr>
        <w:spacing w:after="0" w:line="395" w:lineRule="exact"/>
        <w:rPr>
          <w:sz w:val="20"/>
          <w:szCs w:val="20"/>
          <w:color w:val="auto"/>
        </w:rPr>
      </w:pPr>
    </w:p>
    <w:p>
      <w:pPr>
        <w:ind w:left="620" w:hanging="184"/>
        <w:spacing w:after="0"/>
        <w:tabs>
          <w:tab w:leader="none" w:pos="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 Certain Mergers, Consolidations and Asset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Preferential Payments to Holders of Preferred Stock</w:t>
      </w:r>
      <w:r>
        <w:rPr>
          <w:rFonts w:ascii="Times New Roman" w:cs="Times New Roman" w:eastAsia="Times New Roman" w:hAnsi="Times New Roman"/>
          <w:sz w:val="18"/>
          <w:szCs w:val="18"/>
          <w:color w:val="auto"/>
        </w:rPr>
        <w:t xml:space="preserve">. In the event of any voluntary or involuntary liquidation, dissolution or winding up of the Corporation or Deemed Liquidation Event (as defined below), the holders of shares of Preferred Stock then outstanding shall be entitled, on a pari passu basis, to be paid out of the assets of the Corporation available for distribution to its stockholders before any payment shall be made to the holders of Common Stock by reason of their ownership thereof, an amount per share equal to the greater of (i) the applicable Original Issue Price, plus any dividends declared but unpaid thereon, or (ii) such amount per share as would have been payable had all shares of such series of Preferred Stock been converted into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or winding up of the Corporation or Deemed Liquidation Event.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51" w:name="page252"/>
    <w:bookmarkEnd w:id="251"/>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such shares were paid in full. The amount which a holder of a share of Series A Preferred Stock is entitled to receive under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is hereinafter referred to as the “</w:t>
      </w:r>
      <w:r>
        <w:rPr>
          <w:rFonts w:ascii="Times New Roman" w:cs="Times New Roman" w:eastAsia="Times New Roman" w:hAnsi="Times New Roman"/>
          <w:sz w:val="18"/>
          <w:szCs w:val="18"/>
          <w:b w:val="1"/>
          <w:bCs w:val="1"/>
          <w:color w:val="auto"/>
        </w:rPr>
        <w:t>Series A Liquidation Amount</w:t>
      </w:r>
      <w:r>
        <w:rPr>
          <w:rFonts w:ascii="Times New Roman" w:cs="Times New Roman" w:eastAsia="Times New Roman" w:hAnsi="Times New Roman"/>
          <w:sz w:val="18"/>
          <w:szCs w:val="18"/>
          <w:color w:val="auto"/>
        </w:rPr>
        <w:t xml:space="preserve">.” The amount which a holder of a share of Series B Preferred Stock is entitled to receive under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is hereinafter referred to as the “</w:t>
      </w:r>
      <w:r>
        <w:rPr>
          <w:rFonts w:ascii="Times New Roman" w:cs="Times New Roman" w:eastAsia="Times New Roman" w:hAnsi="Times New Roman"/>
          <w:sz w:val="18"/>
          <w:szCs w:val="18"/>
          <w:b w:val="1"/>
          <w:bCs w:val="1"/>
          <w:color w:val="auto"/>
        </w:rPr>
        <w:t>Series B Liquidation Amount</w:t>
      </w:r>
      <w:r>
        <w:rPr>
          <w:rFonts w:ascii="Times New Roman" w:cs="Times New Roman" w:eastAsia="Times New Roman" w:hAnsi="Times New Roman"/>
          <w:sz w:val="18"/>
          <w:szCs w:val="18"/>
          <w:color w:val="auto"/>
        </w:rPr>
        <w:t xml:space="preserve">.” The amount which a holder of a share of Series C Preferred Stock is entitled to receive under this </w:t>
      </w:r>
      <w:r>
        <w:rPr>
          <w:rFonts w:ascii="Times New Roman" w:cs="Times New Roman" w:eastAsia="Times New Roman" w:hAnsi="Times New Roman"/>
          <w:sz w:val="18"/>
          <w:szCs w:val="18"/>
          <w:u w:val="single" w:color="auto"/>
          <w:color w:val="auto"/>
        </w:rPr>
        <w:t>Subsection 2.1</w:t>
      </w:r>
      <w:r>
        <w:rPr>
          <w:rFonts w:ascii="Times New Roman" w:cs="Times New Roman" w:eastAsia="Times New Roman" w:hAnsi="Times New Roman"/>
          <w:sz w:val="18"/>
          <w:szCs w:val="18"/>
          <w:color w:val="auto"/>
        </w:rPr>
        <w:t xml:space="preserve"> is hereinafter referred to as the “</w:t>
      </w:r>
      <w:r>
        <w:rPr>
          <w:rFonts w:ascii="Times New Roman" w:cs="Times New Roman" w:eastAsia="Times New Roman" w:hAnsi="Times New Roman"/>
          <w:sz w:val="18"/>
          <w:szCs w:val="18"/>
          <w:b w:val="1"/>
          <w:bCs w:val="1"/>
          <w:color w:val="auto"/>
        </w:rPr>
        <w:t>Series C Liquidation Amount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Distribution of Remaining Assets</w:t>
      </w:r>
      <w:r>
        <w:rPr>
          <w:rFonts w:ascii="Times New Roman" w:cs="Times New Roman" w:eastAsia="Times New Roman" w:hAnsi="Times New Roman"/>
          <w:sz w:val="18"/>
          <w:szCs w:val="18"/>
          <w:color w:val="auto"/>
        </w:rPr>
        <w:t>.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shall be distributed among the holders of the shares of Common Stock, pro rata based on the number of shares held by each such holder.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Deemed Liquidation Events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60" w:firstLine="1432"/>
        <w:spacing w:after="0" w:line="268"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Each of the following events shall be considered a “</w:t>
      </w:r>
      <w:r>
        <w:rPr>
          <w:rFonts w:ascii="Times New Roman" w:cs="Times New Roman" w:eastAsia="Times New Roman" w:hAnsi="Times New Roman"/>
          <w:sz w:val="18"/>
          <w:szCs w:val="18"/>
          <w:b w:val="1"/>
          <w:bCs w:val="1"/>
          <w:color w:val="auto"/>
        </w:rPr>
        <w:t>Deemed Liquidation Event</w:t>
      </w:r>
      <w:r>
        <w:rPr>
          <w:rFonts w:ascii="Times New Roman" w:cs="Times New Roman" w:eastAsia="Times New Roman" w:hAnsi="Times New Roman"/>
          <w:sz w:val="18"/>
          <w:szCs w:val="18"/>
          <w:color w:val="auto"/>
        </w:rPr>
        <w:t>” unless the holders of at least a majority of the then outstanding shares of Preferred Stock, voting or consenting together as a separate, exclusive class (the “</w:t>
      </w:r>
      <w:r>
        <w:rPr>
          <w:rFonts w:ascii="Times New Roman" w:cs="Times New Roman" w:eastAsia="Times New Roman" w:hAnsi="Times New Roman"/>
          <w:sz w:val="18"/>
          <w:szCs w:val="18"/>
          <w:b w:val="1"/>
          <w:bCs w:val="1"/>
          <w:color w:val="auto"/>
        </w:rPr>
        <w:t>Required Vote</w:t>
      </w:r>
      <w:r>
        <w:rPr>
          <w:rFonts w:ascii="Times New Roman" w:cs="Times New Roman" w:eastAsia="Times New Roman" w:hAnsi="Times New Roman"/>
          <w:sz w:val="18"/>
          <w:szCs w:val="18"/>
          <w:color w:val="auto"/>
        </w:rPr>
        <w:t>”), elect otherwise by written notice sent to the Corporation at least ten (10) days prior to the effective date of any such event:</w:t>
      </w:r>
    </w:p>
    <w:p>
      <w:pPr>
        <w:spacing w:after="0" w:line="175" w:lineRule="exact"/>
        <w:rPr>
          <w:sz w:val="20"/>
          <w:szCs w:val="20"/>
          <w:color w:val="auto"/>
        </w:rPr>
      </w:pPr>
    </w:p>
    <w:p>
      <w:pPr>
        <w:ind w:left="2220" w:hanging="241"/>
        <w:spacing w:after="0"/>
        <w:tabs>
          <w:tab w:leader="none" w:pos="22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w:t>
      </w:r>
    </w:p>
    <w:p>
      <w:pPr>
        <w:spacing w:after="0" w:line="117" w:lineRule="exact"/>
        <w:rPr>
          <w:rFonts w:ascii="Times New Roman" w:cs="Times New Roman" w:eastAsia="Times New Roman" w:hAnsi="Times New Roman"/>
          <w:sz w:val="18"/>
          <w:szCs w:val="18"/>
          <w:color w:val="auto"/>
        </w:rPr>
      </w:pPr>
    </w:p>
    <w:p>
      <w:pPr>
        <w:ind w:left="2560" w:hanging="220"/>
        <w:spacing w:after="0"/>
        <w:tabs>
          <w:tab w:leader="none" w:pos="25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a constituent party or</w:t>
      </w:r>
    </w:p>
    <w:p>
      <w:pPr>
        <w:spacing w:after="0" w:line="117" w:lineRule="exact"/>
        <w:rPr>
          <w:rFonts w:ascii="Times New Roman" w:cs="Times New Roman" w:eastAsia="Times New Roman" w:hAnsi="Times New Roman"/>
          <w:sz w:val="18"/>
          <w:szCs w:val="18"/>
          <w:color w:val="auto"/>
        </w:rPr>
      </w:pPr>
    </w:p>
    <w:p>
      <w:pPr>
        <w:ind w:left="440" w:right="40" w:firstLine="1900"/>
        <w:spacing w:after="0" w:line="256" w:lineRule="auto"/>
        <w:tabs>
          <w:tab w:leader="none" w:pos="2608"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of the Corporation is a constituent party and the Corporation issues shares of its capital stock pursuant to such merger or consolidation, 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87" w:lineRule="exact"/>
        <w:rPr>
          <w:rFonts w:ascii="Times New Roman" w:cs="Times New Roman" w:eastAsia="Times New Roman" w:hAnsi="Times New Roman"/>
          <w:sz w:val="18"/>
          <w:szCs w:val="18"/>
          <w:color w:val="auto"/>
        </w:rPr>
      </w:pPr>
    </w:p>
    <w:p>
      <w:pPr>
        <w:ind w:firstLine="1979"/>
        <w:spacing w:after="0" w:line="277" w:lineRule="auto"/>
        <w:tabs>
          <w:tab w:leader="none" w:pos="2238"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70" w:right="539" w:bottom="1440" w:gutter="0" w:footer="0" w:header="0"/>
        </w:sectPr>
      </w:pPr>
    </w:p>
    <w:bookmarkStart w:id="252" w:name="page253"/>
    <w:bookmarkEnd w:id="252"/>
    <w:p>
      <w:pPr>
        <w:ind w:left="1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2.3.2 </w:t>
      </w:r>
      <w:r>
        <w:rPr>
          <w:rFonts w:ascii="Times New Roman" w:cs="Times New Roman" w:eastAsia="Times New Roman" w:hAnsi="Times New Roman"/>
          <w:sz w:val="18"/>
          <w:szCs w:val="18"/>
          <w:u w:val="single" w:color="auto"/>
          <w:color w:val="auto"/>
        </w:rPr>
        <w:t>Effecting a Deemed Liquidation Event;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1979"/>
        <w:spacing w:after="0" w:line="261" w:lineRule="auto"/>
        <w:tabs>
          <w:tab w:leader="none" w:pos="223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not have the power to effect a Deemed Liquidation Event referred to in </w:t>
      </w:r>
      <w:r>
        <w:rPr>
          <w:rFonts w:ascii="Times New Roman" w:cs="Times New Roman" w:eastAsia="Times New Roman" w:hAnsi="Times New Roman"/>
          <w:sz w:val="18"/>
          <w:szCs w:val="18"/>
          <w:u w:val="single" w:color="auto"/>
          <w:color w:val="auto"/>
        </w:rPr>
        <w:t>Subsection 2.3.1(a)(i)</w:t>
      </w:r>
      <w:r>
        <w:rPr>
          <w:rFonts w:ascii="Times New Roman" w:cs="Times New Roman" w:eastAsia="Times New Roman" w:hAnsi="Times New Roman"/>
          <w:sz w:val="18"/>
          <w:szCs w:val="18"/>
          <w:color w:val="auto"/>
        </w:rPr>
        <w:t xml:space="preserve"> above unless the agreement or plan of merger or consolidation for such transaction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xml:space="preserve">”) provides that the consideration payable to the stockholders of the Corporation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above.</w:t>
      </w:r>
    </w:p>
    <w:p>
      <w:pPr>
        <w:spacing w:after="0" w:line="179" w:lineRule="exact"/>
        <w:rPr>
          <w:rFonts w:ascii="Times New Roman" w:cs="Times New Roman" w:eastAsia="Times New Roman" w:hAnsi="Times New Roman"/>
          <w:sz w:val="18"/>
          <w:szCs w:val="18"/>
          <w:color w:val="auto"/>
        </w:rPr>
      </w:pPr>
    </w:p>
    <w:p>
      <w:pPr>
        <w:ind w:left="4" w:right="100" w:firstLine="1979"/>
        <w:spacing w:after="0" w:line="276" w:lineRule="auto"/>
        <w:tabs>
          <w:tab w:leader="none" w:pos="2242"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 Deemed Liquidation Event referred to in </w:t>
      </w:r>
      <w:r>
        <w:rPr>
          <w:rFonts w:ascii="Times New Roman" w:cs="Times New Roman" w:eastAsia="Times New Roman" w:hAnsi="Times New Roman"/>
          <w:sz w:val="17"/>
          <w:szCs w:val="17"/>
          <w:u w:val="single" w:color="auto"/>
          <w:color w:val="auto"/>
        </w:rPr>
        <w:t>Subsection 2.3.1(a)(ii)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2.3.1(b)</w:t>
      </w:r>
      <w:r>
        <w:rPr>
          <w:rFonts w:ascii="Times New Roman" w:cs="Times New Roman" w:eastAsia="Times New Roman" w:hAnsi="Times New Roman"/>
          <w:sz w:val="17"/>
          <w:szCs w:val="17"/>
          <w:color w:val="auto"/>
        </w:rPr>
        <w:t xml:space="preserve"> above, if the Corporation does not effect a dissolution of the Corporation under the General Corporation Law within ninety (90) days after such Deemed Liquidation Event, then</w:t>
      </w:r>
    </w:p>
    <w:p>
      <w:pPr>
        <w:ind w:left="4" w:hanging="4"/>
        <w:spacing w:after="0" w:line="253" w:lineRule="auto"/>
        <w:tabs>
          <w:tab w:leader="none" w:pos="219"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send a written notice to each holder of Preferred Stock no later than the ninetieth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after the Deemed Liquidation Event advising such holders of their right (and the requirements to be met to secure such right) pursuant to the terms of the following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to require the redemption of such shares of Preferred Stock, and (ii) if the holders representing the Required Vote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(the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(together with any other assets of the Corporation available for distribution to its stockholders as determined in good faith by the Board of Directors, the “</w:t>
      </w:r>
      <w:r>
        <w:rPr>
          <w:rFonts w:ascii="Times New Roman" w:cs="Times New Roman" w:eastAsia="Times New Roman" w:hAnsi="Times New Roman"/>
          <w:sz w:val="17"/>
          <w:szCs w:val="17"/>
          <w:b w:val="1"/>
          <w:bCs w:val="1"/>
          <w:color w:val="auto"/>
        </w:rPr>
        <w:t>Net Proceeds</w:t>
      </w:r>
      <w:r>
        <w:rPr>
          <w:rFonts w:ascii="Times New Roman" w:cs="Times New Roman" w:eastAsia="Times New Roman" w:hAnsi="Times New Roman"/>
          <w:sz w:val="17"/>
          <w:szCs w:val="17"/>
          <w:color w:val="auto"/>
        </w:rPr>
        <w:t>”)), all to the extent permitted by Delaware law governing distributions to stockholders, on the one hundred fiftieth (150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after such Deemed Liquidation Event, to redeem, on a pari passu basis, all outstanding shares of Series A Preferred Stock at a price per share equal to the Series A Liquidation Amount, all outstanding shares of Series B Preferred Stock at a price per share equal to the Series B Liquidation Amount and all outstanding shares of Series C Preferred Stock at a price per share equal to the Series C Liquidation Amount. Notwithstanding the foregoing, in the event of a redemption pursuant to the preceding sentence, if the Net Proceeds are not sufficient to redeem all outstanding shares of Preferred Stock, or if the Corporation does not have sufficient lawfully available funds to effect such redemption, the Corporation shall ratably redeem, on a pari passu basis, each holder’s shares of Series A Preferred Stock (in proportion to such share’s respective Series A Liquidation Amount),Series B Preferred Stock (in proportion to such share’s respective Series B Liquidation Amount) and Series C Preferred Stock (in proportion to such share’s respective Series C Liquidation Amount) to the fullest extent of such Net Proceeds or such lawfully available funds, as the case may be, and shall redeem the remaining shares as soon as it may lawfully do so under Delaware law governing distributions to stockholders. The provisions of </w:t>
      </w:r>
      <w:r>
        <w:rPr>
          <w:rFonts w:ascii="Times New Roman" w:cs="Times New Roman" w:eastAsia="Times New Roman" w:hAnsi="Times New Roman"/>
          <w:sz w:val="17"/>
          <w:szCs w:val="17"/>
          <w:u w:val="single" w:color="auto"/>
          <w:color w:val="auto"/>
        </w:rPr>
        <w:t>Subsections 2.3.2(c)(i)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2.3.2(c)(iv)</w:t>
      </w:r>
      <w:r>
        <w:rPr>
          <w:rFonts w:ascii="Times New Roman" w:cs="Times New Roman" w:eastAsia="Times New Roman" w:hAnsi="Times New Roman"/>
          <w:sz w:val="17"/>
          <w:szCs w:val="17"/>
          <w:color w:val="auto"/>
        </w:rPr>
        <w:t xml:space="preserve"> below shall apply, with such necessary changes in the details thereof as are necessitated by the context, to the redemption of the Preferred Stock pursuant to this </w:t>
      </w:r>
      <w:r>
        <w:rPr>
          <w:rFonts w:ascii="Times New Roman" w:cs="Times New Roman" w:eastAsia="Times New Roman" w:hAnsi="Times New Roman"/>
          <w:sz w:val="17"/>
          <w:szCs w:val="17"/>
          <w:u w:val="single" w:color="auto"/>
          <w:color w:val="auto"/>
        </w:rPr>
        <w:t>Subsection 2.3.2(b)</w:t>
      </w:r>
      <w:r>
        <w:rPr>
          <w:rFonts w:ascii="Times New Roman" w:cs="Times New Roman" w:eastAsia="Times New Roman" w:hAnsi="Times New Roman"/>
          <w:sz w:val="17"/>
          <w:szCs w:val="17"/>
          <w:color w:val="auto"/>
        </w:rPr>
        <w:t xml:space="preserve">. Prior to the distribution or redemption provided for in this </w:t>
      </w:r>
      <w:r>
        <w:rPr>
          <w:rFonts w:ascii="Times New Roman" w:cs="Times New Roman" w:eastAsia="Times New Roman" w:hAnsi="Times New Roman"/>
          <w:sz w:val="17"/>
          <w:szCs w:val="17"/>
          <w:u w:val="single" w:color="auto"/>
          <w:color w:val="auto"/>
        </w:rPr>
        <w:t>Subsection 2.3.2(b)</w:t>
      </w:r>
      <w:r>
        <w:rPr>
          <w:rFonts w:ascii="Times New Roman" w:cs="Times New Roman" w:eastAsia="Times New Roman" w:hAnsi="Times New Roman"/>
          <w:sz w:val="17"/>
          <w:szCs w:val="17"/>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3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70" w:right="499" w:bottom="1440" w:gutter="0" w:footer="0" w:header="0"/>
        </w:sectPr>
      </w:pPr>
    </w:p>
    <w:bookmarkStart w:id="253" w:name="page254"/>
    <w:bookmarkEnd w:id="253"/>
    <w:p>
      <w:pPr>
        <w:ind w:left="1780" w:hanging="241"/>
        <w:spacing w:after="0"/>
        <w:tabs>
          <w:tab w:leader="none" w:pos="17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holders of the Preferred Stock shall have redemption rights as follows:</w:t>
      </w:r>
    </w:p>
    <w:p>
      <w:pPr>
        <w:spacing w:after="0" w:line="117" w:lineRule="exact"/>
        <w:rPr>
          <w:rFonts w:ascii="Times New Roman" w:cs="Times New Roman" w:eastAsia="Times New Roman" w:hAnsi="Times New Roman"/>
          <w:sz w:val="18"/>
          <w:szCs w:val="18"/>
          <w:color w:val="auto"/>
        </w:rPr>
      </w:pPr>
    </w:p>
    <w:p>
      <w:pPr>
        <w:ind w:firstLine="1900"/>
        <w:spacing w:after="0" w:line="252" w:lineRule="auto"/>
        <w:tabs>
          <w:tab w:leader="none" w:pos="211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shall be redeemed by the Corporation on a pari passu basis at a price equal to (x) with respect to the Series A Preferred Stock, the Series A Original Issue Price plus dividends declared but unpaid thereon (the “</w:t>
      </w:r>
      <w:r>
        <w:rPr>
          <w:rFonts w:ascii="Times New Roman" w:cs="Times New Roman" w:eastAsia="Times New Roman" w:hAnsi="Times New Roman"/>
          <w:sz w:val="18"/>
          <w:szCs w:val="18"/>
          <w:b w:val="1"/>
          <w:bCs w:val="1"/>
          <w:color w:val="auto"/>
        </w:rPr>
        <w:t>Series A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(y) with respect to the Series B Preferred Stock, the Series B Original Issue Price plus dividends declared but unpaid thereon (the “</w:t>
      </w:r>
      <w:r>
        <w:rPr>
          <w:rFonts w:ascii="Times New Roman" w:cs="Times New Roman" w:eastAsia="Times New Roman" w:hAnsi="Times New Roman"/>
          <w:sz w:val="18"/>
          <w:szCs w:val="18"/>
          <w:b w:val="1"/>
          <w:bCs w:val="1"/>
          <w:color w:val="auto"/>
        </w:rPr>
        <w:t>Series B Redemption Price</w:t>
      </w:r>
      <w:r>
        <w:rPr>
          <w:rFonts w:ascii="Times New Roman" w:cs="Times New Roman" w:eastAsia="Times New Roman" w:hAnsi="Times New Roman"/>
          <w:sz w:val="18"/>
          <w:szCs w:val="18"/>
          <w:color w:val="auto"/>
        </w:rPr>
        <w:t>”) and (z) with respect to the Series C Preferred Stock, the Series C Original Issue Price plus dividends declared but unpaid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thereon (the “</w:t>
      </w:r>
      <w:r>
        <w:rPr>
          <w:rFonts w:ascii="Times New Roman" w:cs="Times New Roman" w:eastAsia="Times New Roman" w:hAnsi="Times New Roman"/>
          <w:sz w:val="18"/>
          <w:szCs w:val="18"/>
          <w:b w:val="1"/>
          <w:bCs w:val="1"/>
          <w:color w:val="auto"/>
        </w:rPr>
        <w:t>Series C Redemption Price</w:t>
      </w:r>
      <w:r>
        <w:rPr>
          <w:rFonts w:ascii="Times New Roman" w:cs="Times New Roman" w:eastAsia="Times New Roman" w:hAnsi="Times New Roman"/>
          <w:sz w:val="18"/>
          <w:szCs w:val="18"/>
          <w:color w:val="auto"/>
        </w:rPr>
        <w:t>,” and together with the Series A Redemption Price and the Series B Redemption Price, each a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in three (3) annual installments commencing not more than sixty (60) days after receipt by the Corporation at any time on or after the date five years after the date of filing of this Certificate of Incorporation, from the holders representing the Required Vote, of written notice requesting redemption of all outstanding shares of Preferred Stock (the “</w:t>
      </w:r>
      <w:r>
        <w:rPr>
          <w:rFonts w:ascii="Times New Roman" w:cs="Times New Roman" w:eastAsia="Times New Roman" w:hAnsi="Times New Roman"/>
          <w:sz w:val="18"/>
          <w:szCs w:val="18"/>
          <w:b w:val="1"/>
          <w:bCs w:val="1"/>
          <w:color w:val="auto"/>
        </w:rPr>
        <w:t>Redemption Request</w:t>
      </w:r>
      <w:r>
        <w:rPr>
          <w:rFonts w:ascii="Times New Roman" w:cs="Times New Roman" w:eastAsia="Times New Roman" w:hAnsi="Times New Roman"/>
          <w:sz w:val="18"/>
          <w:szCs w:val="18"/>
          <w:color w:val="auto"/>
        </w:rPr>
        <w:t>”). Upon receipt of a Redemption Request, the Corporation shall apply all of its assets to any such redemption, and to no other corporate purpose, except to the extent prohibited by Delaware law governing distributions to stockholders. The date of each such installment shall be referred to as a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On each Redemption Date, the Corporation shall redeem, on a pro rata basis in accordance with the number of shares of each series of Preferred Stock owned by each holder, that number of outstanding shares of the applicable series of Preferred Stock determined by dividing (i) the total number of shares of such series of Preferred Stock outstanding immediately prior to such Redemption Date by (ii) the number of remaining Redemption Dates (including the Redemption Date to which such calculation applies). If on any Redemption Date Delaware law governing distributions to stockholders prevents the Corporation from redeeming all shares of Preferred Stock to be redeemed, the Corporation shall ratably redeem, on a pari passu basis, the maximum number of shares of Series A Preferred Stock (in proportion to such share’s respective Series A Liquidation Amount), Series B Preferred Stock (in proportion to such share’s respective Series B Liquidation Amount) and Series C Preferred Stock (in proportion to such share’s respective Series C Liquidation Amount) that it may redeem consistent with such law, and shall redeem the remaining shares as soon as it may lawfully do so under such law.</w:t>
      </w:r>
    </w:p>
    <w:p>
      <w:pPr>
        <w:spacing w:after="0" w:line="82" w:lineRule="exact"/>
        <w:rPr>
          <w:rFonts w:ascii="Times New Roman" w:cs="Times New Roman" w:eastAsia="Times New Roman" w:hAnsi="Times New Roman"/>
          <w:sz w:val="18"/>
          <w:szCs w:val="18"/>
          <w:color w:val="auto"/>
        </w:rPr>
      </w:pPr>
    </w:p>
    <w:p>
      <w:pPr>
        <w:ind w:right="20" w:firstLine="1900"/>
        <w:spacing w:after="0" w:line="255" w:lineRule="auto"/>
        <w:tabs>
          <w:tab w:leader="none" w:pos="216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applicable Redemption Date, each holder of shares of Preferred Stock to be redeemed on such applicable Redemption Date, unless such holder has exercised his, her or its right to convert such shares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and thereupon the applicable Redemption Price for such shares shall be payable to the order of the person whose name appears on such certificate or certificates as the owner thereof.</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254" w:name="page255"/>
    <w:bookmarkEnd w:id="254"/>
    <w:p>
      <w:pPr>
        <w:ind w:left="440" w:firstLine="1900"/>
        <w:spacing w:after="0" w:line="258" w:lineRule="auto"/>
        <w:tabs>
          <w:tab w:leader="none" w:pos="265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applicable Redemption Date the Redemption Price payable upon redemption of the shares of Preferred Stock to be redeemed on such Redemption Date is paid or tendered for payment or deposited with an independent payment agent so as to be available therefor, then notwithstanding that the certificates evidencing any of the shares of Preferred Stock so called for redemption shall not have been surrendered, all rights with respect to such shares shall forthwith after the applicable Redemption Date terminate, except only the right of the holders to receive the applicable Redemption Price without interest upon surrender of their certificate or certificates therefor.</w:t>
      </w:r>
    </w:p>
    <w:p>
      <w:pPr>
        <w:spacing w:after="0" w:line="75" w:lineRule="exact"/>
        <w:rPr>
          <w:rFonts w:ascii="Times New Roman" w:cs="Times New Roman" w:eastAsia="Times New Roman" w:hAnsi="Times New Roman"/>
          <w:sz w:val="18"/>
          <w:szCs w:val="18"/>
          <w:color w:val="auto"/>
        </w:rPr>
      </w:pPr>
    </w:p>
    <w:p>
      <w:pPr>
        <w:ind w:left="440" w:right="80" w:firstLine="1900"/>
        <w:spacing w:after="0" w:line="266" w:lineRule="auto"/>
        <w:tabs>
          <w:tab w:leader="none" w:pos="264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71" w:lineRule="exact"/>
        <w:rPr>
          <w:rFonts w:ascii="Times New Roman" w:cs="Times New Roman" w:eastAsia="Times New Roman" w:hAnsi="Times New Roman"/>
          <w:sz w:val="18"/>
          <w:szCs w:val="18"/>
          <w:color w:val="auto"/>
        </w:rPr>
      </w:pPr>
    </w:p>
    <w:p>
      <w:pPr>
        <w:ind w:right="340" w:firstLine="1979"/>
        <w:spacing w:after="0" w:line="286" w:lineRule="auto"/>
        <w:tabs>
          <w:tab w:leader="none" w:pos="223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send written notice of the mandatory redemption (the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to each holder of record of Preferred Stock not less than forty (40) days prior to each applicable Redemption Date. Each Redemption Notice shall state:</w:t>
      </w:r>
    </w:p>
    <w:p>
      <w:pPr>
        <w:spacing w:after="0" w:line="50" w:lineRule="exact"/>
        <w:rPr>
          <w:rFonts w:ascii="Times New Roman" w:cs="Times New Roman" w:eastAsia="Times New Roman" w:hAnsi="Times New Roman"/>
          <w:sz w:val="18"/>
          <w:szCs w:val="18"/>
          <w:color w:val="auto"/>
        </w:rPr>
      </w:pPr>
    </w:p>
    <w:p>
      <w:pPr>
        <w:ind w:left="440" w:right="280" w:firstLine="1900"/>
        <w:spacing w:after="0" w:line="282" w:lineRule="auto"/>
        <w:tabs>
          <w:tab w:leader="none" w:pos="255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each series of Preferred Stock held by the holder that the Corporation shall redeem on the applicable Redemption Date specified in the Redemption Notice;</w:t>
      </w:r>
    </w:p>
    <w:p>
      <w:pPr>
        <w:spacing w:after="0" w:line="53" w:lineRule="exact"/>
        <w:rPr>
          <w:rFonts w:ascii="Times New Roman" w:cs="Times New Roman" w:eastAsia="Times New Roman" w:hAnsi="Times New Roman"/>
          <w:sz w:val="18"/>
          <w:szCs w:val="18"/>
          <w:color w:val="auto"/>
        </w:rPr>
      </w:pPr>
    </w:p>
    <w:p>
      <w:pPr>
        <w:ind w:left="2600" w:hanging="260"/>
        <w:spacing w:after="0"/>
        <w:tabs>
          <w:tab w:leader="none" w:pos="26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Redemption Date and the applicable Redemption Price;</w:t>
      </w:r>
    </w:p>
    <w:p>
      <w:pPr>
        <w:spacing w:after="0" w:line="117" w:lineRule="exact"/>
        <w:rPr>
          <w:rFonts w:ascii="Times New Roman" w:cs="Times New Roman" w:eastAsia="Times New Roman" w:hAnsi="Times New Roman"/>
          <w:sz w:val="18"/>
          <w:szCs w:val="18"/>
          <w:color w:val="auto"/>
        </w:rPr>
      </w:pPr>
    </w:p>
    <w:p>
      <w:pPr>
        <w:ind w:left="2660" w:hanging="320"/>
        <w:spacing w:after="0"/>
        <w:tabs>
          <w:tab w:leader="none" w:pos="2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holder’s right to convert such shares terminates (as determined in accordance with</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4.1); and</w:t>
      </w:r>
    </w:p>
    <w:p>
      <w:pPr>
        <w:spacing w:after="0" w:line="99" w:lineRule="exact"/>
        <w:rPr>
          <w:sz w:val="20"/>
          <w:szCs w:val="20"/>
          <w:color w:val="auto"/>
        </w:rPr>
      </w:pPr>
    </w:p>
    <w:p>
      <w:pPr>
        <w:ind w:left="440" w:right="80" w:firstLine="1900"/>
        <w:spacing w:after="0" w:line="282" w:lineRule="auto"/>
        <w:tabs>
          <w:tab w:leader="none" w:pos="264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shares in certificated form, that the holder is to surrender to the Corporation, in the manner and at the place designated, his, her or its certificate or certificates representing the shares of Preferred Stock to be redeemed.</w:t>
      </w:r>
    </w:p>
    <w:p>
      <w:pPr>
        <w:spacing w:after="0" w:line="162" w:lineRule="exact"/>
        <w:rPr>
          <w:sz w:val="20"/>
          <w:szCs w:val="20"/>
          <w:color w:val="auto"/>
        </w:rPr>
      </w:pPr>
    </w:p>
    <w:p>
      <w:pPr>
        <w:ind w:right="20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Amount Deemed Paid or Distributed</w:t>
      </w:r>
      <w:r>
        <w:rPr>
          <w:rFonts w:ascii="Times New Roman" w:cs="Times New Roman" w:eastAsia="Times New Roman" w:hAnsi="Times New Roman"/>
          <w:sz w:val="18"/>
          <w:szCs w:val="18"/>
          <w:color w:val="auto"/>
        </w:rPr>
        <w:t xml:space="preserve">. If the amount deemed paid or distributed under this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is made in property other than in cash, the value of such payment or distribution shall be the fair market value of such property, determined as follows:</w:t>
      </w:r>
    </w:p>
    <w:p>
      <w:pPr>
        <w:spacing w:after="0" w:line="162" w:lineRule="exact"/>
        <w:rPr>
          <w:sz w:val="20"/>
          <w:szCs w:val="20"/>
          <w:color w:val="auto"/>
        </w:rPr>
      </w:pPr>
    </w:p>
    <w:p>
      <w:pPr>
        <w:ind w:left="2220" w:hanging="241"/>
        <w:spacing w:after="0"/>
        <w:tabs>
          <w:tab w:leader="none" w:pos="22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securities not subject to investment letters or other similar restrictions on free marketability,</w:t>
      </w:r>
    </w:p>
    <w:p>
      <w:pPr>
        <w:spacing w:after="0" w:line="117" w:lineRule="exact"/>
        <w:rPr>
          <w:rFonts w:ascii="Times New Roman" w:cs="Times New Roman" w:eastAsia="Times New Roman" w:hAnsi="Times New Roman"/>
          <w:sz w:val="18"/>
          <w:szCs w:val="18"/>
          <w:color w:val="auto"/>
        </w:rPr>
      </w:pPr>
    </w:p>
    <w:p>
      <w:pPr>
        <w:ind w:left="440" w:right="160" w:firstLine="1900"/>
        <w:spacing w:after="0" w:line="282" w:lineRule="auto"/>
        <w:tabs>
          <w:tab w:leader="none" w:pos="255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traded on a securities exchange, the value shall be deemed to be the average of the closing prices of the securities on such exchange or market over the 30-period ending three (3) days prior to the closing of such transaction;</w:t>
      </w:r>
    </w:p>
    <w:p>
      <w:pPr>
        <w:spacing w:after="0" w:line="53" w:lineRule="exact"/>
        <w:rPr>
          <w:rFonts w:ascii="Times New Roman" w:cs="Times New Roman" w:eastAsia="Times New Roman" w:hAnsi="Times New Roman"/>
          <w:sz w:val="18"/>
          <w:szCs w:val="18"/>
          <w:color w:val="auto"/>
        </w:rPr>
      </w:pPr>
    </w:p>
    <w:p>
      <w:pPr>
        <w:ind w:left="440" w:right="340" w:firstLine="1900"/>
        <w:spacing w:after="0" w:line="282" w:lineRule="auto"/>
        <w:tabs>
          <w:tab w:leader="none" w:pos="260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actively traded over-the-counter, the value shall be deemed to be the average of the closing bid prices over the 30-day period ending three (3) days prior to the closing of such transaction;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255" w:name="page256"/>
    <w:bookmarkEnd w:id="255"/>
    <w:p>
      <w:pPr>
        <w:ind w:left="23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(iii) if there is no active public market, the value shall be the fair market value thereof, as determined in good faith by</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07" w:lineRule="exact"/>
        <w:rPr>
          <w:sz w:val="20"/>
          <w:szCs w:val="20"/>
          <w:color w:val="auto"/>
        </w:rPr>
      </w:pPr>
    </w:p>
    <w:p>
      <w:pPr>
        <w:ind w:right="100" w:firstLine="1979"/>
        <w:spacing w:after="0" w:line="261" w:lineRule="auto"/>
        <w:tabs>
          <w:tab w:leader="none" w:pos="223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of Directors) from the market value as determined pursuant to clause (a) above so as to reflect the approximate fair market value thereof.</w:t>
      </w:r>
    </w:p>
    <w:p>
      <w:pPr>
        <w:spacing w:after="0" w:line="179" w:lineRule="exact"/>
        <w:rPr>
          <w:rFonts w:ascii="Times New Roman" w:cs="Times New Roman" w:eastAsia="Times New Roman" w:hAnsi="Times New Roman"/>
          <w:sz w:val="18"/>
          <w:szCs w:val="18"/>
          <w:color w:val="auto"/>
        </w:rPr>
      </w:pPr>
    </w:p>
    <w:p>
      <w:pPr>
        <w:ind w:right="280" w:firstLine="1979"/>
        <w:spacing w:after="0" w:line="258" w:lineRule="auto"/>
        <w:tabs>
          <w:tab w:leader="none" w:pos="222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property not addressed by </w:t>
      </w:r>
      <w:r>
        <w:rPr>
          <w:rFonts w:ascii="Times New Roman" w:cs="Times New Roman" w:eastAsia="Times New Roman" w:hAnsi="Times New Roman"/>
          <w:sz w:val="18"/>
          <w:szCs w:val="18"/>
          <w:u w:val="single" w:color="auto"/>
          <w:color w:val="auto"/>
        </w:rPr>
        <w:t>Subsection 2.3.3(a)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Subsection 2.3.3(b)</w:t>
      </w:r>
      <w:r>
        <w:rPr>
          <w:rFonts w:ascii="Times New Roman" w:cs="Times New Roman" w:eastAsia="Times New Roman" w:hAnsi="Times New Roman"/>
          <w:sz w:val="18"/>
          <w:szCs w:val="18"/>
          <w:color w:val="auto"/>
        </w:rPr>
        <w:t>, the value of such property, shall be determined in good faith by the Board of Directors of the Corporation, including the Arch Director (as defined in that certain Amended and Restated Stockholders Agreement by and among the Corporation and the parties listed therein as Stockholders, dated as of December [8], 2021 (as amended, restated or otherwise modified from time to time, the “</w:t>
      </w:r>
      <w:r>
        <w:rPr>
          <w:rFonts w:ascii="Times New Roman" w:cs="Times New Roman" w:eastAsia="Times New Roman" w:hAnsi="Times New Roman"/>
          <w:sz w:val="18"/>
          <w:szCs w:val="18"/>
          <w:b w:val="1"/>
          <w:bCs w:val="1"/>
          <w:color w:val="auto"/>
        </w:rPr>
        <w:t>Stockholders Agreement</w:t>
      </w:r>
      <w:r>
        <w:rPr>
          <w:rFonts w:ascii="Times New Roman" w:cs="Times New Roman" w:eastAsia="Times New Roman" w:hAnsi="Times New Roman"/>
          <w:sz w:val="18"/>
          <w:szCs w:val="18"/>
          <w:color w:val="auto"/>
        </w:rPr>
        <w:t>”)), if any, and at least one of the Initial TRV Director or the Second TRV Director (each, as defined in the Stockholders Agreement), if any, then serving on the Board of Directors.</w:t>
      </w:r>
    </w:p>
    <w:p>
      <w:pPr>
        <w:spacing w:after="0" w:line="183"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Allocation of Escrow or Contingent Payments</w:t>
      </w:r>
      <w:r>
        <w:rPr>
          <w:rFonts w:ascii="Times New Roman" w:cs="Times New Roman" w:eastAsia="Times New Roman" w:hAnsi="Times New Roman"/>
          <w:sz w:val="18"/>
          <w:szCs w:val="18"/>
          <w:color w:val="auto"/>
        </w:rPr>
        <w:t xml:space="preserve">. In the event of a Deemed Liquidation Event pursuant to </w:t>
      </w:r>
      <w:r>
        <w:rPr>
          <w:rFonts w:ascii="Times New Roman" w:cs="Times New Roman" w:eastAsia="Times New Roman" w:hAnsi="Times New Roman"/>
          <w:sz w:val="18"/>
          <w:szCs w:val="18"/>
          <w:u w:val="single" w:color="auto"/>
          <w:color w:val="auto"/>
        </w:rPr>
        <w:t>Subsection 2.3.1(a)(i</w:t>
      </w:r>
      <w:r>
        <w:rPr>
          <w:rFonts w:ascii="Times New Roman" w:cs="Times New Roman" w:eastAsia="Times New Roman" w:hAnsi="Times New Roman"/>
          <w:sz w:val="18"/>
          <w:szCs w:val="18"/>
          <w:color w:val="auto"/>
        </w:rPr>
        <w:t>), if any portion of the consideration payable to the stockholders of the Corporation is payable only upon satisfaction of contingencies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the Merger Agreement shall provide that (a) the portion of such consideration that is not Additional Consideration (such portion,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Consideration</w:t>
      </w:r>
      <w:r>
        <w:rPr>
          <w:rFonts w:ascii="Times New Roman" w:cs="Times New Roman" w:eastAsia="Times New Roman" w:hAnsi="Times New Roman"/>
          <w:sz w:val="18"/>
          <w:szCs w:val="18"/>
          <w:color w:val="auto"/>
        </w:rPr>
        <w:t xml:space="preserve">”)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8"/>
          <w:szCs w:val="18"/>
          <w:u w:val="single" w:color="auto"/>
          <w:color w:val="auto"/>
        </w:rPr>
        <w:t>Subsections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8"/>
          <w:szCs w:val="18"/>
          <w:u w:val="single" w:color="auto"/>
          <w:color w:val="auto"/>
        </w:rPr>
        <w:t>Subsection 2.3.4</w:t>
      </w:r>
      <w:r>
        <w:rPr>
          <w:rFonts w:ascii="Times New Roman" w:cs="Times New Roman" w:eastAsia="Times New Roman" w:hAnsi="Times New Roman"/>
          <w:sz w:val="18"/>
          <w:szCs w:val="18"/>
          <w:color w:val="auto"/>
        </w:rPr>
        <w:t>, consideration placed into escrow or retained as holdback to be available for satisfaction of indemnification or similar obligations or otherwise subject to contingencies in connection with such Deemed Liquidation Event shall be deemed to be Additional Consideration.</w:t>
      </w:r>
    </w:p>
    <w:p>
      <w:pPr>
        <w:spacing w:after="0" w:line="194" w:lineRule="exact"/>
        <w:rPr>
          <w:sz w:val="20"/>
          <w:szCs w:val="20"/>
          <w:color w:val="auto"/>
        </w:rPr>
      </w:pPr>
    </w:p>
    <w:p>
      <w:pPr>
        <w:ind w:left="620" w:hanging="184"/>
        <w:spacing w:after="0"/>
        <w:tabs>
          <w:tab w:leader="none" w:pos="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On any matter presented to the stockholders of the Corporation for their action or consideration at any meeting of stockholders of the Corporation (or by written consent of stockholders in lieu of a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as a single class, on an as-converted basis.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56" w:name="page257"/>
    <w:bookmarkEnd w:id="256"/>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xml:space="preserve">. The holders of record of the shares representing a majority of the outstanding Series A Preferred Stock, exclusively and as a separate class, shall be entitled to elect four (4) directors of the Corporation. For so long as any shares of Series C Preferred Stock remain outstanding, the holders of record of the shares representing a majority of then outstanding Series C Preferred Stock, exclusively and as a separate class, shall be entitled to elect one (1) director of the Corporation. The directors to be elected pursuant to the first two sentences of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shall be referred to herein as the “</w:t>
      </w:r>
      <w:r>
        <w:rPr>
          <w:rFonts w:ascii="Times New Roman" w:cs="Times New Roman" w:eastAsia="Times New Roman" w:hAnsi="Times New Roman"/>
          <w:sz w:val="18"/>
          <w:szCs w:val="18"/>
          <w:b w:val="1"/>
          <w:bCs w:val="1"/>
          <w:color w:val="auto"/>
        </w:rPr>
        <w:t>Preferred Directors</w:t>
      </w:r>
      <w:r>
        <w:rPr>
          <w:rFonts w:ascii="Times New Roman" w:cs="Times New Roman" w:eastAsia="Times New Roman" w:hAnsi="Times New Roman"/>
          <w:sz w:val="18"/>
          <w:szCs w:val="18"/>
          <w:color w:val="auto"/>
        </w:rPr>
        <w:t xml:space="preserve">”. Any Preferred Director may be removed without cause by, and only by, the affirmative vote of the holders of the shares of the class or series of capital stock entitled to elect such director or directors, given either at a special meeting of such stockholders duly called for that purpose or by a written consent of stockholders in lieu of a meeting. If the holders of shares of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 xml:space="preserve">, then any directorship not so filled shall remain vacant until such time as the holders of the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Times New Roman" w:cs="Times New Roman" w:eastAsia="Times New Roman" w:hAnsi="Times New Roman"/>
          <w:sz w:val="18"/>
          <w:szCs w:val="18"/>
          <w:u w:val="single" w:color="auto"/>
          <w:color w:val="auto"/>
        </w:rPr>
        <w:t>Subsection 3.2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Preferred Stock Protective Provisions</w:t>
      </w:r>
      <w:r>
        <w:rPr>
          <w:rFonts w:ascii="Times New Roman" w:cs="Times New Roman" w:eastAsia="Times New Roman" w:hAnsi="Times New Roman"/>
          <w:sz w:val="18"/>
          <w:szCs w:val="18"/>
          <w:color w:val="auto"/>
        </w:rPr>
        <w:t xml:space="preserve">. At any time when any shares of Preferred Stock are outstanding, the Corporation or any of its subsidiaries shall not, either directly or indirectly by amendment, merger, consolidation or otherwise, do any of the following without (in addition to any other vote required by law or the Certificate of Incorporation) the written consent or affirmative vote of the holders representing the Required Vote, given in writing or by vote at a meeting, consenting or voting (as the case may be) separately as a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3" w:lineRule="exact"/>
        <w:rPr>
          <w:sz w:val="20"/>
          <w:szCs w:val="20"/>
          <w:color w:val="auto"/>
        </w:rPr>
      </w:pPr>
    </w:p>
    <w:p>
      <w:pPr>
        <w:ind w:right="80" w:firstLine="1979"/>
        <w:spacing w:after="0" w:line="282" w:lineRule="auto"/>
        <w:tabs>
          <w:tab w:leader="none" w:pos="222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dissolve or wind-up the business and affairs of the Corporation, effect any merger, acquisition or consolidation or any other Deemed Liquidation Event, or consent to any of the foregoing;</w:t>
      </w:r>
    </w:p>
    <w:p>
      <w:pPr>
        <w:spacing w:after="0" w:line="161"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of Incorporation or Bylaws of the Corporation;</w:t>
      </w:r>
    </w:p>
    <w:p>
      <w:pPr>
        <w:spacing w:after="0" w:line="225" w:lineRule="exact"/>
        <w:rPr>
          <w:rFonts w:ascii="Times New Roman" w:cs="Times New Roman" w:eastAsia="Times New Roman" w:hAnsi="Times New Roman"/>
          <w:sz w:val="18"/>
          <w:szCs w:val="18"/>
          <w:color w:val="auto"/>
        </w:rPr>
      </w:pPr>
    </w:p>
    <w:p>
      <w:pPr>
        <w:ind w:right="320" w:firstLine="1979"/>
        <w:spacing w:after="0" w:line="266" w:lineRule="auto"/>
        <w:tabs>
          <w:tab w:leader="none" w:pos="222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authorize the creation of or issue or obligate itself to issue shares of any other security convertible into or exercisable for any equity security or increase the authorized number of shares of Preferred Stock or of any additional class or series of capital stock unless it ranks junior to each existing series of Preferred Stock;</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57" w:name="page258"/>
    <w:bookmarkEnd w:id="257"/>
    <w:p>
      <w:pPr>
        <w:jc w:val="both"/>
        <w:ind w:right="320" w:firstLine="1979"/>
        <w:spacing w:after="0" w:line="312" w:lineRule="auto"/>
        <w:tabs>
          <w:tab w:leader="none" w:pos="2238"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reclassify, alter or amend any existing security that is junior to or on parity with any other series of Preferred Stock, if such reclassification, alteration or amendment would render such other security senior to or on parity with each such other series of Preferred Stock;</w:t>
      </w:r>
    </w:p>
    <w:p>
      <w:pPr>
        <w:spacing w:after="0" w:line="139" w:lineRule="exact"/>
        <w:rPr>
          <w:rFonts w:ascii="Times New Roman" w:cs="Times New Roman" w:eastAsia="Times New Roman" w:hAnsi="Times New Roman"/>
          <w:sz w:val="17"/>
          <w:szCs w:val="17"/>
          <w:color w:val="auto"/>
        </w:rPr>
      </w:pPr>
    </w:p>
    <w:p>
      <w:pPr>
        <w:ind w:right="80" w:firstLine="1979"/>
        <w:spacing w:after="0" w:line="289" w:lineRule="auto"/>
        <w:tabs>
          <w:tab w:leader="none" w:pos="2227"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or redeem or pay or declare any dividend, other than dividends on the Preferred Stock, or make any distribution on any shares of capital stock prior to the Preferred Stock, other than Common Stock or options to acquire Common Stock repurchased from former employees or consultants in connection with the cessation of their employment/services, pursuant to the provisions of existing plans or agreements;</w:t>
      </w:r>
    </w:p>
    <w:p>
      <w:pPr>
        <w:spacing w:after="0" w:line="157" w:lineRule="exact"/>
        <w:rPr>
          <w:rFonts w:ascii="Times New Roman" w:cs="Times New Roman" w:eastAsia="Times New Roman" w:hAnsi="Times New Roman"/>
          <w:sz w:val="17"/>
          <w:szCs w:val="17"/>
          <w:color w:val="auto"/>
        </w:rPr>
      </w:pPr>
    </w:p>
    <w:p>
      <w:pPr>
        <w:ind w:right="200" w:firstLine="1979"/>
        <w:spacing w:after="0" w:line="282" w:lineRule="auto"/>
        <w:tabs>
          <w:tab w:leader="none" w:pos="220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authorized number of directors constituting the Board of Directors, change the number of votes entitled to be cast by any director or directors on any matter, or adopt any provision inconsistent with Article Sixth;</w:t>
      </w:r>
    </w:p>
    <w:p>
      <w:pPr>
        <w:spacing w:after="0" w:line="161" w:lineRule="exact"/>
        <w:rPr>
          <w:rFonts w:ascii="Times New Roman" w:cs="Times New Roman" w:eastAsia="Times New Roman" w:hAnsi="Times New Roman"/>
          <w:sz w:val="18"/>
          <w:szCs w:val="18"/>
          <w:color w:val="auto"/>
        </w:rPr>
      </w:pPr>
    </w:p>
    <w:p>
      <w:pPr>
        <w:ind w:right="180" w:firstLine="1979"/>
        <w:spacing w:after="0" w:line="282" w:lineRule="auto"/>
        <w:tabs>
          <w:tab w:leader="none" w:pos="223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hold capital stock in any subsidiary that is not a wholly-owned subsidiary of the Corporation or dispose of any subsidiary stock or all or substantially all of any subsidiary assets;</w:t>
      </w:r>
    </w:p>
    <w:p>
      <w:pPr>
        <w:spacing w:after="0" w:line="161"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license, pledge or encumber material technology or intellectual property, other than licenses granted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course of business;</w:t>
      </w:r>
    </w:p>
    <w:p>
      <w:pPr>
        <w:spacing w:after="0" w:line="206"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debt securities or incur any debt if the aggregate indebtedness of the Corporation following such action would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 $1,000,000; or</w:t>
      </w:r>
    </w:p>
    <w:p>
      <w:pPr>
        <w:spacing w:after="0" w:line="202" w:lineRule="exact"/>
        <w:rPr>
          <w:rFonts w:ascii="Times New Roman" w:cs="Times New Roman" w:eastAsia="Times New Roman" w:hAnsi="Times New Roman"/>
          <w:sz w:val="18"/>
          <w:szCs w:val="18"/>
          <w:color w:val="auto"/>
        </w:rPr>
      </w:pPr>
    </w:p>
    <w:p>
      <w:pPr>
        <w:ind w:firstLine="1979"/>
        <w:spacing w:after="0" w:line="268" w:lineRule="auto"/>
        <w:tabs>
          <w:tab w:leader="none" w:pos="219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issue or distribute any Corporation-created digital tokens, coins or cryptocurrency (“</w:t>
      </w:r>
      <w:r>
        <w:rPr>
          <w:rFonts w:ascii="Times New Roman" w:cs="Times New Roman" w:eastAsia="Times New Roman" w:hAnsi="Times New Roman"/>
          <w:sz w:val="18"/>
          <w:szCs w:val="18"/>
          <w:b w:val="1"/>
          <w:bCs w:val="1"/>
          <w:color w:val="auto"/>
        </w:rPr>
        <w:t>Tokens</w:t>
      </w:r>
      <w:r>
        <w:rPr>
          <w:rFonts w:ascii="Times New Roman" w:cs="Times New Roman" w:eastAsia="Times New Roman" w:hAnsi="Times New Roman"/>
          <w:sz w:val="18"/>
          <w:szCs w:val="18"/>
          <w:color w:val="auto"/>
        </w:rPr>
        <w:t>”), including through a Simple Agreement for Future Tokens or other agreement, pre-sale, initial coin offering, token distribution event or crowdfunding; or (ii) develop a computer network either incorporating Tokens or permitting the generation of tokens by network participants.</w:t>
      </w:r>
    </w:p>
    <w:p>
      <w:pPr>
        <w:spacing w:after="0" w:line="17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Series C Preferred Stock Protective Provisions</w:t>
      </w:r>
      <w:r>
        <w:rPr>
          <w:rFonts w:ascii="Times New Roman" w:cs="Times New Roman" w:eastAsia="Times New Roman" w:hAnsi="Times New Roman"/>
          <w:sz w:val="18"/>
          <w:szCs w:val="18"/>
          <w:color w:val="auto"/>
        </w:rPr>
        <w:t>. At any time when at least 10,083,385 shares of Series C Preferred Stock are outstanding, the Corporation or any of its subsidiaries shall not, either directly or indirectly by amendment, merger, consolidation or otherwise, do any of the following without (in addition to any other vote required by law or the Certificate of Incorporation) the written consent or affirmative vote of the holders representing a majority of the outstanding shares of Series C Preferred Stock (the “</w:t>
      </w:r>
      <w:r>
        <w:rPr>
          <w:rFonts w:ascii="Times New Roman" w:cs="Times New Roman" w:eastAsia="Times New Roman" w:hAnsi="Times New Roman"/>
          <w:sz w:val="18"/>
          <w:szCs w:val="18"/>
          <w:b w:val="1"/>
          <w:bCs w:val="1"/>
          <w:color w:val="auto"/>
        </w:rPr>
        <w:t>Required Series C Vote</w:t>
      </w:r>
      <w:r>
        <w:rPr>
          <w:rFonts w:ascii="Times New Roman" w:cs="Times New Roman" w:eastAsia="Times New Roman" w:hAnsi="Times New Roman"/>
          <w:sz w:val="18"/>
          <w:szCs w:val="18"/>
          <w:color w:val="auto"/>
        </w:rPr>
        <w:t xml:space="preserve">”), given in writing or by vote at a meeting, consenting or voting (as the case may be) as a separate series,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right="360" w:firstLine="1979"/>
        <w:spacing w:after="0" w:line="282" w:lineRule="auto"/>
        <w:tabs>
          <w:tab w:leader="none" w:pos="222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of Incorporation or Bylaws so as to adversely affect the rights, preferences and privileges of the Series C Preferred Stock without similarly affecting the entire class of Preferred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58" w:name="page259"/>
    <w:bookmarkEnd w:id="258"/>
    <w:p>
      <w:pPr>
        <w:ind w:left="1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reclassify, amend or modify existing securities so as to adversely affect the rights, preferences or privileges of the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Preferred Stock;</w:t>
      </w:r>
    </w:p>
    <w:p>
      <w:pPr>
        <w:spacing w:after="0" w:line="207" w:lineRule="exact"/>
        <w:rPr>
          <w:sz w:val="20"/>
          <w:szCs w:val="20"/>
          <w:color w:val="auto"/>
        </w:rPr>
      </w:pPr>
    </w:p>
    <w:p>
      <w:pPr>
        <w:ind w:left="2220" w:hanging="241"/>
        <w:spacing w:after="0"/>
        <w:tabs>
          <w:tab w:leader="none" w:pos="22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authorized number of shares of Series C Preferred Stock;</w:t>
      </w:r>
    </w:p>
    <w:p>
      <w:pPr>
        <w:spacing w:after="0" w:line="225" w:lineRule="exact"/>
        <w:rPr>
          <w:rFonts w:ascii="Times New Roman" w:cs="Times New Roman" w:eastAsia="Times New Roman" w:hAnsi="Times New Roman"/>
          <w:sz w:val="18"/>
          <w:szCs w:val="18"/>
          <w:color w:val="auto"/>
        </w:rPr>
      </w:pPr>
    </w:p>
    <w:p>
      <w:pPr>
        <w:ind w:firstLine="1979"/>
        <w:spacing w:after="0" w:line="282" w:lineRule="auto"/>
        <w:tabs>
          <w:tab w:leader="none" w:pos="223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modify the original issue price of the Series C Preferred Stock, the Series C Conversion Price (including any anti-dilution adjustments pursuant to Section 4.4.4 applicable to the Series C Preferred Stock) or the Series C Liquidation Amount; or</w:t>
      </w:r>
    </w:p>
    <w:p>
      <w:pPr>
        <w:spacing w:after="0" w:line="161" w:lineRule="exact"/>
        <w:rPr>
          <w:rFonts w:ascii="Times New Roman" w:cs="Times New Roman" w:eastAsia="Times New Roman" w:hAnsi="Times New Roman"/>
          <w:sz w:val="18"/>
          <w:szCs w:val="18"/>
          <w:color w:val="auto"/>
        </w:rPr>
      </w:pPr>
    </w:p>
    <w:p>
      <w:pPr>
        <w:ind w:left="2220" w:hanging="241"/>
        <w:spacing w:after="0"/>
        <w:tabs>
          <w:tab w:leader="none" w:pos="22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waive the treatment of an applicable transaction as a Deemed Liquidation Event with respect to the holders of Series C</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202"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The holders of the Preferred Stock shall have conversion rights as follows (the “</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Right to Convert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432"/>
        <w:spacing w:after="0" w:line="254"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The “</w:t>
      </w:r>
      <w:r>
        <w:rPr>
          <w:rFonts w:ascii="Times New Roman" w:cs="Times New Roman" w:eastAsia="Times New Roman" w:hAnsi="Times New Roman"/>
          <w:sz w:val="18"/>
          <w:szCs w:val="18"/>
          <w:b w:val="1"/>
          <w:bCs w:val="1"/>
          <w:color w:val="auto"/>
        </w:rPr>
        <w:t>Series A Conversion Price</w:t>
      </w:r>
      <w:r>
        <w:rPr>
          <w:rFonts w:ascii="Times New Roman" w:cs="Times New Roman" w:eastAsia="Times New Roman" w:hAnsi="Times New Roman"/>
          <w:sz w:val="18"/>
          <w:szCs w:val="18"/>
          <w:color w:val="auto"/>
        </w:rPr>
        <w:t>” shall initially be equal to $1.00. The “</w:t>
      </w:r>
      <w:r>
        <w:rPr>
          <w:rFonts w:ascii="Times New Roman" w:cs="Times New Roman" w:eastAsia="Times New Roman" w:hAnsi="Times New Roman"/>
          <w:sz w:val="18"/>
          <w:szCs w:val="18"/>
          <w:b w:val="1"/>
          <w:bCs w:val="1"/>
          <w:color w:val="auto"/>
        </w:rPr>
        <w:t>Series B Conversion Price</w:t>
      </w:r>
      <w:r>
        <w:rPr>
          <w:rFonts w:ascii="Times New Roman" w:cs="Times New Roman" w:eastAsia="Times New Roman" w:hAnsi="Times New Roman"/>
          <w:sz w:val="18"/>
          <w:szCs w:val="18"/>
          <w:color w:val="auto"/>
        </w:rPr>
        <w:t>” shall initially be equal to $2.75. The “</w:t>
      </w:r>
      <w:r>
        <w:rPr>
          <w:rFonts w:ascii="Times New Roman" w:cs="Times New Roman" w:eastAsia="Times New Roman" w:hAnsi="Times New Roman"/>
          <w:sz w:val="18"/>
          <w:szCs w:val="18"/>
          <w:b w:val="1"/>
          <w:bCs w:val="1"/>
          <w:color w:val="auto"/>
        </w:rPr>
        <w:t>Series C Conversion Price</w:t>
      </w:r>
      <w:r>
        <w:rPr>
          <w:rFonts w:ascii="Times New Roman" w:cs="Times New Roman" w:eastAsia="Times New Roman" w:hAnsi="Times New Roman"/>
          <w:sz w:val="18"/>
          <w:szCs w:val="18"/>
          <w:color w:val="auto"/>
        </w:rPr>
        <w:t>” shall initially be equal to $2.9515. The Series A Conversion Price, Series B Conversion Price and Series C Conversion Price shall each be referred to herein as a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with respect to the applicable series of Preferred Stock. Such initial Conversion Price, and the rate at which shares of Preferred Stock may be converted into shares of Common Stock, shall be subject to adjustment as provided below.</w:t>
      </w:r>
    </w:p>
    <w:p>
      <w:pPr>
        <w:spacing w:after="0" w:line="192" w:lineRule="exact"/>
        <w:rPr>
          <w:sz w:val="20"/>
          <w:szCs w:val="20"/>
          <w:color w:val="auto"/>
        </w:rPr>
      </w:pPr>
    </w:p>
    <w:p>
      <w:pPr>
        <w:ind w:right="6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Termination of Conversion Rights</w:t>
      </w:r>
      <w:r>
        <w:rPr>
          <w:rFonts w:ascii="Times New Roman" w:cs="Times New Roman" w:eastAsia="Times New Roman" w:hAnsi="Times New Roman"/>
          <w:sz w:val="18"/>
          <w:szCs w:val="18"/>
          <w:color w:val="auto"/>
        </w:rPr>
        <w:t xml:space="preserve">. In the event of a notice of redemption of any shares of Preferred Stock pursuant to </w:t>
      </w:r>
      <w:r>
        <w:rPr>
          <w:rFonts w:ascii="Times New Roman" w:cs="Times New Roman" w:eastAsia="Times New Roman" w:hAnsi="Times New Roman"/>
          <w:sz w:val="18"/>
          <w:szCs w:val="18"/>
          <w:u w:val="single" w:color="auto"/>
          <w:color w:val="auto"/>
        </w:rPr>
        <w:t>Subsection 2.3.2(c)</w:t>
      </w:r>
      <w:r>
        <w:rPr>
          <w:rFonts w:ascii="Times New Roman" w:cs="Times New Roman" w:eastAsia="Times New Roman" w:hAnsi="Times New Roman"/>
          <w:sz w:val="18"/>
          <w:szCs w:val="18"/>
          <w:color w:val="auto"/>
        </w:rPr>
        <w:t>, the Conversion Rights of the shares designated for redemption shall terminate at the close of business on the last full day preceding the date fixed for redemption, unless the applicable Redemption Price is not fully paid on such applicable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amounts distributable on such event to the holders of Preferred Stock.</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59" w:name="page260"/>
    <w:bookmarkEnd w:id="259"/>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1432"/>
        <w:spacing w:after="0" w:line="252"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In order for a holder of Preferred Stock to voluntarily convert shares of Preferred Stock into shares of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Preferred Stock represented by such certificate or certificates and, if applicable, any event on which such conversion is contingent. Such notice shall state such holder’s name or the names of the nominees in which such holder wishes the certificate or certificates for shares of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Times New Roman" w:cs="Times New Roman" w:eastAsia="Times New Roman" w:hAnsi="Times New Roman"/>
          <w:sz w:val="18"/>
          <w:szCs w:val="18"/>
          <w:b w:val="1"/>
          <w:bCs w:val="1"/>
          <w:color w:val="auto"/>
        </w:rPr>
        <w:t>Conversion Time</w:t>
      </w:r>
      <w:r>
        <w:rPr>
          <w:rFonts w:ascii="Times New Roman" w:cs="Times New Roman" w:eastAsia="Times New Roman" w:hAnsi="Times New Roman"/>
          <w:sz w:val="18"/>
          <w:szCs w:val="18"/>
          <w:color w:val="auto"/>
        </w:rPr>
        <w:t>”), and the shares of Common Stock issuable upon conversion of the shares represented by such certificate shall be deemed to be outstanding of record as of such date. The Corporation shall, as soon as practicable after the Conversion Time,</w:t>
      </w:r>
    </w:p>
    <w:p>
      <w:pPr>
        <w:spacing w:after="0" w:line="1" w:lineRule="exact"/>
        <w:rPr>
          <w:sz w:val="20"/>
          <w:szCs w:val="20"/>
          <w:color w:val="auto"/>
        </w:rPr>
      </w:pPr>
    </w:p>
    <w:p>
      <w:pPr>
        <w:ind w:left="4" w:hanging="4"/>
        <w:spacing w:after="0" w:line="253" w:lineRule="auto"/>
        <w:tabs>
          <w:tab w:leader="none" w:pos="21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in lieu of any fraction of a share of Common Stock otherwise issuable upon such conversion and (iii) pay all declared but unpaid dividends on the shares of Preferred Stock converted.</w:t>
      </w:r>
    </w:p>
    <w:p>
      <w:pPr>
        <w:spacing w:after="0" w:line="187" w:lineRule="exact"/>
        <w:rPr>
          <w:sz w:val="20"/>
          <w:szCs w:val="20"/>
          <w:color w:val="auto"/>
        </w:rPr>
      </w:pPr>
    </w:p>
    <w:p>
      <w:pPr>
        <w:ind w:left="4" w:firstLine="1432"/>
        <w:spacing w:after="0" w:line="253"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applicable Conversion Price below the then par value of the shares of Common Stock issuable upon conversion of the applicable series of Preferred Stock, the Corporation will take any corporate action which may, in the opinion of its counsel, be necessary in order that the Corporation may validly and legally issue fully paid and nonassessable shares of Common Stock at such adjusted Conversion Price.</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260" w:name="page261"/>
    <w:bookmarkEnd w:id="260"/>
    <w:p>
      <w:pPr>
        <w:ind w:left="4" w:firstLine="143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4.3.3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and to receive payment in lieu of any fraction of a share otherwise issuable upon such conversion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89" w:lineRule="exact"/>
        <w:rPr>
          <w:sz w:val="20"/>
          <w:szCs w:val="20"/>
          <w:color w:val="auto"/>
        </w:rPr>
      </w:pPr>
    </w:p>
    <w:p>
      <w:pPr>
        <w:ind w:left="4" w:right="26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4.3.4 </w:t>
      </w:r>
      <w:r>
        <w:rPr>
          <w:rFonts w:ascii="Times New Roman" w:cs="Times New Roman" w:eastAsia="Times New Roman" w:hAnsi="Times New Roman"/>
          <w:sz w:val="18"/>
          <w:szCs w:val="18"/>
          <w:u w:val="single" w:color="auto"/>
          <w:color w:val="auto"/>
        </w:rPr>
        <w:t>No Further Adjustment</w:t>
      </w:r>
      <w:r>
        <w:rPr>
          <w:rFonts w:ascii="Times New Roman" w:cs="Times New Roman" w:eastAsia="Times New Roman" w:hAnsi="Times New Roman"/>
          <w:sz w:val="18"/>
          <w:szCs w:val="18"/>
          <w:color w:val="auto"/>
        </w:rPr>
        <w:t>. Upon any such conversion, no adjustment to the applicable Conversion Price shall be made for any dividends on the Preferred Stock surrendered for conversion or on the Common Stock delivered upon conversion.</w:t>
      </w:r>
    </w:p>
    <w:p>
      <w:pPr>
        <w:spacing w:after="0" w:line="162" w:lineRule="exact"/>
        <w:rPr>
          <w:sz w:val="20"/>
          <w:szCs w:val="20"/>
          <w:color w:val="auto"/>
        </w:rPr>
      </w:pPr>
    </w:p>
    <w:p>
      <w:pPr>
        <w:ind w:left="4" w:right="16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4.3.5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to Conversion Price for Diluting Issues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u w:val="single" w:color="auto"/>
          <w:color w:val="auto"/>
        </w:rPr>
        <w:t>Special Definitions</w:t>
      </w:r>
      <w:r>
        <w:rPr>
          <w:rFonts w:ascii="Times New Roman" w:cs="Times New Roman" w:eastAsia="Times New Roman" w:hAnsi="Times New Roman"/>
          <w:sz w:val="18"/>
          <w:szCs w:val="18"/>
          <w:color w:val="auto"/>
        </w:rPr>
        <w:t>. For purposes of this Article Fourth, the following definitions shall apply:</w:t>
      </w:r>
    </w:p>
    <w:p>
      <w:pPr>
        <w:spacing w:after="0" w:line="221"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shall mean rights, options or warrants to subscribe for, purchase or otherwise acquire Common Stock or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Convertible Securities.</w:t>
      </w:r>
    </w:p>
    <w:p>
      <w:pPr>
        <w:spacing w:after="0" w:line="203" w:lineRule="exact"/>
        <w:rPr>
          <w:sz w:val="20"/>
          <w:szCs w:val="20"/>
          <w:color w:val="auto"/>
        </w:rPr>
      </w:pPr>
    </w:p>
    <w:p>
      <w:pPr>
        <w:ind w:left="2244" w:hanging="261"/>
        <w:spacing w:after="0"/>
        <w:tabs>
          <w:tab w:leader="none" w:pos="224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C Original Issue Date</w:t>
      </w:r>
      <w:r>
        <w:rPr>
          <w:rFonts w:ascii="Times New Roman" w:cs="Times New Roman" w:eastAsia="Times New Roman" w:hAnsi="Times New Roman"/>
          <w:sz w:val="18"/>
          <w:szCs w:val="18"/>
          <w:color w:val="auto"/>
        </w:rPr>
        <w:t>” shall mean the date on which the first share of Series C Preferred Stock was issued.</w:t>
      </w:r>
    </w:p>
    <w:p>
      <w:pPr>
        <w:spacing w:after="0" w:line="225" w:lineRule="exact"/>
        <w:rPr>
          <w:rFonts w:ascii="Times New Roman" w:cs="Times New Roman" w:eastAsia="Times New Roman" w:hAnsi="Times New Roman"/>
          <w:sz w:val="18"/>
          <w:szCs w:val="18"/>
          <w:color w:val="auto"/>
        </w:rPr>
      </w:pPr>
    </w:p>
    <w:p>
      <w:pPr>
        <w:ind w:left="4" w:right="460" w:firstLine="1979"/>
        <w:spacing w:after="0" w:line="286" w:lineRule="auto"/>
        <w:tabs>
          <w:tab w:leader="none" w:pos="223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shall mean any evidences of indebtedness, shares or other securities directly or indirectly convertible into or exchangeable for Common Stock, but excluding Options.</w:t>
      </w:r>
    </w:p>
    <w:p>
      <w:pPr>
        <w:spacing w:after="0" w:line="154" w:lineRule="exact"/>
        <w:rPr>
          <w:rFonts w:ascii="Times New Roman" w:cs="Times New Roman" w:eastAsia="Times New Roman" w:hAnsi="Times New Roman"/>
          <w:sz w:val="18"/>
          <w:szCs w:val="18"/>
          <w:color w:val="auto"/>
        </w:rPr>
      </w:pPr>
    </w:p>
    <w:p>
      <w:pPr>
        <w:ind w:left="4" w:right="20" w:firstLine="1979"/>
        <w:spacing w:after="0" w:line="263" w:lineRule="auto"/>
        <w:tabs>
          <w:tab w:leader="none" w:pos="2242"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Shares of Common Stock</w:t>
      </w:r>
      <w:r>
        <w:rPr>
          <w:rFonts w:ascii="Times New Roman" w:cs="Times New Roman" w:eastAsia="Times New Roman" w:hAnsi="Times New Roman"/>
          <w:sz w:val="18"/>
          <w:szCs w:val="18"/>
          <w:color w:val="auto"/>
        </w:rPr>
        <w:t xml:space="preserve">” shall mean all shares of Common Stock issued (or, pursuant to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below, deemed to be issued) by the Corporation after the Series C Original Issue Date, other than (1) the following shares of Common Stock and</w:t>
      </w:r>
    </w:p>
    <w:p>
      <w:pPr>
        <w:ind w:left="4" w:right="140" w:hanging="4"/>
        <w:spacing w:after="0" w:line="260" w:lineRule="auto"/>
        <w:tabs>
          <w:tab w:leader="none" w:pos="25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deemed issued pursuant to the following Options and Convertible Securities (clauses (1) and (2), collectively “</w:t>
      </w:r>
      <w:r>
        <w:rPr>
          <w:rFonts w:ascii="Times New Roman" w:cs="Times New Roman" w:eastAsia="Times New Roman" w:hAnsi="Times New Roman"/>
          <w:sz w:val="18"/>
          <w:szCs w:val="18"/>
          <w:b w:val="1"/>
          <w:bCs w:val="1"/>
          <w:color w:val="auto"/>
        </w:rPr>
        <w:t>Exempted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261" w:name="page262"/>
    <w:bookmarkEnd w:id="261"/>
    <w:p>
      <w:pPr>
        <w:ind w:right="200" w:firstLine="1900"/>
        <w:spacing w:after="0" w:line="261" w:lineRule="auto"/>
        <w:tabs>
          <w:tab w:leader="none" w:pos="211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Common Stock, Options or Convertible Securities issued as a dividend or distribution on, or upon the conversion of, Preferred Stock, and shares of Common Stock actually issued upon the exercise of such Options, or upon the conversion or exchange of such Convertible Securities or, in the case of Convertible Securities and Options therefor, upon the conversion or exchange of such Convertible Securities, in each case provided such issuance is pursuant to the terms of such Option or Convertible Security;</w:t>
      </w:r>
    </w:p>
    <w:p>
      <w:pPr>
        <w:spacing w:after="0" w:line="71" w:lineRule="exact"/>
        <w:rPr>
          <w:rFonts w:ascii="Times New Roman" w:cs="Times New Roman" w:eastAsia="Times New Roman" w:hAnsi="Times New Roman"/>
          <w:sz w:val="18"/>
          <w:szCs w:val="18"/>
          <w:color w:val="auto"/>
        </w:rPr>
      </w:pPr>
    </w:p>
    <w:p>
      <w:pPr>
        <w:ind w:right="80" w:firstLine="1900"/>
        <w:spacing w:after="0" w:line="258" w:lineRule="auto"/>
        <w:tabs>
          <w:tab w:leader="none" w:pos="216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8"/>
          <w:szCs w:val="18"/>
          <w:u w:val="single" w:color="auto"/>
          <w:color w:val="auto"/>
        </w:rPr>
        <w:t>Subsections 4.5,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below, and shares of Common Stock actually issued upon the exercise of such Options, or upon the conversion or exchange of such Convertible Securities or, in the case of Convertible Securities and Options therefor, the conversion or exchange of such Convertible Securities, in each case provided such issuance is pursuant to the terms of such Option or Convertible Security;</w:t>
      </w:r>
    </w:p>
    <w:p>
      <w:pPr>
        <w:spacing w:after="0" w:line="75" w:lineRule="exact"/>
        <w:rPr>
          <w:rFonts w:ascii="Times New Roman" w:cs="Times New Roman" w:eastAsia="Times New Roman" w:hAnsi="Times New Roman"/>
          <w:sz w:val="18"/>
          <w:szCs w:val="18"/>
          <w:color w:val="auto"/>
        </w:rPr>
      </w:pPr>
    </w:p>
    <w:p>
      <w:pPr>
        <w:ind w:firstLine="1900"/>
        <w:spacing w:after="0" w:line="258" w:lineRule="auto"/>
        <w:tabs>
          <w:tab w:leader="none" w:pos="221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or Options issued to employees or directors of, or consultants or advisors to, the Corporation or any of its subsidiaries pursuant to a plan, agreement or arrangement approved by the Board of Directors, including the Arch Director, if any, and at least one of the Initial TRV Director or the Second TRV Director, if any, then serving on the Board of Directors, and shares of Common Stock actually issued upon the exercise or conversion of such Options, in each case provided such issuance is pursuant to the terms of such Option;</w:t>
      </w:r>
    </w:p>
    <w:p>
      <w:pPr>
        <w:spacing w:after="0" w:line="75" w:lineRule="exact"/>
        <w:rPr>
          <w:rFonts w:ascii="Times New Roman" w:cs="Times New Roman" w:eastAsia="Times New Roman" w:hAnsi="Times New Roman"/>
          <w:sz w:val="18"/>
          <w:szCs w:val="18"/>
          <w:color w:val="auto"/>
        </w:rPr>
      </w:pPr>
    </w:p>
    <w:p>
      <w:pPr>
        <w:ind w:right="80" w:firstLine="1900"/>
        <w:spacing w:after="0" w:line="256" w:lineRule="auto"/>
        <w:tabs>
          <w:tab w:leader="none" w:pos="220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including the Arch Director, if any, and at least one of the Initial TRV Director or the Second TRV Director, if any, then serving on the Board of Directors, and shares of Common Stock actually issued upon the exercise of such Options, or upon the conversion or exchange of such Convertible Securities or, in the case of Convertible Securities and Options therefor, the conversion or exchange of such Convertible Securities, in each case provided such issuance is pursuant to the terms of such Option or Convertible Security; and</w:t>
      </w:r>
    </w:p>
    <w:p>
      <w:pPr>
        <w:spacing w:after="0" w:line="79" w:lineRule="exact"/>
        <w:rPr>
          <w:rFonts w:ascii="Times New Roman" w:cs="Times New Roman" w:eastAsia="Times New Roman" w:hAnsi="Times New Roman"/>
          <w:sz w:val="18"/>
          <w:szCs w:val="18"/>
          <w:color w:val="auto"/>
        </w:rPr>
      </w:pPr>
    </w:p>
    <w:p>
      <w:pPr>
        <w:ind w:right="20" w:firstLine="1900"/>
        <w:spacing w:after="0" w:line="256" w:lineRule="auto"/>
        <w:tabs>
          <w:tab w:leader="none" w:pos="215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of Directors, including the Arch Director, if any, and at least one of the Initial TRV Director or the Second TRV Director, if any, then serving on the Board of Directors, and shares of Common Stock issuable upon the exercise of such Options, or upon the conversion or exchange of such Convertible Securities or, in the case of Convertible Securities and Options therefor, the conversion or exchange of such Convertible Securities, in each case provided such issuance is pursuant to the terms of such Option or Convertible Security.</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262" w:name="page263"/>
    <w:bookmarkEnd w:id="262"/>
    <w:p>
      <w:pPr>
        <w:ind w:right="100" w:firstLine="143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4.4.2 </w:t>
      </w:r>
      <w:r>
        <w:rPr>
          <w:rFonts w:ascii="Times New Roman" w:cs="Times New Roman" w:eastAsia="Times New Roman" w:hAnsi="Times New Roman"/>
          <w:sz w:val="18"/>
          <w:szCs w:val="18"/>
          <w:u w:val="single" w:color="auto"/>
          <w:color w:val="auto"/>
        </w:rPr>
        <w:t>No Adjustment of Conversion Price</w:t>
      </w:r>
      <w:r>
        <w:rPr>
          <w:rFonts w:ascii="Times New Roman" w:cs="Times New Roman" w:eastAsia="Times New Roman" w:hAnsi="Times New Roman"/>
          <w:sz w:val="18"/>
          <w:szCs w:val="18"/>
          <w:color w:val="auto"/>
        </w:rPr>
        <w:t>. No adjustment in any Conversion Price shall be made as the result of the issuance or deemed issuance of Additional Shares of Common Stock if the Corporation receives written notice from the holders representing the Required Vote (or in the case of the Series C Preferred Stock, the Required Series C Vote) agreeing that no such adjustment shall be made as the result of the issuance or deemed issuance of such Additional Shares of Common Stock.</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4.4.3 </w:t>
      </w:r>
      <w:r>
        <w:rPr>
          <w:rFonts w:ascii="Times New Roman" w:cs="Times New Roman" w:eastAsia="Times New Roman" w:hAnsi="Times New Roman"/>
          <w:sz w:val="18"/>
          <w:szCs w:val="18"/>
          <w:u w:val="single" w:color="auto"/>
          <w:color w:val="auto"/>
        </w:rPr>
        <w:t>Deemed Issue of Additional Shares of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979"/>
        <w:spacing w:after="0" w:line="254" w:lineRule="auto"/>
        <w:tabs>
          <w:tab w:leader="none" w:pos="222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at any time or from time to time after the Series C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91" w:lineRule="exact"/>
        <w:rPr>
          <w:rFonts w:ascii="Times New Roman" w:cs="Times New Roman" w:eastAsia="Times New Roman" w:hAnsi="Times New Roman"/>
          <w:sz w:val="18"/>
          <w:szCs w:val="18"/>
          <w:color w:val="auto"/>
        </w:rPr>
      </w:pPr>
    </w:p>
    <w:p>
      <w:pPr>
        <w:ind w:firstLine="1979"/>
        <w:spacing w:after="0" w:line="253" w:lineRule="auto"/>
        <w:tabs>
          <w:tab w:leader="none" w:pos="223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resulted in an adjustment to any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below, are revised as a result of an amendment to such terms or if any other adjustment is made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have the effect of increasing any Conversion Price to an amount which exceeds the lower of (i) such Conversion Price in effect immediately prior to the original adjustment made as a result of the issuance of such Option or Convertible Security, or (ii) such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263" w:name="page264"/>
    <w:bookmarkEnd w:id="263"/>
    <w:p>
      <w:pPr>
        <w:ind w:left="4" w:right="20" w:firstLine="1979"/>
        <w:spacing w:after="0" w:line="253" w:lineRule="auto"/>
        <w:tabs>
          <w:tab w:leader="none" w:pos="223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terms of any Option or Convertible Security (excluding Options or Convertible Securities which are themselves Exempted Securities), the issuance of which did not result in an adjustment to any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below (either because the consideration per share (determined pursuant to </w:t>
      </w:r>
      <w:r>
        <w:rPr>
          <w:rFonts w:ascii="Times New Roman" w:cs="Times New Roman" w:eastAsia="Times New Roman" w:hAnsi="Times New Roman"/>
          <w:sz w:val="18"/>
          <w:szCs w:val="18"/>
          <w:u w:val="single" w:color="auto"/>
          <w:color w:val="auto"/>
        </w:rPr>
        <w:t>Subsection 4.4.5</w:t>
      </w:r>
      <w:r>
        <w:rPr>
          <w:rFonts w:ascii="Times New Roman" w:cs="Times New Roman" w:eastAsia="Times New Roman" w:hAnsi="Times New Roman"/>
          <w:sz w:val="18"/>
          <w:szCs w:val="18"/>
          <w:color w:val="auto"/>
        </w:rPr>
        <w:t xml:space="preserve"> hereof) of the Additional Shares of Common Stock subject thereto was equal to or greater than such Conversion Price then in effect, or because such Option or Convertible Security was issued before the Series C Original Issue Date), are revised after the Series C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8"/>
          <w:szCs w:val="18"/>
          <w:u w:val="single" w:color="auto"/>
          <w:color w:val="auto"/>
        </w:rPr>
        <w:t>Subsection 4.4.3(a)</w:t>
      </w:r>
      <w:r>
        <w:rPr>
          <w:rFonts w:ascii="Times New Roman" w:cs="Times New Roman" w:eastAsia="Times New Roman" w:hAnsi="Times New Roman"/>
          <w:sz w:val="18"/>
          <w:szCs w:val="18"/>
          <w:color w:val="auto"/>
        </w:rPr>
        <w:t xml:space="preserve"> above) shall be deemed to have been issued effective upon such increase or decrease becoming effective.</w:t>
      </w:r>
    </w:p>
    <w:p>
      <w:pPr>
        <w:spacing w:after="0" w:line="191" w:lineRule="exact"/>
        <w:rPr>
          <w:rFonts w:ascii="Times New Roman" w:cs="Times New Roman" w:eastAsia="Times New Roman" w:hAnsi="Times New Roman"/>
          <w:sz w:val="18"/>
          <w:szCs w:val="18"/>
          <w:color w:val="auto"/>
        </w:rPr>
      </w:pPr>
    </w:p>
    <w:p>
      <w:pPr>
        <w:jc w:val="both"/>
        <w:ind w:left="4" w:right="200" w:firstLine="1979"/>
        <w:spacing w:after="0" w:line="261" w:lineRule="auto"/>
        <w:tabs>
          <w:tab w:leader="none" w:pos="224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any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below, such Conversion Price shall be readjusted to such Conversion Price as would have obtained had such Option or Convertible Security (or portion thereof) never been issued.</w:t>
      </w:r>
    </w:p>
    <w:p>
      <w:pPr>
        <w:spacing w:after="0" w:line="179" w:lineRule="exact"/>
        <w:rPr>
          <w:rFonts w:ascii="Times New Roman" w:cs="Times New Roman" w:eastAsia="Times New Roman" w:hAnsi="Times New Roman"/>
          <w:sz w:val="18"/>
          <w:szCs w:val="18"/>
          <w:color w:val="auto"/>
        </w:rPr>
      </w:pPr>
    </w:p>
    <w:p>
      <w:pPr>
        <w:ind w:left="4" w:right="40" w:firstLine="1979"/>
        <w:spacing w:after="0" w:line="254" w:lineRule="auto"/>
        <w:tabs>
          <w:tab w:leader="none" w:pos="223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any Conversion Price provided for in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w:t>
      </w:r>
    </w:p>
    <w:p>
      <w:pPr>
        <w:spacing w:after="0" w:line="3"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(c) of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any Conversion Price that would result under the terms of this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such Conversion Price that such issuance or amendment took place at the time such calculation can first be made.</w:t>
      </w:r>
    </w:p>
    <w:p>
      <w:pPr>
        <w:spacing w:after="0" w:line="190" w:lineRule="exact"/>
        <w:rPr>
          <w:sz w:val="20"/>
          <w:szCs w:val="20"/>
          <w:color w:val="auto"/>
        </w:rPr>
      </w:pPr>
    </w:p>
    <w:p>
      <w:pPr>
        <w:ind w:left="4" w:firstLine="1432"/>
        <w:spacing w:after="0" w:line="256" w:lineRule="auto"/>
        <w:rPr>
          <w:sz w:val="20"/>
          <w:szCs w:val="20"/>
          <w:color w:val="auto"/>
        </w:rPr>
      </w:pPr>
      <w:r>
        <w:rPr>
          <w:rFonts w:ascii="Times New Roman" w:cs="Times New Roman" w:eastAsia="Times New Roman" w:hAnsi="Times New Roman"/>
          <w:sz w:val="18"/>
          <w:szCs w:val="18"/>
          <w:color w:val="auto"/>
        </w:rPr>
        <w:t xml:space="preserve">4.4.4 </w:t>
      </w:r>
      <w:r>
        <w:rPr>
          <w:rFonts w:ascii="Times New Roman" w:cs="Times New Roman" w:eastAsia="Times New Roman" w:hAnsi="Times New Roman"/>
          <w:sz w:val="18"/>
          <w:szCs w:val="18"/>
          <w:u w:val="single" w:color="auto"/>
          <w:color w:val="auto"/>
        </w:rPr>
        <w:t>Adjustment of Conversion Price Upon Issuance of Additional Shares of Common Stock</w:t>
      </w:r>
      <w:r>
        <w:rPr>
          <w:rFonts w:ascii="Times New Roman" w:cs="Times New Roman" w:eastAsia="Times New Roman" w:hAnsi="Times New Roman"/>
          <w:sz w:val="18"/>
          <w:szCs w:val="18"/>
          <w:color w:val="auto"/>
        </w:rPr>
        <w:t>. In the event the Corporation shall at any time after the Series C Original Issue Date issue Additional Shares of Common Stock (including Additional Shares of Common Stock deemed to be issued pursuant to Subsection 4.4.3), without consideration or for a consideration per share less than (x) the Series A Conversion Price in the case of the Series A Preferred Stock, (y) the Series B Conversion Price in the case of the Series B Preferred Stock or (z) the Series C Conversion Price in case of the Series C Preferred Stock, in each case in effect immediately prior to such issue, then such Conversion Price shall be reduced, concurrently with such issue, to a price (calculated to the nearest one-hundredth of a cent) determined in accordance with the following formula:</w:t>
      </w:r>
    </w:p>
    <w:p>
      <w:pPr>
        <w:spacing w:after="0" w:line="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 (A + B)) / (A + C).</w:t>
      </w:r>
    </w:p>
    <w:p>
      <w:pPr>
        <w:spacing w:after="0" w:line="1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64" w:name="page265"/>
    <w:bookmarkEnd w:id="264"/>
    <w:p>
      <w:pPr>
        <w:ind w:right="280"/>
        <w:spacing w:after="0" w:line="30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the foregoing formula, the following definitions shall apply: “CP</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shall mean the applicable Conversion Price in effect immediately after such issue of Additional Shares of Common Stock;</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“CP</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shall mean the applicable Conversion Price in effect immediately after such issue of Additional Shares of Common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shall mean the applicable Conversion Price in effect immediately prior to such issue of Additional Shares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05" w:lineRule="exact"/>
        <w:rPr>
          <w:sz w:val="20"/>
          <w:szCs w:val="20"/>
          <w:color w:val="auto"/>
        </w:rPr>
      </w:pPr>
    </w:p>
    <w:p>
      <w:pPr>
        <w:jc w:val="both"/>
        <w:ind w:firstLine="1979"/>
        <w:spacing w:after="0" w:line="261" w:lineRule="auto"/>
        <w:tabs>
          <w:tab w:leader="none" w:pos="222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79" w:lineRule="exact"/>
        <w:rPr>
          <w:rFonts w:ascii="Times New Roman" w:cs="Times New Roman" w:eastAsia="Times New Roman" w:hAnsi="Times New Roman"/>
          <w:sz w:val="18"/>
          <w:szCs w:val="18"/>
          <w:color w:val="auto"/>
        </w:rPr>
      </w:pPr>
    </w:p>
    <w:p>
      <w:pPr>
        <w:ind w:right="260" w:firstLine="1979"/>
        <w:spacing w:after="0" w:line="266" w:lineRule="auto"/>
        <w:tabs>
          <w:tab w:leader="none" w:pos="223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shall mean the number of shares of Common Stock that would have been issued if such Additional Shares of Common Stock had been issued at a price per share equal to CP1 (determined by dividing the aggregate consideration received by the Corporation in respect of such issue by CP1); and</w:t>
      </w:r>
    </w:p>
    <w:p>
      <w:pPr>
        <w:spacing w:after="0" w:line="175" w:lineRule="exact"/>
        <w:rPr>
          <w:rFonts w:ascii="Times New Roman" w:cs="Times New Roman" w:eastAsia="Times New Roman" w:hAnsi="Times New Roman"/>
          <w:sz w:val="18"/>
          <w:szCs w:val="18"/>
          <w:color w:val="auto"/>
        </w:rPr>
      </w:pPr>
    </w:p>
    <w:p>
      <w:pPr>
        <w:ind w:left="2220" w:hanging="241"/>
        <w:spacing w:after="0"/>
        <w:tabs>
          <w:tab w:leader="none" w:pos="22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shall mean the number of such Additional Shares of Common Stock issued in such transaction.</w:t>
      </w:r>
    </w:p>
    <w:p>
      <w:pPr>
        <w:spacing w:after="0" w:line="225" w:lineRule="exact"/>
        <w:rPr>
          <w:sz w:val="20"/>
          <w:szCs w:val="20"/>
          <w:color w:val="auto"/>
        </w:rPr>
      </w:pPr>
    </w:p>
    <w:p>
      <w:pPr>
        <w:ind w:right="340" w:firstLine="1432"/>
        <w:spacing w:after="0" w:line="282" w:lineRule="auto"/>
        <w:rPr>
          <w:sz w:val="20"/>
          <w:szCs w:val="20"/>
          <w:color w:val="auto"/>
        </w:rPr>
      </w:pPr>
      <w:r>
        <w:rPr>
          <w:rFonts w:ascii="Times New Roman" w:cs="Times New Roman" w:eastAsia="Times New Roman" w:hAnsi="Times New Roman"/>
          <w:sz w:val="18"/>
          <w:szCs w:val="18"/>
          <w:color w:val="auto"/>
        </w:rPr>
        <w:t xml:space="preserve">4.4.5 </w:t>
      </w:r>
      <w:r>
        <w:rPr>
          <w:rFonts w:ascii="Times New Roman" w:cs="Times New Roman" w:eastAsia="Times New Roman" w:hAnsi="Times New Roman"/>
          <w:sz w:val="18"/>
          <w:szCs w:val="18"/>
          <w:u w:val="single" w:color="auto"/>
          <w:color w:val="auto"/>
        </w:rPr>
        <w:t>Determination of Consideration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Subsection 4.4</w:t>
      </w:r>
      <w:r>
        <w:rPr>
          <w:rFonts w:ascii="Times New Roman" w:cs="Times New Roman" w:eastAsia="Times New Roman" w:hAnsi="Times New Roman"/>
          <w:sz w:val="18"/>
          <w:szCs w:val="18"/>
          <w:color w:val="auto"/>
        </w:rPr>
        <w:t>, the consideration received by the Corporation for the issue of any Additional Shares of Common Stock shall be computed as follows:</w:t>
      </w:r>
    </w:p>
    <w:p>
      <w:pPr>
        <w:spacing w:after="0" w:line="162" w:lineRule="exact"/>
        <w:rPr>
          <w:sz w:val="20"/>
          <w:szCs w:val="20"/>
          <w:color w:val="auto"/>
        </w:rPr>
      </w:pPr>
    </w:p>
    <w:p>
      <w:pPr>
        <w:ind w:left="2220" w:hanging="241"/>
        <w:spacing w:after="0"/>
        <w:tabs>
          <w:tab w:leader="none" w:pos="22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w:t>
      </w:r>
    </w:p>
    <w:p>
      <w:pPr>
        <w:spacing w:after="0" w:line="117" w:lineRule="exact"/>
        <w:rPr>
          <w:rFonts w:ascii="Times New Roman" w:cs="Times New Roman" w:eastAsia="Times New Roman" w:hAnsi="Times New Roman"/>
          <w:sz w:val="18"/>
          <w:szCs w:val="18"/>
          <w:color w:val="auto"/>
        </w:rPr>
      </w:pPr>
    </w:p>
    <w:p>
      <w:pPr>
        <w:ind w:left="440" w:right="240" w:firstLine="1900"/>
        <w:spacing w:after="0" w:line="282" w:lineRule="auto"/>
        <w:tabs>
          <w:tab w:leader="none" w:pos="255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Corporation, excluding amounts paid or payable for accrued interest;</w:t>
      </w:r>
    </w:p>
    <w:p>
      <w:pPr>
        <w:spacing w:after="0" w:line="53" w:lineRule="exact"/>
        <w:rPr>
          <w:rFonts w:ascii="Times New Roman" w:cs="Times New Roman" w:eastAsia="Times New Roman" w:hAnsi="Times New Roman"/>
          <w:sz w:val="18"/>
          <w:szCs w:val="18"/>
          <w:color w:val="auto"/>
        </w:rPr>
      </w:pPr>
    </w:p>
    <w:p>
      <w:pPr>
        <w:ind w:left="440" w:right="60" w:firstLine="1900"/>
        <w:spacing w:after="0" w:line="266" w:lineRule="auto"/>
        <w:tabs>
          <w:tab w:leader="none" w:pos="260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of Directors, including the Arch Director, if any, and at least one of the Initial TRV Director or the Second TRV Director, if any, then serving on the Board of Directors;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162" w:right="459" w:bottom="1440" w:gutter="0" w:footer="0" w:header="0"/>
        </w:sectPr>
      </w:pPr>
    </w:p>
    <w:bookmarkStart w:id="265" w:name="page266"/>
    <w:bookmarkEnd w:id="265"/>
    <w:p>
      <w:pPr>
        <w:ind w:left="440" w:right="40" w:firstLine="1900"/>
        <w:spacing w:after="0" w:line="261" w:lineRule="auto"/>
        <w:tabs>
          <w:tab w:leader="none" w:pos="265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Additional Shares of Common Stock are issued together with other shares or securities or other assets of the Corporation for consideration which covers both, be the proportion of such consideration so received that is attributable to the Additional Shares of Common Stock, computed as provided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as determined in good faith by the Board of Directors, including the Arch Director, if any, and at least one of the Initial TRV Director or the Second TRV Director, if any, then serving on the Board of Directors.</w:t>
      </w:r>
    </w:p>
    <w:p>
      <w:pPr>
        <w:spacing w:after="0" w:line="179" w:lineRule="exact"/>
        <w:rPr>
          <w:rFonts w:ascii="Times New Roman" w:cs="Times New Roman" w:eastAsia="Times New Roman" w:hAnsi="Times New Roman"/>
          <w:sz w:val="18"/>
          <w:szCs w:val="18"/>
          <w:color w:val="auto"/>
        </w:rPr>
      </w:pPr>
    </w:p>
    <w:p>
      <w:pPr>
        <w:ind w:right="300" w:firstLine="1979"/>
        <w:spacing w:after="0" w:line="266" w:lineRule="auto"/>
        <w:tabs>
          <w:tab w:leader="none" w:pos="223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8"/>
          <w:szCs w:val="18"/>
          <w:u w:val="single" w:color="auto"/>
          <w:color w:val="auto"/>
        </w:rPr>
        <w:t>Subsection 4.4.3</w:t>
      </w:r>
      <w:r>
        <w:rPr>
          <w:rFonts w:ascii="Times New Roman" w:cs="Times New Roman" w:eastAsia="Times New Roman" w:hAnsi="Times New Roman"/>
          <w:sz w:val="18"/>
          <w:szCs w:val="18"/>
          <w:color w:val="auto"/>
        </w:rPr>
        <w:t>, relating to Options and Convertible Securities, shall be determined by dividing</w:t>
      </w:r>
    </w:p>
    <w:p>
      <w:pPr>
        <w:spacing w:after="0" w:line="67" w:lineRule="exact"/>
        <w:rPr>
          <w:rFonts w:ascii="Times New Roman" w:cs="Times New Roman" w:eastAsia="Times New Roman" w:hAnsi="Times New Roman"/>
          <w:sz w:val="18"/>
          <w:szCs w:val="18"/>
          <w:color w:val="auto"/>
        </w:rPr>
      </w:pPr>
    </w:p>
    <w:p>
      <w:pPr>
        <w:ind w:left="440" w:right="40" w:firstLine="1900"/>
        <w:spacing w:after="0" w:line="258" w:lineRule="auto"/>
        <w:tabs>
          <w:tab w:leader="none" w:pos="255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75" w:lineRule="exact"/>
        <w:rPr>
          <w:sz w:val="20"/>
          <w:szCs w:val="20"/>
          <w:color w:val="auto"/>
        </w:rPr>
      </w:pPr>
    </w:p>
    <w:p>
      <w:pPr>
        <w:ind w:left="440" w:right="40" w:firstLine="1900"/>
        <w:spacing w:after="0" w:line="261" w:lineRule="auto"/>
        <w:tabs>
          <w:tab w:leader="none" w:pos="260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0" w:lineRule="exact"/>
        <w:rPr>
          <w:sz w:val="20"/>
          <w:szCs w:val="20"/>
          <w:color w:val="auto"/>
        </w:rPr>
      </w:pPr>
    </w:p>
    <w:p>
      <w:pPr>
        <w:ind w:right="1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4.4.6 </w:t>
      </w:r>
      <w:r>
        <w:rPr>
          <w:rFonts w:ascii="Times New Roman" w:cs="Times New Roman" w:eastAsia="Times New Roman" w:hAnsi="Times New Roman"/>
          <w:sz w:val="18"/>
          <w:szCs w:val="18"/>
          <w:u w:val="single" w:color="auto"/>
          <w:color w:val="auto"/>
        </w:rPr>
        <w:t>Multiple Closing Dates</w:t>
      </w:r>
      <w:r>
        <w:rPr>
          <w:rFonts w:ascii="Times New Roman" w:cs="Times New Roman" w:eastAsia="Times New Roman" w:hAnsi="Times New Roman"/>
          <w:sz w:val="18"/>
          <w:szCs w:val="18"/>
          <w:color w:val="auto"/>
        </w:rPr>
        <w:t xml:space="preserve">. In the event the Corporation shall issue on more than one date Additional Shares of Common Stock that are a part of one transaction or a series of related transactions and that would result in an adjustment to any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xml:space="preserve"> above then, upon the final such issuance, such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Adjustment for Stock Splits and Combinations</w:t>
      </w:r>
      <w:r>
        <w:rPr>
          <w:rFonts w:ascii="Times New Roman" w:cs="Times New Roman" w:eastAsia="Times New Roman" w:hAnsi="Times New Roman"/>
          <w:sz w:val="18"/>
          <w:szCs w:val="18"/>
          <w:color w:val="auto"/>
        </w:rPr>
        <w:t>. If the Corporation shall at any time or from time to time after the Series C Original Issue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C Original Issue Date combine the outstanding shares of Common Stock, the applicable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66" w:name="page267"/>
    <w:bookmarkEnd w:id="266"/>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4.6 </w:t>
      </w:r>
      <w:r>
        <w:rPr>
          <w:rFonts w:ascii="Times New Roman" w:cs="Times New Roman" w:eastAsia="Times New Roman" w:hAnsi="Times New Roman"/>
          <w:sz w:val="18"/>
          <w:szCs w:val="18"/>
          <w:u w:val="single" w:color="auto"/>
          <w:color w:val="auto"/>
        </w:rPr>
        <w:t>Adjustment for Certain Dividends and Distributions</w:t>
      </w:r>
      <w:r>
        <w:rPr>
          <w:rFonts w:ascii="Times New Roman" w:cs="Times New Roman" w:eastAsia="Times New Roman" w:hAnsi="Times New Roman"/>
          <w:sz w:val="18"/>
          <w:szCs w:val="18"/>
          <w:color w:val="auto"/>
        </w:rPr>
        <w:t>. In the event the Corporation at any time or from time to time after the Series C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such Conversion Price then in effect by a fraction:</w:t>
      </w:r>
    </w:p>
    <w:p>
      <w:pPr>
        <w:spacing w:after="0" w:line="89" w:lineRule="exact"/>
        <w:rPr>
          <w:sz w:val="20"/>
          <w:szCs w:val="20"/>
          <w:color w:val="auto"/>
        </w:rPr>
      </w:pPr>
    </w:p>
    <w:p>
      <w:pPr>
        <w:ind w:left="960" w:right="40" w:hanging="532"/>
        <w:spacing w:after="0" w:line="282" w:lineRule="auto"/>
        <w:tabs>
          <w:tab w:leader="none" w:pos="9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67" w:lineRule="exact"/>
        <w:rPr>
          <w:rFonts w:ascii="Times New Roman" w:cs="Times New Roman" w:eastAsia="Times New Roman" w:hAnsi="Times New Roman"/>
          <w:sz w:val="18"/>
          <w:szCs w:val="18"/>
          <w:color w:val="auto"/>
        </w:rPr>
      </w:pPr>
    </w:p>
    <w:p>
      <w:pPr>
        <w:ind w:left="960" w:right="240" w:hanging="532"/>
        <w:spacing w:after="0" w:line="266" w:lineRule="auto"/>
        <w:tabs>
          <w:tab w:leader="none" w:pos="9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such Conversion Price shall be adjusted pursuant to this subsection as of the time of actual payment of such dividends or distributions; and (b) no such adjustment shall be made if the holders of Preferred Stock simultaneously receive a dividend or other distribution of shares of Common Stock in a number equal to the number of shares of Common Stock they would have received if all outstanding shares of Preferred Stock had been converted into Common Stock on the date of such event.</w:t>
      </w:r>
    </w:p>
    <w:p>
      <w:pPr>
        <w:spacing w:after="0" w:line="18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xml:space="preserve">. In the event the Corporation at any time or from time to time after the Series C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they would have received if all outstanding shares of Preferred Stock had been converted into Common Stock on the date of such event.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67" w:name="page268"/>
    <w:bookmarkEnd w:id="267"/>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4.8 </w:t>
      </w:r>
      <w:r>
        <w:rPr>
          <w:rFonts w:ascii="Times New Roman" w:cs="Times New Roman" w:eastAsia="Times New Roman" w:hAnsi="Times New Roman"/>
          <w:sz w:val="18"/>
          <w:szCs w:val="18"/>
          <w:u w:val="single" w:color="auto"/>
          <w:color w:val="auto"/>
        </w:rPr>
        <w:t>Adjustment for Merger or Reorganization, etc</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Subsection 2.3</w:t>
      </w:r>
      <w:r>
        <w:rPr>
          <w:rFonts w:ascii="Times New Roman" w:cs="Times New Roman" w:eastAsia="Times New Roman" w:hAnsi="Times New Roman"/>
          <w:sz w:val="18"/>
          <w:szCs w:val="18"/>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18"/>
          <w:szCs w:val="18"/>
          <w:u w:val="single" w:color="auto"/>
          <w:color w:val="auto"/>
        </w:rPr>
        <w:t>Subsection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the Common Stock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including the Arch Director, if any, and at least one of the Initial TRV Director or the Second TRV Director, if any, then serving on the Board of Directors) shall be made in the application of the provisions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 For the avoidance of doubt, nothing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be construed as preventing the holders of Preferred Stock from seeking any appraisal rights to which they are otherwise entitled under the General Corporation Law in connection with a merger triggering an adjustment hereunder, nor shall this </w:t>
      </w:r>
      <w:r>
        <w:rPr>
          <w:rFonts w:ascii="Times New Roman" w:cs="Times New Roman" w:eastAsia="Times New Roman" w:hAnsi="Times New Roman"/>
          <w:sz w:val="18"/>
          <w:szCs w:val="18"/>
          <w:u w:val="single" w:color="auto"/>
          <w:color w:val="auto"/>
        </w:rPr>
        <w:t>Subsection 4.8</w:t>
      </w:r>
      <w:r>
        <w:rPr>
          <w:rFonts w:ascii="Times New Roman" w:cs="Times New Roman" w:eastAsia="Times New Roman" w:hAnsi="Times New Roman"/>
          <w:sz w:val="18"/>
          <w:szCs w:val="18"/>
          <w:color w:val="auto"/>
        </w:rPr>
        <w:t xml:space="preserve"> be deemed conclusive evidence of the fair value of the shares of Preferred Stock in any such appraisal proceeding.</w:t>
      </w:r>
    </w:p>
    <w:p>
      <w:pPr>
        <w:spacing w:after="0" w:line="19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xml:space="preserve">. Upon the occurrence of each adjustment or readjustment of any Conversion Price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at its expense shall, as promptly as reasonably practicable but in any event not later than fifteen (15)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fifteen (15) days thereafter),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Preferred Stock.</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Notice of Record Date</w:t>
      </w:r>
      <w:r>
        <w:rPr>
          <w:rFonts w:ascii="Times New Roman" w:cs="Times New Roman" w:eastAsia="Times New Roman" w:hAnsi="Times New Roman"/>
          <w:sz w:val="18"/>
          <w:szCs w:val="18"/>
          <w:color w:val="auto"/>
        </w:rPr>
        <w:t>. In the event:</w:t>
      </w:r>
    </w:p>
    <w:p>
      <w:pPr>
        <w:spacing w:after="0" w:line="225" w:lineRule="exact"/>
        <w:rPr>
          <w:sz w:val="20"/>
          <w:szCs w:val="20"/>
          <w:color w:val="auto"/>
        </w:rPr>
      </w:pPr>
    </w:p>
    <w:p>
      <w:pPr>
        <w:ind w:right="40" w:firstLine="1979"/>
        <w:spacing w:after="0" w:line="266" w:lineRule="auto"/>
        <w:tabs>
          <w:tab w:leader="none" w:pos="222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75"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capital reorganization of the Corporation, any reclassification of the Common Stock, or any Deemed Liquidation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268" w:name="page269"/>
    <w:bookmarkEnd w:id="268"/>
    <w:p>
      <w:pPr>
        <w:ind w:firstLine="1979"/>
        <w:spacing w:after="0" w:line="254" w:lineRule="auto"/>
        <w:tabs>
          <w:tab w:leader="none" w:pos="2227"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voluntary or involuntary dissolution, liquidation or winding-up of the Corporation, 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winding-up or a Deemed Liquidation Event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winding-up or a Deemed Liquidation Event,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Upon either (a) the date and time, or the occurrence of an event, specified by vote or written consent of the holders representing the Required Vote or (b) the closing of the sale of shares of Common Stock to the public in a firm commitment underwritten public offering pursuant to an effective registration statement under the Securities Act of 1933, as amended, provided that such offering results in at least $75 million of gross proceeds, after deducting the underwriting discount and commissions, to the Corporation (such an event a “</w:t>
      </w:r>
      <w:r>
        <w:rPr>
          <w:rFonts w:ascii="Times New Roman" w:cs="Times New Roman" w:eastAsia="Times New Roman" w:hAnsi="Times New Roman"/>
          <w:sz w:val="18"/>
          <w:szCs w:val="18"/>
          <w:b w:val="1"/>
          <w:bCs w:val="1"/>
          <w:color w:val="auto"/>
        </w:rPr>
        <w:t>QPO</w:t>
      </w:r>
      <w:r>
        <w:rPr>
          <w:rFonts w:ascii="Times New Roman" w:cs="Times New Roman" w:eastAsia="Times New Roman" w:hAnsi="Times New Roman"/>
          <w:sz w:val="18"/>
          <w:szCs w:val="18"/>
          <w:color w:val="auto"/>
        </w:rPr>
        <w:t>”) (the date and time specified or the time of the event specified in such vote or written consent, or the time of such closing, respectively, is referred to herein as the “</w:t>
      </w:r>
      <w:r>
        <w:rPr>
          <w:rFonts w:ascii="Times New Roman" w:cs="Times New Roman" w:eastAsia="Times New Roman" w:hAnsi="Times New Roman"/>
          <w:sz w:val="18"/>
          <w:szCs w:val="18"/>
          <w:b w:val="1"/>
          <w:bCs w:val="1"/>
          <w:color w:val="auto"/>
        </w:rPr>
        <w:t>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Conversion Time</w:t>
      </w:r>
      <w:r>
        <w:rPr>
          <w:rFonts w:ascii="Times New Roman" w:cs="Times New Roman" w:eastAsia="Times New Roman" w:hAnsi="Times New Roman"/>
          <w:sz w:val="18"/>
          <w:szCs w:val="18"/>
          <w:color w:val="auto"/>
        </w:rPr>
        <w:t>”), (i) all outstanding shares of Preferred Stock shall automatically be converted into shares of Common Stock, at the then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rate thereof, and (ii) such shares of Preferred Stock may not be reissued by the Corporation.</w:t>
      </w:r>
    </w:p>
    <w:p>
      <w:pPr>
        <w:spacing w:after="0" w:line="189" w:lineRule="exact"/>
        <w:rPr>
          <w:sz w:val="20"/>
          <w:szCs w:val="20"/>
          <w:color w:val="auto"/>
        </w:rPr>
      </w:pPr>
    </w:p>
    <w:p>
      <w:pPr>
        <w:ind w:right="60" w:firstLine="991"/>
        <w:spacing w:after="0" w:line="25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Procedural Requirements</w:t>
      </w:r>
      <w:r>
        <w:rPr>
          <w:rFonts w:ascii="Times New Roman" w:cs="Times New Roman" w:eastAsia="Times New Roman" w:hAnsi="Times New Roman"/>
          <w:sz w:val="18"/>
          <w:szCs w:val="18"/>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Such notice need not be sent in advance of the occurrence of the Mandatory Conversion Time. Upon receipt of such notice, each holder of shares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At the Mandatory Conversion Time, all outstanding shares of Preferred Stock shall be deemed to have been converted into shares of Common Stock (notwithstanding the failure of the holder or holders thereof to surrender any certificates at or prior to such time), which shall be deemed to be outstanding of record as of such time, and all rights with respect to the Preferred Stock so converted, including the rights, if any, to receive notices and vote (other than as a holder of Common Stock), will terminate, except only the rights of the holders thereof, upon surrender of their certificate or certificates (or lost certificate affidavit and agreement) therefor, to receive the items provided for in the last sentence of this </w:t>
      </w:r>
      <w:r>
        <w:rPr>
          <w:rFonts w:ascii="Times New Roman" w:cs="Times New Roman" w:eastAsia="Times New Roman" w:hAnsi="Times New Roman"/>
          <w:sz w:val="18"/>
          <w:szCs w:val="18"/>
          <w:u w:val="single" w:color="auto"/>
          <w:color w:val="auto"/>
        </w:rPr>
        <w:t>Subsection 5.2</w:t>
      </w:r>
      <w:r>
        <w:rPr>
          <w:rFonts w:ascii="Times New Roman" w:cs="Times New Roman" w:eastAsia="Times New Roman" w:hAnsi="Times New Roman"/>
          <w:sz w:val="18"/>
          <w:szCs w:val="18"/>
          <w:color w:val="auto"/>
        </w:rPr>
        <w:t>, and to receive payment of any dividends accrued and declared but unpaid thereon. If so required by the Corporation, certificates surrendered for conversion shall be endorsed or accompanied by written instrument or instruments of transfer, in form satisfactory to the Corporation, duly executed by the registered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69" w:name="page270"/>
    <w:bookmarkEnd w:id="269"/>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holder or by his, her or its attorney duly authorized in writing. As soon as practicable after the Mandatory Conversion Time and the surrender of the certificate or certificates (or lost certificate affidavit and agreement) for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Times New Roman" w:cs="Times New Roman" w:eastAsia="Times New Roman" w:hAnsi="Times New Roman"/>
          <w:sz w:val="18"/>
          <w:szCs w:val="18"/>
          <w:u w:val="single" w:color="auto"/>
          <w:color w:val="auto"/>
        </w:rPr>
        <w:t>Subsection 4.2</w:t>
      </w:r>
      <w:r>
        <w:rPr>
          <w:rFonts w:ascii="Times New Roman" w:cs="Times New Roman" w:eastAsia="Times New Roman" w:hAnsi="Times New Roman"/>
          <w:sz w:val="18"/>
          <w:szCs w:val="18"/>
          <w:color w:val="auto"/>
        </w:rPr>
        <w:t xml:space="preserve"> in lieu of any fraction of a share of Common Stock otherwise issuable upon such conversion and the payment of any declared but unpaid dividends on the shares of Preferred Stock converted.</w:t>
      </w:r>
    </w:p>
    <w:p>
      <w:pPr>
        <w:spacing w:after="0" w:line="183"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Effect of Mandatory Conversion</w:t>
      </w:r>
      <w:r>
        <w:rPr>
          <w:rFonts w:ascii="Times New Roman" w:cs="Times New Roman" w:eastAsia="Times New Roman" w:hAnsi="Times New Roman"/>
          <w:sz w:val="18"/>
          <w:szCs w:val="18"/>
          <w:color w:val="auto"/>
        </w:rPr>
        <w:t>.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76" w:lineRule="exact"/>
        <w:rPr>
          <w:sz w:val="20"/>
          <w:szCs w:val="20"/>
          <w:color w:val="auto"/>
        </w:rPr>
      </w:pPr>
    </w:p>
    <w:p>
      <w:pPr>
        <w:ind w:right="120" w:firstLine="436"/>
        <w:spacing w:after="0" w:line="266" w:lineRule="auto"/>
        <w:tabs>
          <w:tab w:leader="none" w:pos="6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Redeemed or Otherwise Acquired Shares</w:t>
      </w:r>
      <w:r>
        <w:rPr>
          <w:rFonts w:ascii="Times New Roman" w:cs="Times New Roman" w:eastAsia="Times New Roman" w:hAnsi="Times New Roman"/>
          <w:sz w:val="18"/>
          <w:szCs w:val="18"/>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of the rights, powers, preferences and other terms of any series of Preferred Stock (other than the Series C Preferred Stock with respect to Article Fourth, Part B Section 3.4 hereof, the provisions of which can only be waived with the Required Series C Vote) set forth herein may be waived on behalf of all holders of Preferred Stock by the affirmative written consent or vote of the holders representing the Required Vote.</w:t>
      </w:r>
    </w:p>
    <w:p>
      <w:pPr>
        <w:spacing w:after="0" w:line="175" w:lineRule="exact"/>
        <w:rPr>
          <w:rFonts w:ascii="Times New Roman" w:cs="Times New Roman" w:eastAsia="Times New Roman" w:hAnsi="Times New Roman"/>
          <w:sz w:val="18"/>
          <w:szCs w:val="18"/>
          <w:color w:val="auto"/>
        </w:rPr>
      </w:pPr>
    </w:p>
    <w:p>
      <w:pPr>
        <w:jc w:val="both"/>
        <w:ind w:right="220" w:firstLine="436"/>
        <w:spacing w:after="0" w:line="266" w:lineRule="auto"/>
        <w:tabs>
          <w:tab w:leader="none" w:pos="6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72" w:lineRule="exact"/>
        <w:rPr>
          <w:sz w:val="20"/>
          <w:szCs w:val="20"/>
          <w:color w:val="auto"/>
        </w:rPr>
      </w:pPr>
    </w:p>
    <w:p>
      <w:pPr>
        <w:ind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FIFTH</w:t>
      </w:r>
      <w:r>
        <w:rPr>
          <w:rFonts w:ascii="Times New Roman" w:cs="Times New Roman" w:eastAsia="Times New Roman" w:hAnsi="Times New Roman"/>
          <w:sz w:val="17"/>
          <w:szCs w:val="17"/>
          <w:color w:val="auto"/>
        </w:rPr>
        <w:t>: Subject to any additional vote required by the Certificate of Incorporation, in furtherance and not in limitation of the powers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conferred by statute, the Board of Directors is expressly authorized to make, repeal, alter, amend and rescind any or all of the Bylaws of the Corporation.</w:t>
      </w:r>
    </w:p>
    <w:p>
      <w:pPr>
        <w:spacing w:after="0" w:line="132"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Subject to any additional vote required by the Certificate of Incorporation, the number of directors of the Corporation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determined in the manner set forth in the Bylaws of the Corporation. Each director shall be entitled to one vote on each matter presented to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 long as the holders of Preferred Stock are entitled to elect a Preferred Director, the affirmative vote of the Arch Director, if any, and at least one of the Initial TRV Director or the Second TRV Director, if any, then serving on the Board of Directors shall be required for the authorization by the Board of Directors of any of the matters set forth in Section 5.4 of the Amended and Restated Investors’ Rights Agreement, dated as of December [8], 2021, by and among the Corporation and the other parties thereto, as such agreement may be amended from time to time;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notwithstanding the foregoing, until the stockholders of the Corporation have duly elected the CEO Director (as defined in the Stockholders Agreement), each vote of the Initial TRV Director shall count as two (2) votes on each matter presented to the Board of Directors.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70" w:name="page271"/>
    <w:bookmarkEnd w:id="270"/>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SEVENTH</w:t>
      </w:r>
      <w:r>
        <w:rPr>
          <w:rFonts w:ascii="Times New Roman" w:cs="Times New Roman" w:eastAsia="Times New Roman" w:hAnsi="Times New Roman"/>
          <w:sz w:val="18"/>
          <w:szCs w:val="18"/>
          <w:color w:val="auto"/>
        </w:rPr>
        <w:t>: Elections of directors need not be by written ballot unless the Bylaws of the Corporation shall so provide.</w:t>
      </w:r>
    </w:p>
    <w:p>
      <w:pPr>
        <w:spacing w:after="0" w:line="225"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EIGHTH</w:t>
      </w:r>
      <w:r>
        <w:rPr>
          <w:rFonts w:ascii="Times New Roman" w:cs="Times New Roman" w:eastAsia="Times New Roman" w:hAnsi="Times New Roman"/>
          <w:sz w:val="18"/>
          <w:szCs w:val="18"/>
          <w:color w:val="auto"/>
        </w:rPr>
        <w:t>: Meetings of stockholders may be held within or without the State of Delaware, as the Bylaws of the Corporation may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books of the Corporation may be kept outside the State of Delaware at such place or places as may be designated from time to time by the Board of Directors or in the Bylaws of the Corporation.</w:t>
      </w:r>
    </w:p>
    <w:p>
      <w:pPr>
        <w:spacing w:after="0" w:line="171"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NINTH</w:t>
      </w:r>
      <w:r>
        <w:rPr>
          <w:rFonts w:ascii="Times New Roman" w:cs="Times New Roman" w:eastAsia="Times New Roman" w:hAnsi="Times New Roman"/>
          <w:sz w:val="18"/>
          <w:szCs w:val="18"/>
          <w:color w:val="auto"/>
        </w:rPr>
        <w:t>: To the fullest extent permitted by law, a director of the Corporation shall not be personally liable to the Corporation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3" w:lineRule="exact"/>
        <w:rPr>
          <w:sz w:val="20"/>
          <w:szCs w:val="20"/>
          <w:color w:val="auto"/>
        </w:rPr>
      </w:pPr>
    </w:p>
    <w:p>
      <w:pPr>
        <w:jc w:val="both"/>
        <w:ind w:right="280" w:firstLine="991"/>
        <w:spacing w:after="0" w:line="266" w:lineRule="auto"/>
        <w:rPr>
          <w:sz w:val="20"/>
          <w:szCs w:val="20"/>
          <w:color w:val="auto"/>
        </w:rPr>
      </w:pPr>
      <w:r>
        <w:rPr>
          <w:rFonts w:ascii="Times New Roman" w:cs="Times New Roman" w:eastAsia="Times New Roman" w:hAnsi="Times New Roman"/>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2"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TENTH</w:t>
      </w:r>
      <w:r>
        <w:rPr>
          <w:rFonts w:ascii="Times New Roman" w:cs="Times New Roman" w:eastAsia="Times New Roman" w:hAnsi="Times New Roman"/>
          <w:sz w:val="18"/>
          <w:szCs w:val="18"/>
          <w:color w:val="auto"/>
        </w:rPr>
        <w:t>: To the fullest extent permitted by applicable law, the Corporation is authorized to provide indemnification of (and advancement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80"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176"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ELEVENTH</w:t>
      </w:r>
      <w:r>
        <w:rPr>
          <w:rFonts w:ascii="Times New Roman" w:cs="Times New Roman" w:eastAsia="Times New Roman" w:hAnsi="Times New Roman"/>
          <w:sz w:val="18"/>
          <w:szCs w:val="18"/>
          <w:color w:val="auto"/>
        </w:rPr>
        <w:t>: The Corporation renounces, to the fullest extent permitted by law, any interest or expectancy of the Corporation 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offered an opportunity to participate in, any Excluded Opportunity (as defined below). An “</w:t>
      </w:r>
      <w:r>
        <w:rPr>
          <w:rFonts w:ascii="Times New Roman" w:cs="Times New Roman" w:eastAsia="Times New Roman" w:hAnsi="Times New Roman"/>
          <w:sz w:val="18"/>
          <w:szCs w:val="18"/>
          <w:b w:val="1"/>
          <w:bCs w:val="1"/>
          <w:color w:val="auto"/>
        </w:rPr>
        <w:t>Excluded Opportunity</w:t>
      </w:r>
      <w:r>
        <w:rPr>
          <w:rFonts w:ascii="Times New Roman" w:cs="Times New Roman" w:eastAsia="Times New Roman" w:hAnsi="Times New Roman"/>
          <w:sz w:val="18"/>
          <w:szCs w:val="18"/>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66" w:right="519" w:bottom="1440" w:gutter="0" w:footer="0" w:header="0"/>
        </w:sectPr>
      </w:pPr>
    </w:p>
    <w:bookmarkStart w:id="271" w:name="page272"/>
    <w:bookmarkEnd w:id="271"/>
    <w:p>
      <w:pPr>
        <w:ind w:left="4"/>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employee of the Corporation or any of its subsidiaries ((i) and (ii) collectively,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Restated Certificate, the affirmative vote of the holders of the Required Vote will be required to amend or repeal, or to adopt any provisions inconsistent with this Article Eleventh.</w:t>
      </w:r>
    </w:p>
    <w:p>
      <w:pPr>
        <w:spacing w:after="0" w:line="182"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TWELFTH</w:t>
      </w:r>
      <w:r>
        <w:rPr>
          <w:rFonts w:ascii="Times New Roman" w:cs="Times New Roman" w:eastAsia="Times New Roman" w:hAnsi="Times New Roman"/>
          <w:sz w:val="18"/>
          <w:szCs w:val="18"/>
          <w:color w:val="auto"/>
        </w:rPr>
        <w:t>: Unless the Corporation consents in writing to the selection of an alternative forum, the Court of Chancery in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w:t>
      </w:r>
    </w:p>
    <w:p>
      <w:pPr>
        <w:spacing w:after="0" w:line="3" w:lineRule="exact"/>
        <w:rPr>
          <w:sz w:val="20"/>
          <w:szCs w:val="20"/>
          <w:color w:val="auto"/>
        </w:rPr>
      </w:pPr>
    </w:p>
    <w:p>
      <w:pPr>
        <w:ind w:left="4" w:right="40" w:hanging="4"/>
        <w:spacing w:after="0" w:line="251" w:lineRule="auto"/>
        <w:tabs>
          <w:tab w:leader="none" w:pos="30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w:t>
      </w:r>
      <w:r>
        <w:rPr>
          <w:rFonts w:ascii="Times New Roman" w:cs="Times New Roman" w:eastAsia="Times New Roman" w:hAnsi="Times New Roman"/>
          <w:sz w:val="18"/>
          <w:szCs w:val="18"/>
          <w:b w:val="1"/>
          <w:bCs w:val="1"/>
          <w:color w:val="auto"/>
        </w:rPr>
        <w:t>Twelfth</w:t>
      </w:r>
      <w:r>
        <w:rPr>
          <w:rFonts w:ascii="Times New Roman" w:cs="Times New Roman" w:eastAsia="Times New Roman" w:hAnsi="Times New Roman"/>
          <w:sz w:val="18"/>
          <w:szCs w:val="18"/>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4" w:right="360" w:firstLine="987"/>
        <w:spacing w:after="0" w:line="282" w:lineRule="auto"/>
        <w:tabs>
          <w:tab w:leader="none" w:pos="11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and restatement was approved by the holders of the requisite number of shares of this corporation in accordance with Section 228 of the General Corporation Law.</w:t>
      </w:r>
    </w:p>
    <w:p>
      <w:pPr>
        <w:spacing w:after="0" w:line="161" w:lineRule="exact"/>
        <w:rPr>
          <w:rFonts w:ascii="Times New Roman" w:cs="Times New Roman" w:eastAsia="Times New Roman" w:hAnsi="Times New Roman"/>
          <w:sz w:val="18"/>
          <w:szCs w:val="18"/>
          <w:color w:val="auto"/>
        </w:rPr>
      </w:pPr>
    </w:p>
    <w:p>
      <w:pPr>
        <w:ind w:left="4" w:right="300" w:firstLine="987"/>
        <w:spacing w:after="0" w:line="282" w:lineRule="auto"/>
        <w:tabs>
          <w:tab w:leader="none" w:pos="11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62"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6" w:right="459" w:bottom="1440" w:gutter="0" w:footer="0" w:header="0"/>
        </w:sectPr>
      </w:pPr>
    </w:p>
    <w:bookmarkStart w:id="272" w:name="page273"/>
    <w:bookmarkEnd w:id="272"/>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Amended and Restated Certificate of Incorporation has been executed by a duly authorized officer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on this 8th day of December, 2021.</w:t>
      </w:r>
    </w:p>
    <w:p>
      <w:pPr>
        <w:spacing w:after="0" w:line="18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Jason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Jason Coloma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[Signature Page to Series C Amended and Restated Certificate of Incorporation]</w:t>
      </w:r>
    </w:p>
    <w:p>
      <w:pPr>
        <w:sectPr>
          <w:pgSz w:w="11900" w:h="16838" w:orient="portrait"/>
          <w:cols w:equalWidth="0" w:num="1">
            <w:col w:w="10460"/>
          </w:cols>
          <w:pgMar w:left="440" w:top="266" w:right="999" w:bottom="1440" w:gutter="0" w:footer="0" w:header="0"/>
        </w:sectPr>
      </w:pPr>
    </w:p>
    <w:bookmarkStart w:id="273" w:name="page274"/>
    <w:bookmarkEnd w:id="2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AMENDMENT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Maze Therapeutics, Inc.,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certifies that:</w:t>
      </w:r>
    </w:p>
    <w:p>
      <w:pPr>
        <w:spacing w:after="0" w:line="121" w:lineRule="exact"/>
        <w:rPr>
          <w:sz w:val="20"/>
          <w:szCs w:val="20"/>
          <w:color w:val="auto"/>
        </w:rPr>
      </w:pPr>
    </w:p>
    <w:p>
      <w:pPr>
        <w:jc w:val="both"/>
        <w:ind w:right="40" w:firstLine="436"/>
        <w:spacing w:after="0" w:line="266" w:lineRule="auto"/>
        <w:tabs>
          <w:tab w:leader="none" w:pos="6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Maze Therapeutics, Inc. The Corporation’s original Certificate of Incorporation was filed with the Secretary of State of the State of Delaware on August 29, 2017 under the name Genetic Modifiers NewCo, Inc. The name of this corporation was changed on July 5, 2018 to Modulus Therapeutics, Inc. The name of this corporation was changed on September 25, 2018 to Maze Therapeutics, Inc.</w:t>
      </w:r>
    </w:p>
    <w:p>
      <w:pPr>
        <w:spacing w:after="0" w:line="67" w:lineRule="exact"/>
        <w:rPr>
          <w:rFonts w:ascii="Times New Roman" w:cs="Times New Roman" w:eastAsia="Times New Roman" w:hAnsi="Times New Roman"/>
          <w:sz w:val="18"/>
          <w:szCs w:val="18"/>
          <w:color w:val="auto"/>
        </w:rPr>
      </w:pPr>
    </w:p>
    <w:p>
      <w:pPr>
        <w:ind w:right="120" w:firstLine="436"/>
        <w:spacing w:after="0" w:line="282" w:lineRule="auto"/>
        <w:tabs>
          <w:tab w:leader="none" w:pos="6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of Amended and Restated Certificate of Incorporation was duly adopted in accordance with Section 242 of the General Corporation Law of the State of Delaware.</w:t>
      </w:r>
    </w:p>
    <w:p>
      <w:pPr>
        <w:spacing w:after="0" w:line="53"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Certificate of Amendment of Amended and Restated Certificate of Incorporation have been duly approved by written consent of the required number of shares of outstanding stock of the Corporation pursuant to Section 228 of the General Corporation Law of the State of Delaware.</w:t>
      </w:r>
    </w:p>
    <w:p>
      <w:pPr>
        <w:spacing w:after="0" w:line="67" w:lineRule="exact"/>
        <w:rPr>
          <w:rFonts w:ascii="Times New Roman" w:cs="Times New Roman" w:eastAsia="Times New Roman" w:hAnsi="Times New Roman"/>
          <w:sz w:val="18"/>
          <w:szCs w:val="18"/>
          <w:color w:val="auto"/>
        </w:rPr>
      </w:pPr>
    </w:p>
    <w:p>
      <w:pPr>
        <w:ind w:right="740" w:firstLine="436"/>
        <w:spacing w:after="0" w:line="282" w:lineRule="auto"/>
        <w:tabs>
          <w:tab w:leader="none" w:pos="6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Article Fourth of the Amended and Restated Certificate of Incorporation, relating to the authorized stock of the Corporation is amended to read in its entirety as follows:</w:t>
      </w:r>
    </w:p>
    <w:p>
      <w:pPr>
        <w:spacing w:after="0" w:line="54" w:lineRule="exact"/>
        <w:rPr>
          <w:sz w:val="20"/>
          <w:szCs w:val="20"/>
          <w:color w:val="auto"/>
        </w:rPr>
      </w:pPr>
    </w:p>
    <w:p>
      <w:pPr>
        <w:ind w:left="440"/>
        <w:spacing w:after="0" w:line="312" w:lineRule="auto"/>
        <w:rPr>
          <w:sz w:val="20"/>
          <w:szCs w:val="20"/>
          <w:color w:val="auto"/>
        </w:rPr>
      </w:pPr>
      <w:r>
        <w:rPr>
          <w:rFonts w:ascii="Times New Roman" w:cs="Times New Roman" w:eastAsia="Times New Roman" w:hAnsi="Times New Roman"/>
          <w:sz w:val="17"/>
          <w:szCs w:val="17"/>
          <w:color w:val="auto"/>
        </w:rPr>
        <w:t>“(i) The total number of shares of all classes of stock which the Corporation shall have authority to issue is 257,000,000 shares of Common Stock, $0.001 par value per share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203,415,024 shares of Preferred Stock, $0.001 par value per share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right="680" w:firstLine="436"/>
        <w:spacing w:after="0" w:line="282" w:lineRule="auto"/>
        <w:tabs>
          <w:tab w:leader="none" w:pos="6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paragraph of Article Fourth, Part B of the Amended and Restated Certificate of Incorporation, related to the designation of authorized shares of Preferred Stock of the Corporation, is amended and restated to read in its entirety as follows:</w:t>
      </w:r>
    </w:p>
    <w:p>
      <w:pPr>
        <w:spacing w:after="0" w:line="50" w:lineRule="exact"/>
        <w:rPr>
          <w:sz w:val="20"/>
          <w:szCs w:val="20"/>
          <w:color w:val="auto"/>
        </w:rPr>
      </w:pPr>
    </w:p>
    <w:p>
      <w:pPr>
        <w:ind w:left="440" w:right="60"/>
        <w:spacing w:after="0" w:line="256" w:lineRule="auto"/>
        <w:rPr>
          <w:sz w:val="20"/>
          <w:szCs w:val="20"/>
          <w:color w:val="auto"/>
        </w:rPr>
      </w:pPr>
      <w:r>
        <w:rPr>
          <w:rFonts w:ascii="Times New Roman" w:cs="Times New Roman" w:eastAsia="Times New Roman" w:hAnsi="Times New Roman"/>
          <w:sz w:val="18"/>
          <w:szCs w:val="18"/>
          <w:color w:val="auto"/>
        </w:rPr>
        <w:t>“104,985,132 shares of the authorized and unissued Preferred Stock of the Corporation are hereby designated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with the following rights, preferences, powers, privileges and restrictions, qualifications and limitations. 57,563,188 shares of the authorized and unissued Preferred Stock of the Corporation are hereby designated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with the following rights, preferences, powers, privileges and restrictions, qualifications and limitations. 40,866,704 shares of the authorized and unissued Preferred Stock of the Corporation are hereby designated “</w:t>
      </w:r>
      <w:r>
        <w:rPr>
          <w:rFonts w:ascii="Times New Roman" w:cs="Times New Roman" w:eastAsia="Times New Roman" w:hAnsi="Times New Roman"/>
          <w:sz w:val="18"/>
          <w:szCs w:val="18"/>
          <w:b w:val="1"/>
          <w:bCs w:val="1"/>
          <w:color w:val="auto"/>
        </w:rPr>
        <w:t>Series C Preferred Stock</w:t>
      </w:r>
      <w:r>
        <w:rPr>
          <w:rFonts w:ascii="Times New Roman" w:cs="Times New Roman" w:eastAsia="Times New Roman" w:hAnsi="Times New Roman"/>
          <w:sz w:val="18"/>
          <w:szCs w:val="18"/>
          <w:color w:val="auto"/>
        </w:rPr>
        <w:t>” with the following rights, preferences, powers, privileges and restrictions, qualifications and limitations. Unless otherwise indicated, references to “Sections” and “Subsections” in this Part B of this Article Fourth refer to sections and subsections of Part B of this Article Fourth.”</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ectPr>
          <w:pgSz w:w="11900" w:h="16838" w:orient="portrait"/>
          <w:cols w:equalWidth="0" w:num="1">
            <w:col w:w="10980"/>
          </w:cols>
          <w:pgMar w:left="440" w:top="266" w:right="479" w:bottom="1440" w:gutter="0" w:footer="0" w:header="0"/>
        </w:sectPr>
      </w:pPr>
    </w:p>
    <w:bookmarkStart w:id="274" w:name="page275"/>
    <w:bookmarkEnd w:id="27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Maze Therapeutics, Inc. has caused this Certificate of Amendment of Amended and Restated Certificate of Incorporation to be signed by a duly authorized officer of the Corporation, on March 18, 2022.</w:t>
      </w:r>
    </w:p>
    <w:p>
      <w:pPr>
        <w:spacing w:after="0" w:line="18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/s/ Jason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18415</wp:posOffset>
            </wp:positionV>
            <wp:extent cx="279463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Coloma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20"/>
          </w:cols>
          <w:pgMar w:left="440" w:top="270" w:right="539" w:bottom="1440" w:gutter="0" w:footer="0" w:header="0"/>
        </w:sectPr>
      </w:pPr>
    </w:p>
    <w:bookmarkStart w:id="275" w:name="page276"/>
    <w:bookmarkEnd w:id="27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AMENDMENT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Maze Therapeutics, Inc.,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certifies that:</w:t>
      </w:r>
    </w:p>
    <w:p>
      <w:pPr>
        <w:spacing w:after="0" w:line="121" w:lineRule="exact"/>
        <w:rPr>
          <w:sz w:val="20"/>
          <w:szCs w:val="20"/>
          <w:color w:val="auto"/>
        </w:rPr>
      </w:pPr>
    </w:p>
    <w:p>
      <w:pPr>
        <w:jc w:val="both"/>
        <w:ind w:right="40" w:firstLine="436"/>
        <w:spacing w:after="0" w:line="266" w:lineRule="auto"/>
        <w:tabs>
          <w:tab w:leader="none" w:pos="6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Maze Therapeutics, Inc. The Corporation’s original Certificate of Incorporation was filed with the Secretary of State of the State of Delaware on August 29, 2017 under the name Genetic Modifiers NewCo, Inc. The name of this corporation was changed on July 5, 2018 to Modulus Therapeutics, Inc. The name of this corporation was changed on September 25, 2018 to Maze Therapeutics, Inc.</w:t>
      </w:r>
    </w:p>
    <w:p>
      <w:pPr>
        <w:spacing w:after="0" w:line="67" w:lineRule="exact"/>
        <w:rPr>
          <w:rFonts w:ascii="Times New Roman" w:cs="Times New Roman" w:eastAsia="Times New Roman" w:hAnsi="Times New Roman"/>
          <w:sz w:val="18"/>
          <w:szCs w:val="18"/>
          <w:color w:val="auto"/>
        </w:rPr>
      </w:pPr>
    </w:p>
    <w:p>
      <w:pPr>
        <w:ind w:right="120" w:firstLine="436"/>
        <w:spacing w:after="0" w:line="282" w:lineRule="auto"/>
        <w:tabs>
          <w:tab w:leader="none" w:pos="6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of Amended and Restated Certificate of Incorporation was duly adopted in accordance with Section 242 of the General Corporation Law of the State of Delaware.</w:t>
      </w:r>
    </w:p>
    <w:p>
      <w:pPr>
        <w:spacing w:after="0" w:line="53"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Certificate of Amendment of Amended and Restated Certificate of Incorporation have been duly approved by written consent of the required number of shares of outstanding stock of the Corporation pursuant to Section 228 of the General Corporation Law of the State of Delaware.</w:t>
      </w:r>
    </w:p>
    <w:p>
      <w:pPr>
        <w:spacing w:after="0" w:line="67" w:lineRule="exact"/>
        <w:rPr>
          <w:rFonts w:ascii="Times New Roman" w:cs="Times New Roman" w:eastAsia="Times New Roman" w:hAnsi="Times New Roman"/>
          <w:sz w:val="18"/>
          <w:szCs w:val="18"/>
          <w:color w:val="auto"/>
        </w:rPr>
      </w:pPr>
    </w:p>
    <w:p>
      <w:pPr>
        <w:ind w:right="740" w:firstLine="436"/>
        <w:spacing w:after="0" w:line="282" w:lineRule="auto"/>
        <w:tabs>
          <w:tab w:leader="none" w:pos="6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Article Fourth of the Amended and Restated Certificate of Incorporation, relating to the authorized stock of the Corporation is amended to read in its entirety as follows:</w:t>
      </w:r>
    </w:p>
    <w:p>
      <w:pPr>
        <w:spacing w:after="0" w:line="54" w:lineRule="exact"/>
        <w:rPr>
          <w:sz w:val="20"/>
          <w:szCs w:val="20"/>
          <w:color w:val="auto"/>
        </w:rPr>
      </w:pPr>
    </w:p>
    <w:p>
      <w:pPr>
        <w:ind w:left="440"/>
        <w:spacing w:after="0" w:line="312" w:lineRule="auto"/>
        <w:rPr>
          <w:sz w:val="20"/>
          <w:szCs w:val="20"/>
          <w:color w:val="auto"/>
        </w:rPr>
      </w:pPr>
      <w:r>
        <w:rPr>
          <w:rFonts w:ascii="Times New Roman" w:cs="Times New Roman" w:eastAsia="Times New Roman" w:hAnsi="Times New Roman"/>
          <w:sz w:val="17"/>
          <w:szCs w:val="17"/>
          <w:color w:val="auto"/>
        </w:rPr>
        <w:t>“(i) The total number of shares of all classes of stock which the Corporation shall have authority to issue is 261,000,000 shares of Common Stock, $0.001 par value per share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203,415,024 shares of Preferred Stock, $0.001 par value per share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ectPr>
          <w:pgSz w:w="11900" w:h="16838" w:orient="portrait"/>
          <w:cols w:equalWidth="0" w:num="1">
            <w:col w:w="10980"/>
          </w:cols>
          <w:pgMar w:left="440" w:top="266" w:right="479" w:bottom="1440" w:gutter="0" w:footer="0" w:header="0"/>
        </w:sectPr>
      </w:pPr>
    </w:p>
    <w:bookmarkStart w:id="276" w:name="page277"/>
    <w:bookmarkEnd w:id="27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Maze Therapeutics, Inc. has caused this Certificate of Amendment of Amended and Restated Certificate of Incorporation to be signed by a duly authorized officer of the Corporation, on February 27, 2023.</w:t>
      </w:r>
    </w:p>
    <w:p>
      <w:pPr>
        <w:spacing w:after="0" w:line="18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/s/ Jason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18415</wp:posOffset>
            </wp:positionV>
            <wp:extent cx="27946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Coloma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20"/>
          </w:cols>
          <w:pgMar w:left="440" w:top="270" w:right="539" w:bottom="1440" w:gutter="0" w:footer="0" w:header="0"/>
        </w:sectPr>
      </w:pPr>
    </w:p>
    <w:bookmarkStart w:id="277" w:name="page278"/>
    <w:bookmarkEnd w:id="27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AMENDMENT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Maze Therapeutics, Inc.,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certifies that:</w:t>
      </w:r>
    </w:p>
    <w:p>
      <w:pPr>
        <w:spacing w:after="0" w:line="121" w:lineRule="exact"/>
        <w:rPr>
          <w:sz w:val="20"/>
          <w:szCs w:val="20"/>
          <w:color w:val="auto"/>
        </w:rPr>
      </w:pPr>
    </w:p>
    <w:p>
      <w:pPr>
        <w:jc w:val="both"/>
        <w:ind w:right="40" w:firstLine="436"/>
        <w:spacing w:after="0" w:line="266" w:lineRule="auto"/>
        <w:tabs>
          <w:tab w:leader="none" w:pos="6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Maze Therapeutics, Inc. The Corporation’s original Certificate of Incorporation was filed with the Secretary of State of the State of Delaware on August 29, 2017 under the name Genetic Modifiers NewCo, Inc. The name of this corporation was changed on July 5, 2018 to Modulus Therapeutics, Inc. The name of this corporation was changed on September 25, 2018 to Maze Therapeutics, Inc.</w:t>
      </w:r>
    </w:p>
    <w:p>
      <w:pPr>
        <w:spacing w:after="0" w:line="67" w:lineRule="exact"/>
        <w:rPr>
          <w:rFonts w:ascii="Times New Roman" w:cs="Times New Roman" w:eastAsia="Times New Roman" w:hAnsi="Times New Roman"/>
          <w:sz w:val="18"/>
          <w:szCs w:val="18"/>
          <w:color w:val="auto"/>
        </w:rPr>
      </w:pPr>
    </w:p>
    <w:p>
      <w:pPr>
        <w:ind w:right="120" w:firstLine="436"/>
        <w:spacing w:after="0" w:line="282" w:lineRule="auto"/>
        <w:tabs>
          <w:tab w:leader="none" w:pos="6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of Amended and Restated Certificate of Incorporation was duly adopted in accordance with Section 242 of the General Corporation Law of the State of Delaware.</w:t>
      </w:r>
    </w:p>
    <w:p>
      <w:pPr>
        <w:spacing w:after="0" w:line="53"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Certificate of Amendment of Amended and Restated Certificate of Incorporation have been duly approved by written consent of the required number of shares of outstanding stock of the Corporation pursuant to Section 228 of the General Corporation Law of the State of Delaware.</w:t>
      </w:r>
    </w:p>
    <w:p>
      <w:pPr>
        <w:spacing w:after="0" w:line="67" w:lineRule="exact"/>
        <w:rPr>
          <w:rFonts w:ascii="Times New Roman" w:cs="Times New Roman" w:eastAsia="Times New Roman" w:hAnsi="Times New Roman"/>
          <w:sz w:val="18"/>
          <w:szCs w:val="18"/>
          <w:color w:val="auto"/>
        </w:rPr>
      </w:pPr>
    </w:p>
    <w:p>
      <w:pPr>
        <w:ind w:right="740" w:firstLine="436"/>
        <w:spacing w:after="0" w:line="282" w:lineRule="auto"/>
        <w:tabs>
          <w:tab w:leader="none" w:pos="6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Article Fourth of the Amended and Restated Certificate of Incorporation, relating to the authorized stock of the Corporation is amended to read in its entirety as follows:</w:t>
      </w:r>
    </w:p>
    <w:p>
      <w:pPr>
        <w:spacing w:after="0" w:line="54" w:lineRule="exact"/>
        <w:rPr>
          <w:sz w:val="20"/>
          <w:szCs w:val="20"/>
          <w:color w:val="auto"/>
        </w:rPr>
      </w:pPr>
    </w:p>
    <w:p>
      <w:pPr>
        <w:ind w:left="440"/>
        <w:spacing w:after="0" w:line="312" w:lineRule="auto"/>
        <w:rPr>
          <w:sz w:val="20"/>
          <w:szCs w:val="20"/>
          <w:color w:val="auto"/>
        </w:rPr>
      </w:pPr>
      <w:r>
        <w:rPr>
          <w:rFonts w:ascii="Times New Roman" w:cs="Times New Roman" w:eastAsia="Times New Roman" w:hAnsi="Times New Roman"/>
          <w:sz w:val="17"/>
          <w:szCs w:val="17"/>
          <w:color w:val="auto"/>
        </w:rPr>
        <w:t>“(i) The total number of shares of all classes of stock which the Corporation shall have authority to issue is 268,150,000 shares of Common Stock, $0.001 par value per share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203,415,024 shares of Preferred Stock, $0.001 par value per share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ectPr>
          <w:pgSz w:w="11900" w:h="16838" w:orient="portrait"/>
          <w:cols w:equalWidth="0" w:num="1">
            <w:col w:w="10980"/>
          </w:cols>
          <w:pgMar w:left="440" w:top="266" w:right="479" w:bottom="1440" w:gutter="0" w:footer="0" w:header="0"/>
        </w:sectPr>
      </w:pPr>
    </w:p>
    <w:bookmarkStart w:id="278" w:name="page279"/>
    <w:bookmarkEnd w:id="27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Maze Therapeutics, Inc. has caused this Certificate of Amendment of Amended and Restated Certificate of Incorporation to be signed by a duly authorized officer of the Corporation, on April 23, 2024.</w:t>
      </w:r>
    </w:p>
    <w:p>
      <w:pPr>
        <w:spacing w:after="0" w:line="18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Jason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18415</wp:posOffset>
            </wp:positionV>
            <wp:extent cx="27946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Coloma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920"/>
          </w:cols>
          <w:pgMar w:left="440" w:top="270" w:right="5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GENETIC MODIFIERS NEWCO,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56" w:lineRule="exact"/>
        <w:rPr>
          <w:sz w:val="20"/>
          <w:szCs w:val="20"/>
          <w:color w:val="auto"/>
        </w:rPr>
      </w:pPr>
    </w:p>
    <w:p>
      <w:pPr>
        <w:ind w:left="960" w:hanging="532"/>
        <w:spacing w:after="0"/>
        <w:tabs>
          <w:tab w:leader="none" w:pos="9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Stockholders</w:t>
      </w:r>
    </w:p>
    <w:p>
      <w:pPr>
        <w:spacing w:after="0" w:line="225"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shall be held for the election of directors each year at such place, date and time as shall be designated by the Board of Directors. Any other proper business may be transacted at the annual meeting. If no date for the annual meeting is established or said meeting is not held on the date established as provided above, a special meeting in lieu thereof may be held or there may be action by written consent of the stockholders on matters to be voted on at the annual meeting, and such special meeting or written consent shall have for the purposes of these By-laws or otherwise all the force and effect of an annual meeting.</w:t>
      </w:r>
    </w:p>
    <w:p>
      <w:pPr>
        <w:spacing w:after="0" w:line="183"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stockholders may be called by the Chief Executive Officer, if one is elected, or, if there is no Chief Executive Officer, a President, or by the Board of Directors, but such special meetings may not be called by any other person or persons. The call for the meeting shall state the place, date, hour and purposes of the meeting. Only the purposes specified in the notice of special meeting shall be considered or dealt with at such special meeting.</w:t>
      </w:r>
    </w:p>
    <w:p>
      <w:pPr>
        <w:spacing w:after="0" w:line="179" w:lineRule="exact"/>
        <w:rPr>
          <w:rFonts w:ascii="Times New Roman" w:cs="Times New Roman" w:eastAsia="Times New Roman" w:hAnsi="Times New Roman"/>
          <w:sz w:val="18"/>
          <w:szCs w:val="18"/>
          <w:color w:val="auto"/>
        </w:rPr>
      </w:pPr>
    </w:p>
    <w:p>
      <w:pPr>
        <w:ind w:right="100" w:firstLine="987"/>
        <w:spacing w:after="0" w:line="254" w:lineRule="auto"/>
        <w:tabs>
          <w:tab w:leader="none" w:pos="123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a notice stating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these By-laws or by law) not less than ten (10) nor more than sixty (60) days before the meeting to each stockholder entitled to vote thereat and to each stockholder who, under the Certificate of Incorporation or under these By-laws is entitled to such notice. If mailed, notice is given when deposited in the mail, postage prepaid, directed to such stockholder at such stockholder’s address as it appears in the records of the Corporation. Without limiting the manner by which notice otherwise may be effectively given to stockholders, any notice to stockholders may be given by electronic transmission in the manner provided in Section 232 of the Delaware General Corporation Law (the “DGCL”).</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a meeting is adjourned to another time or place, notice need not be given of the adjourned meeting if the time and place, if any, and the means of remote communications, if any, by which stockholders and proxyholders may be deemed to be present in person and vote at such adjourned meeting are announced at the meeting at which the adjournment is taken, except that if the adjournment is for more than thirty (30) days, or if after the adjournment a new record date is fixed for the adjourned meeting, notice of the adjourned meeting shall be given to each stockholder of record entitled to vote at the meeting.</w:t>
      </w:r>
    </w:p>
    <w:p>
      <w:pPr>
        <w:sectPr>
          <w:pgSz w:w="11900" w:h="16838" w:orient="portrait"/>
          <w:cols w:equalWidth="0" w:num="1">
            <w:col w:w="11020"/>
          </w:cols>
          <w:pgMar w:left="440" w:top="117" w:right="439" w:bottom="1440" w:gutter="0" w:footer="0" w:header="0"/>
        </w:sectPr>
      </w:pPr>
    </w:p>
    <w:bookmarkStart w:id="280" w:name="page281"/>
    <w:bookmarkEnd w:id="280"/>
    <w:p>
      <w:pPr>
        <w:jc w:val="both"/>
        <w:ind w:left="4" w:firstLine="987"/>
        <w:spacing w:after="0" w:line="261" w:lineRule="auto"/>
        <w:tabs>
          <w:tab w:leader="none" w:pos="125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Quorum</w:t>
      </w:r>
      <w:r>
        <w:rPr>
          <w:rFonts w:ascii="Times New Roman" w:cs="Times New Roman" w:eastAsia="Times New Roman" w:hAnsi="Times New Roman"/>
          <w:sz w:val="18"/>
          <w:szCs w:val="18"/>
          <w:color w:val="auto"/>
        </w:rPr>
        <w:t>. The holders of a majority in interest of all stock issued, outstanding and entitled to vote at a meeting, present in person or represented by proxy, shall constitute a quorum. Any meeting may be adjourned from time to time by a majority of the votes properly cast upon the question, whether or not a quorum is present. The stockholders present at a duly constituted meeting may continue to transact business until adjournment notwithstanding the withdrawal of enough stockholders to reduce the voting shares below a quorum.</w:t>
      </w:r>
    </w:p>
    <w:p>
      <w:pPr>
        <w:spacing w:after="0" w:line="179"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Except as otherwise provided by the Certificate of Incorporation or by law, each stockholder entitled to vote at any meeting of stockholders shall be entitled to one (1) vote for each share of stock held by such stockholder which has voting power upon the matter in question. Each stockholder entitled to vote at a meeting of stockholders or to express consent or dissent to corporate action in writing without a meeting may authorize another person or persons to act for such stockholder by either written proxy or by a transmission permitted by Section 212(c) of the DGCL, but no proxy shall be voted or acted upon after three years from its date, unless the proxy provides for a longer period or is irrevocable and coupled with an interest. Proxies shall be filed with the Secretary of the meeting, or of any adjournment thereof. Except as otherwise limited therein, proxies shall entitle the persons authorized thereby to vote at any adjournment of such meeting.</w:t>
      </w:r>
    </w:p>
    <w:p>
      <w:pPr>
        <w:spacing w:after="0" w:line="188" w:lineRule="exact"/>
        <w:rPr>
          <w:rFonts w:ascii="Times New Roman" w:cs="Times New Roman" w:eastAsia="Times New Roman" w:hAnsi="Times New Roman"/>
          <w:sz w:val="18"/>
          <w:szCs w:val="18"/>
          <w:color w:val="auto"/>
        </w:rPr>
      </w:pPr>
    </w:p>
    <w:p>
      <w:pPr>
        <w:ind w:left="4" w:firstLine="987"/>
        <w:spacing w:after="0" w:line="258" w:lineRule="auto"/>
        <w:tabs>
          <w:tab w:leader="none" w:pos="122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any matter before the meeting shall be decided by vote of the holders of a majority of the shares of stock voting on such matter except where a larger vote is required by law, by the Certificate of Incorporation or by these By-laws. Any election of directors by stockholders shall be determined by a plurality of the votes cast, except where a larger vote is required by law, by the Certificate of Incorporation or by these By-laws. The Corporation shall not directly or indirectly vote any share of its own stock; provided, however, that the Corporation may vote shares which it holds in a fiduciary capacity to the extent permitted by law.</w:t>
      </w:r>
    </w:p>
    <w:p>
      <w:pPr>
        <w:spacing w:after="0" w:line="183"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25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Presiding Officer</w:t>
      </w:r>
      <w:r>
        <w:rPr>
          <w:rFonts w:ascii="Times New Roman" w:cs="Times New Roman" w:eastAsia="Times New Roman" w:hAnsi="Times New Roman"/>
          <w:sz w:val="18"/>
          <w:szCs w:val="18"/>
          <w:color w:val="auto"/>
        </w:rPr>
        <w:t>. Meetings of stockholders shall be presided over by the Chairman of the Board, if one is elected, or in his or her absence, the Vice Chairman of the Board, if one is elected, or if neither is elected or in their absence, a President. The Board of Directors shall have the authority to appoint a temporary presiding officer to serve at any meeting of the stockholders if the Chairman of the Board, the Vice Chairman of the Board or a President is unable to do so for any reason.</w:t>
      </w:r>
    </w:p>
    <w:p>
      <w:pPr>
        <w:spacing w:after="0" w:line="179" w:lineRule="exact"/>
        <w:rPr>
          <w:rFonts w:ascii="Times New Roman" w:cs="Times New Roman" w:eastAsia="Times New Roman" w:hAnsi="Times New Roman"/>
          <w:sz w:val="18"/>
          <w:szCs w:val="18"/>
          <w:color w:val="auto"/>
        </w:rPr>
      </w:pPr>
    </w:p>
    <w:p>
      <w:pPr>
        <w:ind w:left="4" w:right="80" w:firstLine="987"/>
        <w:spacing w:after="0" w:line="268" w:lineRule="auto"/>
        <w:tabs>
          <w:tab w:leader="none" w:pos="1250"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Conduct of Meetings</w:t>
      </w:r>
      <w:r>
        <w:rPr>
          <w:rFonts w:ascii="Times New Roman" w:cs="Times New Roman" w:eastAsia="Times New Roman" w:hAnsi="Times New Roman"/>
          <w:sz w:val="17"/>
          <w:szCs w:val="17"/>
          <w:color w:val="auto"/>
        </w:rPr>
        <w:t>. The Board of Directors may adopt by resolution such rules and regulations for the conduct of the meeting of stockholders as it shall deem appropriate. Except to the extent inconsistent with such rules and regulations as adopted by the Board of Directors, the presiding officer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presiding officer of the meeting, may include, without limitation, the following: (i) the establishment of an agenda or order of business for the meeting; (ii) rules and procedures for maintaining order at the meeting and the safety of those present;</w:t>
      </w:r>
    </w:p>
    <w:p>
      <w:pPr>
        <w:spacing w:after="0" w:line="4" w:lineRule="exact"/>
        <w:rPr>
          <w:rFonts w:ascii="Times New Roman" w:cs="Times New Roman" w:eastAsia="Times New Roman" w:hAnsi="Times New Roman"/>
          <w:sz w:val="17"/>
          <w:szCs w:val="17"/>
          <w:color w:val="auto"/>
        </w:rPr>
      </w:pPr>
    </w:p>
    <w:p>
      <w:pPr>
        <w:ind w:left="4" w:right="280" w:hanging="4"/>
        <w:spacing w:after="0" w:line="253" w:lineRule="auto"/>
        <w:tabs>
          <w:tab w:leader="none" w:pos="31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presiding officer of the meeting, meetings of stockholders shall not be required to be held in accordance with the rules of parliamentary procedure.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81" w:name="page282"/>
    <w:bookmarkEnd w:id="281"/>
    <w:p>
      <w:pPr>
        <w:ind w:right="20" w:firstLine="987"/>
        <w:spacing w:after="0" w:line="253" w:lineRule="auto"/>
        <w:tabs>
          <w:tab w:leader="none" w:pos="120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 without a Meeting</w:t>
      </w:r>
      <w:r>
        <w:rPr>
          <w:rFonts w:ascii="Times New Roman" w:cs="Times New Roman" w:eastAsia="Times New Roman" w:hAnsi="Times New Roman"/>
          <w:sz w:val="18"/>
          <w:szCs w:val="18"/>
          <w:color w:val="auto"/>
        </w:rPr>
        <w:t>. Unless otherwise provided in the Certificate of Incorporation, any action required or permitted by law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by hand or by certified mail, return receipt requested, or to the Corporation’s principal place of business or to the officer of the Corporation having custody of the minute book. Every written consent shall bear the date of signature and no written consent shall be effective unless, within sixty (60) days of the earliest dated consent delivered pursuant to these By-laws, written consents signed by a sufficient number of stockholders entitled to take action are delivered to the Corporation in the manner set forth in these By-laws. Prompt notice of the taking of the corporate action without a meeting by less than unanimous written consent shall be given to those stockholders who have not consented in writing.</w:t>
      </w:r>
    </w:p>
    <w:p>
      <w:pPr>
        <w:spacing w:after="0" w:line="194" w:lineRule="exact"/>
        <w:rPr>
          <w:rFonts w:ascii="Times New Roman" w:cs="Times New Roman" w:eastAsia="Times New Roman" w:hAnsi="Times New Roman"/>
          <w:sz w:val="18"/>
          <w:szCs w:val="18"/>
          <w:color w:val="auto"/>
        </w:rPr>
      </w:pPr>
    </w:p>
    <w:p>
      <w:pPr>
        <w:ind w:right="60" w:firstLine="987"/>
        <w:spacing w:after="0" w:line="256" w:lineRule="auto"/>
        <w:tabs>
          <w:tab w:leader="none" w:pos="120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Nothing contained in this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in the manner provided by law. The list shall also be open to the examination of any stockholder during the whole time of the meeting as provided by law.</w:t>
      </w:r>
    </w:p>
    <w:p>
      <w:pPr>
        <w:spacing w:after="0" w:line="21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w:t>
      </w:r>
    </w:p>
    <w:p>
      <w:pPr>
        <w:spacing w:after="0" w:line="225" w:lineRule="exact"/>
        <w:rPr>
          <w:rFonts w:ascii="Times New Roman" w:cs="Times New Roman" w:eastAsia="Times New Roman" w:hAnsi="Times New Roman"/>
          <w:sz w:val="18"/>
          <w:szCs w:val="18"/>
          <w:color w:val="auto"/>
        </w:rPr>
      </w:pPr>
    </w:p>
    <w:p>
      <w:pPr>
        <w:ind w:right="80" w:firstLine="987"/>
        <w:spacing w:after="0" w:line="289" w:lineRule="auto"/>
        <w:tabs>
          <w:tab w:leader="none" w:pos="1236"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Powers</w:t>
      </w:r>
      <w:r>
        <w:rPr>
          <w:rFonts w:ascii="Times New Roman" w:cs="Times New Roman" w:eastAsia="Times New Roman" w:hAnsi="Times New Roman"/>
          <w:sz w:val="17"/>
          <w:szCs w:val="17"/>
          <w:color w:val="auto"/>
        </w:rPr>
        <w:t>. The business of the Corporation shall be managed by or under the direction of a Board of Directors who may exercise all the powers of the Corporation except as otherwise provided by law, by the Certificate of Incorporation or by these By-laws. In the event of a vacancy in the Board of Directors, the remaining directors, except as otherwise provided by law, may exercise the powers of the full Board until the vacancy is filled.</w:t>
      </w:r>
    </w:p>
    <w:p>
      <w:pPr>
        <w:spacing w:after="0" w:line="157" w:lineRule="exact"/>
        <w:rPr>
          <w:rFonts w:ascii="Times New Roman" w:cs="Times New Roman" w:eastAsia="Times New Roman" w:hAnsi="Times New Roman"/>
          <w:sz w:val="17"/>
          <w:szCs w:val="17"/>
          <w:color w:val="auto"/>
        </w:rPr>
      </w:pPr>
    </w:p>
    <w:p>
      <w:pPr>
        <w:ind w:firstLine="987"/>
        <w:spacing w:after="0" w:line="312" w:lineRule="auto"/>
        <w:tabs>
          <w:tab w:leader="none" w:pos="1246"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and Qualification</w:t>
      </w:r>
      <w:r>
        <w:rPr>
          <w:rFonts w:ascii="Times New Roman" w:cs="Times New Roman" w:eastAsia="Times New Roman" w:hAnsi="Times New Roman"/>
          <w:sz w:val="17"/>
          <w:szCs w:val="17"/>
          <w:color w:val="auto"/>
        </w:rPr>
        <w:t>. Unless otherwise provided in the Certificate of Incorporation or in these By-laws, the number of directors which shall constitute the whole board shall be determined from time to time by resolution of the Board of Directors. Directors need not be stockholders.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82" w:name="page283"/>
    <w:bookmarkEnd w:id="282"/>
    <w:p>
      <w:pPr>
        <w:ind w:left="-20" w:right="240" w:firstLine="987"/>
        <w:spacing w:after="0" w:line="266" w:lineRule="auto"/>
        <w:tabs>
          <w:tab w:leader="none" w:pos="121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Vacancies; Reduction of Board</w:t>
      </w:r>
      <w:r>
        <w:rPr>
          <w:rFonts w:ascii="Times New Roman" w:cs="Times New Roman" w:eastAsia="Times New Roman" w:hAnsi="Times New Roman"/>
          <w:sz w:val="18"/>
          <w:szCs w:val="18"/>
          <w:color w:val="auto"/>
        </w:rPr>
        <w:t>. A majority of the directors then in office, although less than a quorum, or a sole remaining Director, may fill vacancies in the Board of Directors occurring for any reason and newly created directorships resulting from any increase in the authorized number of directors. In lieu of filling any vacancy, the Board of Directors may reduce the number of directors.</w:t>
      </w:r>
    </w:p>
    <w:p>
      <w:pPr>
        <w:spacing w:after="0" w:line="175" w:lineRule="exact"/>
        <w:rPr>
          <w:rFonts w:ascii="Times New Roman" w:cs="Times New Roman" w:eastAsia="Times New Roman" w:hAnsi="Times New Roman"/>
          <w:sz w:val="18"/>
          <w:szCs w:val="18"/>
          <w:color w:val="auto"/>
        </w:rPr>
      </w:pPr>
    </w:p>
    <w:p>
      <w:pPr>
        <w:jc w:val="both"/>
        <w:ind w:left="-20" w:right="80" w:firstLine="987"/>
        <w:spacing w:after="0" w:line="261" w:lineRule="auto"/>
        <w:tabs>
          <w:tab w:leader="none" w:pos="122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law, by the Certificate of Incorporation or by these By-laws, directors shall hold office until their successors are elected and qualified or until their earlier resignation or removal. Any director may resign at any time upon notice given in writing or by electronic transmission to the Corporation. Such resignation shall be effective upon receipt unless it is specified to be effective at some other time or upon the happening of some other event.</w:t>
      </w:r>
    </w:p>
    <w:p>
      <w:pPr>
        <w:spacing w:after="0" w:line="179" w:lineRule="exact"/>
        <w:rPr>
          <w:rFonts w:ascii="Times New Roman" w:cs="Times New Roman" w:eastAsia="Times New Roman" w:hAnsi="Times New Roman"/>
          <w:sz w:val="18"/>
          <w:szCs w:val="18"/>
          <w:color w:val="auto"/>
        </w:rPr>
      </w:pPr>
    </w:p>
    <w:p>
      <w:pPr>
        <w:ind w:left="-20" w:right="420" w:firstLine="987"/>
        <w:spacing w:after="0" w:line="282" w:lineRule="auto"/>
        <w:tabs>
          <w:tab w:leader="none" w:pos="121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To the extent permitted by law, a director may be removed from office with or without cause by vote of the holders of a majority of the shares of stock entitled to vote in the election of directors.</w:t>
      </w:r>
    </w:p>
    <w:p>
      <w:pPr>
        <w:spacing w:after="0" w:line="161" w:lineRule="exact"/>
        <w:rPr>
          <w:rFonts w:ascii="Times New Roman" w:cs="Times New Roman" w:eastAsia="Times New Roman" w:hAnsi="Times New Roman"/>
          <w:sz w:val="18"/>
          <w:szCs w:val="18"/>
          <w:color w:val="auto"/>
        </w:rPr>
      </w:pPr>
    </w:p>
    <w:p>
      <w:pPr>
        <w:ind w:left="-20" w:firstLine="987"/>
        <w:spacing w:after="0" w:line="256" w:lineRule="auto"/>
        <w:tabs>
          <w:tab w:leader="none" w:pos="119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Regular meetings of the Board of Directors may be held without notice at such time, date and place as the Board of Directors may from time to time determine. Special meetings of the Board of Directors may be called, orally or in writing, by the Chief Executive Officer, if one is elected, or, if there is no Chief Executive Officer, the President, or by two or more Directors, designating the time, date and place thereof.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w:t>
      </w:r>
    </w:p>
    <w:p>
      <w:pPr>
        <w:spacing w:after="0" w:line="187" w:lineRule="exact"/>
        <w:rPr>
          <w:rFonts w:ascii="Times New Roman" w:cs="Times New Roman" w:eastAsia="Times New Roman" w:hAnsi="Times New Roman"/>
          <w:sz w:val="18"/>
          <w:szCs w:val="18"/>
          <w:color w:val="auto"/>
        </w:rPr>
      </w:pPr>
    </w:p>
    <w:p>
      <w:pPr>
        <w:ind w:left="-20" w:right="60" w:firstLine="987"/>
        <w:spacing w:after="0" w:line="258" w:lineRule="auto"/>
        <w:tabs>
          <w:tab w:leader="none" w:pos="122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time, date and place of all special meetings of the Board of Directors shall be given to each director by the Secretary, or Assistant Secretary, or in case of the death, absence, incapacity or refusal of such persons, by the officer or one (1) of the directors calling the meeting. Notice shall be given to each director in person, by telephone, or by facsimile, electronic mail or other form of electronic communications, sent to such director’s business or home address at least twenty-four (24) hours in advance of the meeting, or by written notice mailed to such director’s business or home address at least forty-eight (48) hours in advance of the meeting.</w:t>
      </w:r>
    </w:p>
    <w:p>
      <w:pPr>
        <w:spacing w:after="0" w:line="183" w:lineRule="exact"/>
        <w:rPr>
          <w:rFonts w:ascii="Times New Roman" w:cs="Times New Roman" w:eastAsia="Times New Roman" w:hAnsi="Times New Roman"/>
          <w:sz w:val="18"/>
          <w:szCs w:val="18"/>
          <w:color w:val="auto"/>
        </w:rPr>
      </w:pPr>
    </w:p>
    <w:p>
      <w:pPr>
        <w:ind w:left="-20" w:right="440" w:firstLine="987"/>
        <w:spacing w:after="0" w:line="266" w:lineRule="auto"/>
        <w:tabs>
          <w:tab w:leader="none" w:pos="122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Less than a quorum may adjourn any meeting from time to time and the meeting may be held as adjourned without further notice.</w:t>
      </w:r>
    </w:p>
    <w:p>
      <w:pPr>
        <w:spacing w:after="0" w:line="175" w:lineRule="exact"/>
        <w:rPr>
          <w:rFonts w:ascii="Times New Roman" w:cs="Times New Roman" w:eastAsia="Times New Roman" w:hAnsi="Times New Roman"/>
          <w:sz w:val="18"/>
          <w:szCs w:val="18"/>
          <w:color w:val="auto"/>
        </w:rPr>
      </w:pPr>
    </w:p>
    <w:p>
      <w:pPr>
        <w:ind w:left="-20" w:right="140" w:firstLine="987"/>
        <w:spacing w:after="0" w:line="261" w:lineRule="auto"/>
        <w:tabs>
          <w:tab w:leader="none" w:pos="118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unless otherwise provided in the following sentence, a majority of the directors present may take any action on behalf of the Board of Directors, unless a larger number is required by law, by the Certificate of Incorporation or by these By-laws. So long as there are two (2) or fewer Directors, any action to be taken by the Board of Directors shall require the approval of all Directors.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283" w:name="page284"/>
    <w:bookmarkEnd w:id="283"/>
    <w:p>
      <w:pPr>
        <w:jc w:val="both"/>
        <w:ind w:right="220" w:firstLine="987"/>
        <w:spacing w:after="0" w:line="261" w:lineRule="auto"/>
        <w:tabs>
          <w:tab w:leader="none" w:pos="120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by resolution passed by a majority of the whole Board of Directors, establish one (1) or more committees, each committee to consist of one or more directors. The Board of Directors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18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(i) approving or adopting, or recommending to the stockholders, any action or matter expressly required by the DGCL to be submitted to stockholders for approval or (ii) adopting, amending or repealing any provision of these By-laws.</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Except as the Board of Directors may otherwise determine, any such committee may make rules for the conduct of its business, but in the absence of such rules its business shall be conducted so far as possible in the same manner as is provided in these By-laws for the Board of Directors. All members of such committees shall hold their committee offices at the pleasure of the Board of Directors, and the Board may abolish any committee at any time.</w:t>
      </w:r>
    </w:p>
    <w:p>
      <w:pPr>
        <w:spacing w:after="0" w:line="207" w:lineRule="exact"/>
        <w:rPr>
          <w:sz w:val="20"/>
          <w:szCs w:val="20"/>
          <w:color w:val="auto"/>
        </w:rPr>
      </w:pPr>
    </w:p>
    <w:p>
      <w:pPr>
        <w:ind w:left="960" w:hanging="532"/>
        <w:spacing w:after="0"/>
        <w:tabs>
          <w:tab w:leader="none" w:pos="9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w:t>
      </w:r>
    </w:p>
    <w:p>
      <w:pPr>
        <w:spacing w:after="0" w:line="225" w:lineRule="exact"/>
        <w:rPr>
          <w:rFonts w:ascii="Times New Roman" w:cs="Times New Roman" w:eastAsia="Times New Roman" w:hAnsi="Times New Roman"/>
          <w:sz w:val="18"/>
          <w:szCs w:val="18"/>
          <w:color w:val="auto"/>
        </w:rPr>
      </w:pPr>
    </w:p>
    <w:p>
      <w:pPr>
        <w:ind w:right="220" w:firstLine="987"/>
        <w:spacing w:after="0" w:line="258" w:lineRule="auto"/>
        <w:tabs>
          <w:tab w:leader="none" w:pos="123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one (1) or more Presidents (who, if there is more than one (1), shall be referred to as Co-Presidents), a Treasurer, a Secretary, and such other officers, including, without limitation, a Chief Executive Officer and one (1) or more Vice Presidents (including Executive Vice Presidents or Senior Vice Presidents), Assistant Vice Presidents, Assistant Treasurers and Assistant Secretaries, as the Board of Directors may determine. The Board of Directors may elect from among its members a Chairman of the Board and a Vice Chairman of the Board.</w:t>
      </w:r>
    </w:p>
    <w:p>
      <w:pPr>
        <w:spacing w:after="0" w:line="183"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Presidents, Treasurer and Secretary shall be elected annually by the Board of Directors at their first meeting following the annual meeting of stockholders. Other officers may be chosen by the Board of Directors at such meeting or at any other meeting.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84" w:name="page285"/>
    <w:bookmarkEnd w:id="284"/>
    <w:p>
      <w:pPr>
        <w:ind w:right="40" w:firstLine="987"/>
        <w:spacing w:after="0" w:line="266" w:lineRule="auto"/>
        <w:tabs>
          <w:tab w:leader="none" w:pos="123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Qualification</w:t>
      </w:r>
      <w:r>
        <w:rPr>
          <w:rFonts w:ascii="Times New Roman" w:cs="Times New Roman" w:eastAsia="Times New Roman" w:hAnsi="Times New Roman"/>
          <w:sz w:val="18"/>
          <w:szCs w:val="18"/>
          <w:color w:val="auto"/>
        </w:rPr>
        <w:t>. No officer need be a stockholder or Director. Any two or more offices may be held by the same person. Any officer may be required by the Board of Directors to give bond for the faithful performance of such officer’s duties in such amount and with such sureties as the Board of Directors may determine.</w:t>
      </w:r>
    </w:p>
    <w:p>
      <w:pPr>
        <w:spacing w:after="0" w:line="175"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of Incorporation or by these By-laws, each of the officers of the Corporation shall hold office until the first meeting of the Board of Directors following the next annual meeting of stockholders and until such officer’s successor is elected and qualified or until such officer’s earlier resignation or removal. Any officer may resign by delivering his or her written resignation to the Corporation, and such resignation shall be effective upon receipt unless it is specified to be effective at some other time or upon the happening of some other event.</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The Board of Directors may remove any officer with or without cause by a vote of a majority of the directors then in office.</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225"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Chairman of the Board and Vice Chairman</w:t>
      </w:r>
      <w:r>
        <w:rPr>
          <w:rFonts w:ascii="Times New Roman" w:cs="Times New Roman" w:eastAsia="Times New Roman" w:hAnsi="Times New Roman"/>
          <w:sz w:val="18"/>
          <w:szCs w:val="18"/>
          <w:color w:val="auto"/>
        </w:rPr>
        <w:t>. Unless otherwise provided by the Board of Directors, the Chairman of the Board of Directors, if one is elected, shall preside, when present, at all meetings of the stockholders and the Board of Directors. The Chairman of the Board shall have such other powers and shall perform such duties as the Board of Directors may from time to time designate.</w:t>
      </w:r>
    </w:p>
    <w:p>
      <w:pPr>
        <w:spacing w:after="0" w:line="176"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by the Board of Directors, in the absence of the Chairman of the Board, the Vice Chairman of the Board, if one is elected, shall preside, when present, at all meetings of the stockholders and the Board of Directors. The Vice Chairman of the Board shall have such other powers and shall perform such duties as the Board of Directors may from time to time designate.</w:t>
      </w:r>
    </w:p>
    <w:p>
      <w:pPr>
        <w:spacing w:after="0" w:line="176" w:lineRule="exact"/>
        <w:rPr>
          <w:sz w:val="20"/>
          <w:szCs w:val="20"/>
          <w:color w:val="auto"/>
        </w:rPr>
      </w:pPr>
    </w:p>
    <w:p>
      <w:pPr>
        <w:ind w:right="280" w:firstLine="987"/>
        <w:spacing w:after="0" w:line="282" w:lineRule="auto"/>
        <w:tabs>
          <w:tab w:leader="none" w:pos="124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161" w:lineRule="exact"/>
        <w:rPr>
          <w:rFonts w:ascii="Times New Roman" w:cs="Times New Roman" w:eastAsia="Times New Roman" w:hAnsi="Times New Roman"/>
          <w:sz w:val="18"/>
          <w:szCs w:val="18"/>
          <w:color w:val="auto"/>
        </w:rPr>
      </w:pPr>
    </w:p>
    <w:p>
      <w:pPr>
        <w:jc w:val="both"/>
        <w:ind w:firstLine="987"/>
        <w:spacing w:after="0" w:line="261" w:lineRule="auto"/>
        <w:tabs>
          <w:tab w:leader="none" w:pos="120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Presidents</w:t>
      </w:r>
      <w:r>
        <w:rPr>
          <w:rFonts w:ascii="Times New Roman" w:cs="Times New Roman" w:eastAsia="Times New Roman" w:hAnsi="Times New Roman"/>
          <w:sz w:val="18"/>
          <w:szCs w:val="18"/>
          <w:color w:val="auto"/>
        </w:rPr>
        <w:t>. The Presidents shall, subject to the direction of the Board of Directors, each have general supervision and control of the Corporation’s business and any action that would typically be taken by a President may be taken by any Co-President. If there is no Chairman of the Board or Vice Chairman of the Board, a President shall preside, when present, at all meetings of stockholders and the Board of Directors. The Presidents shall have such other powers and shall perform such duties as the Board of Directors may from time to time designate.</w:t>
      </w:r>
    </w:p>
    <w:p>
      <w:pPr>
        <w:spacing w:after="0" w:line="179" w:lineRule="exact"/>
        <w:rPr>
          <w:rFonts w:ascii="Times New Roman" w:cs="Times New Roman" w:eastAsia="Times New Roman" w:hAnsi="Times New Roman"/>
          <w:sz w:val="18"/>
          <w:szCs w:val="18"/>
          <w:color w:val="auto"/>
        </w:rPr>
      </w:pPr>
    </w:p>
    <w:p>
      <w:pPr>
        <w:ind w:right="200" w:firstLine="987"/>
        <w:spacing w:after="0" w:line="312" w:lineRule="auto"/>
        <w:tabs>
          <w:tab w:leader="none" w:pos="1206"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Vice Presidents and Assistant Vice Presidents</w:t>
      </w:r>
      <w:r>
        <w:rPr>
          <w:rFonts w:ascii="Times New Roman" w:cs="Times New Roman" w:eastAsia="Times New Roman" w:hAnsi="Times New Roman"/>
          <w:sz w:val="17"/>
          <w:szCs w:val="17"/>
          <w:color w:val="auto"/>
        </w:rPr>
        <w:t>. Any Vice President (including any Executive Vice President or Senior Vice President) and any Assistant Vice President shall have such powers and shall perform such duties as the Board of Directors may from time to time designate.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85" w:name="page286"/>
    <w:bookmarkEnd w:id="285"/>
    <w:p>
      <w:pPr>
        <w:jc w:val="both"/>
        <w:ind w:left="-20" w:right="160" w:firstLine="987"/>
        <w:spacing w:after="0" w:line="261" w:lineRule="auto"/>
        <w:tabs>
          <w:tab w:leader="none" w:pos="122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Treasurer and Assistant Treasurers</w:t>
      </w:r>
      <w:r>
        <w:rPr>
          <w:rFonts w:ascii="Times New Roman" w:cs="Times New Roman" w:eastAsia="Times New Roman" w:hAnsi="Times New Roman"/>
          <w:sz w:val="18"/>
          <w:szCs w:val="18"/>
          <w:color w:val="auto"/>
        </w:rPr>
        <w:t>. The Treasurer shall, subject to the direction of the Board of Directors, have general charge of the financial affairs of the Corporation and shall cause to be kept accurate books of account. The Treasurer shall have custody of all funds, securities, and valuable documents of the Corporation, except as the Board of Directors may otherwise provide. The Treasurer shall have such other powers and shall perform such duties as the Board of Directors may from time to time designate.</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Assistant Treasurer shall have such powers and perform such duties as the Board of Directors may from time to time designate.</w:t>
      </w:r>
    </w:p>
    <w:p>
      <w:pPr>
        <w:spacing w:after="0" w:line="225" w:lineRule="exact"/>
        <w:rPr>
          <w:sz w:val="20"/>
          <w:szCs w:val="20"/>
          <w:color w:val="auto"/>
        </w:rPr>
      </w:pPr>
    </w:p>
    <w:p>
      <w:pPr>
        <w:ind w:left="-20" w:right="40" w:firstLine="987"/>
        <w:spacing w:after="0" w:line="258" w:lineRule="auto"/>
        <w:tabs>
          <w:tab w:leader="none" w:pos="1186"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the proceedings of all meetings of the stockholders and the Board of Directors (including committees of the Board) in books kept for that purpose. In the absence of the Secretary from any such meeting an Assistant Secretary, or if such person is absent, a temporary secretary chosen at the meeting, shall record the proceedings thereof. The Secretary shall have charge of the stock ledger (which may, however, be kept by any transfer or other agent of the Corporation) and shall have such other duties and powers as may be designated from time to time by the Board of Directors.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Assistant Secretary shall have such powers and perform such duties as the Board of Directors may from time to time designate.</w:t>
      </w:r>
    </w:p>
    <w:p>
      <w:pPr>
        <w:spacing w:after="0" w:line="225" w:lineRule="exact"/>
        <w:rPr>
          <w:sz w:val="20"/>
          <w:szCs w:val="20"/>
          <w:color w:val="auto"/>
        </w:rPr>
      </w:pPr>
    </w:p>
    <w:p>
      <w:pPr>
        <w:ind w:left="-20" w:right="20" w:firstLine="987"/>
        <w:spacing w:after="0" w:line="266" w:lineRule="auto"/>
        <w:tabs>
          <w:tab w:leader="none" w:pos="1276"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each officer of the Corporation shall have in addition to the duties and powers specifically set forth in these By-laws, such duties and powers as are customarily incident to such officer’s office, and such duties and powers as may be designated from time to time by the Board of Directors.</w:t>
      </w:r>
    </w:p>
    <w:p>
      <w:pPr>
        <w:spacing w:after="0" w:line="202" w:lineRule="exact"/>
        <w:rPr>
          <w:rFonts w:ascii="Times New Roman" w:cs="Times New Roman" w:eastAsia="Times New Roman" w:hAnsi="Times New Roman"/>
          <w:sz w:val="18"/>
          <w:szCs w:val="18"/>
          <w:color w:val="auto"/>
        </w:rPr>
      </w:pPr>
    </w:p>
    <w:p>
      <w:pPr>
        <w:ind w:left="940" w:hanging="532"/>
        <w:spacing w:after="0"/>
        <w:tabs>
          <w:tab w:leader="none" w:pos="9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rFonts w:ascii="Times New Roman" w:cs="Times New Roman" w:eastAsia="Times New Roman" w:hAnsi="Times New Roman"/>
          <w:sz w:val="18"/>
          <w:szCs w:val="18"/>
          <w:color w:val="auto"/>
        </w:rPr>
      </w:pPr>
    </w:p>
    <w:p>
      <w:pPr>
        <w:ind w:left="-20" w:firstLine="987"/>
        <w:spacing w:after="0" w:line="254" w:lineRule="auto"/>
        <w:tabs>
          <w:tab w:leader="none" w:pos="121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Each stockholder shall be entitled to a certificate of the capital stock of the Corporation in such form as may from time to time be prescribed by the Board of Directors. Such certificate shall be signed by a President or a Vice President, and by the Treasurer or an Assistant Treasurer, or the Secretary or an Assistant Secretary. Such signatures may be a facsimile.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person were such officer, transfer agent or registrar at the time of its issue. Every certificate for shares of stock which are subject to any restriction on transfer and every certificate issued when the Corporation is authorized to issue more than one (1) class or series of stock shall contain such legend with respect thereto as is required by law. The Corporation shall be permitted to issue fractional shares.</w:t>
      </w:r>
    </w:p>
    <w:p>
      <w:pPr>
        <w:spacing w:after="0" w:line="191" w:lineRule="exact"/>
        <w:rPr>
          <w:rFonts w:ascii="Times New Roman" w:cs="Times New Roman" w:eastAsia="Times New Roman" w:hAnsi="Times New Roman"/>
          <w:sz w:val="18"/>
          <w:szCs w:val="18"/>
          <w:color w:val="auto"/>
        </w:rPr>
      </w:pPr>
    </w:p>
    <w:p>
      <w:pPr>
        <w:ind w:left="-20" w:firstLine="987"/>
        <w:spacing w:after="0" w:line="261" w:lineRule="auto"/>
        <w:tabs>
          <w:tab w:leader="none" w:pos="122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shares of stock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286" w:name="page287"/>
    <w:bookmarkEnd w:id="286"/>
    <w:p>
      <w:pPr>
        <w:ind w:right="40" w:firstLine="987"/>
        <w:spacing w:after="0" w:line="261" w:lineRule="auto"/>
        <w:tabs>
          <w:tab w:leader="none" w:pos="12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 Holders</w:t>
      </w:r>
      <w:r>
        <w:rPr>
          <w:rFonts w:ascii="Times New Roman" w:cs="Times New Roman" w:eastAsia="Times New Roman" w:hAnsi="Times New Roman"/>
          <w:sz w:val="18"/>
          <w:szCs w:val="18"/>
          <w:color w:val="auto"/>
        </w:rPr>
        <w:t>. Except as may otherwise be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 shall be the duty of each stockholder to notify the Corporation of such stockholder’s post office address.</w:t>
      </w:r>
    </w:p>
    <w:p>
      <w:pPr>
        <w:spacing w:after="0" w:line="225" w:lineRule="exact"/>
        <w:rPr>
          <w:sz w:val="20"/>
          <w:szCs w:val="20"/>
          <w:color w:val="auto"/>
        </w:rPr>
      </w:pPr>
    </w:p>
    <w:p>
      <w:pPr>
        <w:ind w:right="40" w:firstLine="987"/>
        <w:spacing w:after="0" w:line="254" w:lineRule="auto"/>
        <w:tabs>
          <w:tab w:leader="none" w:pos="124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to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precede the date on which it is established, and which shall not be more than sixty (60) nor less than ten (10) days before the date of such meeting, more than ten (10) days after the date on which the record date for stockholder consent without a meeting is established, nor more than sixty (60) days prior to any other action. In such case only stockholders of record on such record date shall be so entitled notwithstanding any transfer of stock on the books of the Corporation after the record date.</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(ii) the record date for determining stockholders entitled to consent to corporate action in writing without a meeting, when no prior action by the Board of Directors is necessary, shall be the first date on which a signed written consent setting forth the action taken or proposed to be taken is delivered to the Corporation by delivery to its registered office in this state, to its principal place of business, or to an officer or agent of the Corporation having custody of the book in which proceedings of meetings of stockholders are recorded, and (iii) the record date for determining stockholders for any other purpose shall be at the close of business on the day on which the Board of Directors adopts the resolution relating thereto.</w:t>
      </w:r>
    </w:p>
    <w:p>
      <w:pPr>
        <w:spacing w:after="0" w:line="192" w:lineRule="exact"/>
        <w:rPr>
          <w:sz w:val="20"/>
          <w:szCs w:val="20"/>
          <w:color w:val="auto"/>
        </w:rPr>
      </w:pPr>
    </w:p>
    <w:p>
      <w:pPr>
        <w:ind w:firstLine="987"/>
        <w:spacing w:after="0" w:line="261"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87" w:name="page288"/>
    <w:bookmarkEnd w:id="287"/>
    <w:p>
      <w:pPr>
        <w:ind w:left="540" w:hanging="532"/>
        <w:spacing w:after="0"/>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w:t>
      </w:r>
    </w:p>
    <w:p>
      <w:pPr>
        <w:spacing w:after="0" w:line="117" w:lineRule="exact"/>
        <w:rPr>
          <w:rFonts w:ascii="Times New Roman" w:cs="Times New Roman" w:eastAsia="Times New Roman" w:hAnsi="Times New Roman"/>
          <w:sz w:val="18"/>
          <w:szCs w:val="18"/>
          <w:color w:val="auto"/>
        </w:rPr>
      </w:pPr>
    </w:p>
    <w:p>
      <w:pPr>
        <w:ind w:left="820" w:hanging="253"/>
        <w:spacing w:after="0"/>
        <w:tabs>
          <w:tab w:leader="none" w:pos="82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60" w:firstLine="1371"/>
        <w:spacing w:after="0" w:line="254" w:lineRule="auto"/>
        <w:tabs>
          <w:tab w:leader="none" w:pos="1610"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“Corporate Status” describes the status of a person who is serving or has served (A) as a Director of the Corporation, (B) as an Officer of the Corporation, (C) as a Non-Officer Employee of the Corporation, or (D) as a director, partner, trustee, officer, employee or agent of any other corporation, partnership, limited liability company, joint venture, trust, employee benefit plan, foundation, association, organization or other legal entity for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5(a)(i)</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80" w:lineRule="exact"/>
        <w:rPr>
          <w:rFonts w:ascii="Times New Roman" w:cs="Times New Roman" w:eastAsia="Times New Roman" w:hAnsi="Times New Roman"/>
          <w:sz w:val="18"/>
          <w:szCs w:val="18"/>
          <w:color w:val="auto"/>
        </w:rPr>
      </w:pPr>
    </w:p>
    <w:p>
      <w:pPr>
        <w:ind w:left="1660" w:hanging="269"/>
        <w:spacing w:after="0"/>
        <w:tabs>
          <w:tab w:leader="none" w:pos="1660"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any person who serves or has served the Corporation as a director on the Board of Directors of the</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w:t>
      </w:r>
    </w:p>
    <w:p>
      <w:pPr>
        <w:spacing w:after="0" w:line="98" w:lineRule="exact"/>
        <w:rPr>
          <w:rFonts w:ascii="Times New Roman" w:cs="Times New Roman" w:eastAsia="Times New Roman" w:hAnsi="Times New Roman"/>
          <w:sz w:val="18"/>
          <w:szCs w:val="18"/>
          <w:color w:val="auto"/>
        </w:rPr>
      </w:pPr>
    </w:p>
    <w:p>
      <w:pPr>
        <w:ind w:left="20" w:firstLine="1371"/>
        <w:spacing w:after="0" w:line="282" w:lineRule="auto"/>
        <w:tabs>
          <w:tab w:leader="none" w:pos="1710"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53" w:lineRule="exact"/>
        <w:rPr>
          <w:rFonts w:ascii="Times New Roman" w:cs="Times New Roman" w:eastAsia="Times New Roman" w:hAnsi="Times New Roman"/>
          <w:sz w:val="18"/>
          <w:szCs w:val="18"/>
          <w:color w:val="auto"/>
        </w:rPr>
      </w:pPr>
    </w:p>
    <w:p>
      <w:pPr>
        <w:ind w:left="20" w:right="280" w:firstLine="1371"/>
        <w:spacing w:after="0" w:line="256" w:lineRule="auto"/>
        <w:tabs>
          <w:tab w:leader="none" w:pos="1699"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means all reasonable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79" w:lineRule="exact"/>
        <w:rPr>
          <w:rFonts w:ascii="Times New Roman" w:cs="Times New Roman" w:eastAsia="Times New Roman" w:hAnsi="Times New Roman"/>
          <w:sz w:val="18"/>
          <w:szCs w:val="18"/>
          <w:color w:val="auto"/>
        </w:rPr>
      </w:pPr>
    </w:p>
    <w:p>
      <w:pPr>
        <w:ind w:left="1640" w:hanging="249"/>
        <w:spacing w:after="0"/>
        <w:tabs>
          <w:tab w:leader="none" w:pos="1640"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means judgments, damages, liabilities, losses, penalties, excise taxes, fines and amounts paid in settlement;</w:t>
      </w:r>
    </w:p>
    <w:p>
      <w:pPr>
        <w:spacing w:after="0" w:line="117" w:lineRule="exact"/>
        <w:rPr>
          <w:rFonts w:ascii="Times New Roman" w:cs="Times New Roman" w:eastAsia="Times New Roman" w:hAnsi="Times New Roman"/>
          <w:sz w:val="18"/>
          <w:szCs w:val="18"/>
          <w:color w:val="auto"/>
        </w:rPr>
      </w:pPr>
    </w:p>
    <w:p>
      <w:pPr>
        <w:ind w:left="20" w:right="40" w:firstLine="1371"/>
        <w:spacing w:after="0" w:line="282" w:lineRule="auto"/>
        <w:tabs>
          <w:tab w:leader="none" w:pos="1699"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“Non-Officer Employee” means any person who serves or has served as an employee or agent of the Corporation, but who is not or was not a Director or Officer;</w:t>
      </w:r>
    </w:p>
    <w:p>
      <w:pPr>
        <w:spacing w:after="0" w:line="53" w:lineRule="exact"/>
        <w:rPr>
          <w:rFonts w:ascii="Times New Roman" w:cs="Times New Roman" w:eastAsia="Times New Roman" w:hAnsi="Times New Roman"/>
          <w:sz w:val="18"/>
          <w:szCs w:val="18"/>
          <w:color w:val="auto"/>
        </w:rPr>
      </w:pPr>
    </w:p>
    <w:p>
      <w:pPr>
        <w:ind w:left="20" w:right="240" w:firstLine="1371"/>
        <w:spacing w:after="0" w:line="282" w:lineRule="auto"/>
        <w:tabs>
          <w:tab w:leader="none" w:pos="1749"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means any person who serves or has served the Corporation as an officer of the Corporation appointed by the Board of Directors of the Corporation;</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60" w:top="270" w:right="479" w:bottom="1440" w:gutter="0" w:footer="0" w:header="0"/>
        </w:sectPr>
      </w:pPr>
    </w:p>
    <w:bookmarkStart w:id="288" w:name="page289"/>
    <w:bookmarkEnd w:id="288"/>
    <w:p>
      <w:pPr>
        <w:ind w:left="440" w:right="80" w:firstLine="1371"/>
        <w:spacing w:after="0" w:line="266" w:lineRule="auto"/>
        <w:tabs>
          <w:tab w:leader="none" w:pos="2219"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67" w:lineRule="exact"/>
        <w:rPr>
          <w:rFonts w:ascii="Times New Roman" w:cs="Times New Roman" w:eastAsia="Times New Roman" w:hAnsi="Times New Roman"/>
          <w:sz w:val="18"/>
          <w:szCs w:val="18"/>
          <w:color w:val="auto"/>
        </w:rPr>
      </w:pPr>
    </w:p>
    <w:p>
      <w:pPr>
        <w:ind w:left="440" w:firstLine="1371"/>
        <w:spacing w:after="0" w:line="258" w:lineRule="auto"/>
        <w:tabs>
          <w:tab w:leader="none" w:pos="2119"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50% or more of the voting power of the voting capital equity interests of such corporation, partnership, limited liability company, joint venture or other entity, or (B) 50% or more of the outstanding voting capital stock or other voting equity interests of such corporation, partnership, limited liability company, joint venture or other entity.</w:t>
      </w:r>
    </w:p>
    <w:p>
      <w:pPr>
        <w:spacing w:after="0" w:line="75" w:lineRule="exact"/>
        <w:rPr>
          <w:rFonts w:ascii="Times New Roman" w:cs="Times New Roman" w:eastAsia="Times New Roman" w:hAnsi="Times New Roman"/>
          <w:sz w:val="18"/>
          <w:szCs w:val="18"/>
          <w:color w:val="auto"/>
        </w:rPr>
      </w:pPr>
    </w:p>
    <w:p>
      <w:pPr>
        <w:jc w:val="both"/>
        <w:ind w:right="40" w:firstLine="987"/>
        <w:spacing w:after="0" w:line="281" w:lineRule="auto"/>
        <w:tabs>
          <w:tab w:leader="none" w:pos="1246"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of Directors and Officers</w:t>
      </w:r>
      <w:r>
        <w:rPr>
          <w:rFonts w:ascii="Times New Roman" w:cs="Times New Roman" w:eastAsia="Times New Roman" w:hAnsi="Times New Roman"/>
          <w:sz w:val="17"/>
          <w:szCs w:val="17"/>
          <w:color w:val="auto"/>
        </w:rPr>
        <w:t xml:space="preserve">. Subject to the operation of </w:t>
      </w:r>
      <w:r>
        <w:rPr>
          <w:rFonts w:ascii="Times New Roman" w:cs="Times New Roman" w:eastAsia="Times New Roman" w:hAnsi="Times New Roman"/>
          <w:sz w:val="17"/>
          <w:szCs w:val="17"/>
          <w:u w:val="single" w:color="auto"/>
          <w:color w:val="auto"/>
        </w:rPr>
        <w:t>Section 5(d)</w:t>
      </w:r>
      <w:r>
        <w:rPr>
          <w:rFonts w:ascii="Times New Roman" w:cs="Times New Roman" w:eastAsia="Times New Roman" w:hAnsi="Times New Roman"/>
          <w:sz w:val="17"/>
          <w:szCs w:val="17"/>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w:t>
      </w:r>
      <w:r>
        <w:rPr>
          <w:rFonts w:ascii="Times New Roman" w:cs="Times New Roman" w:eastAsia="Times New Roman" w:hAnsi="Times New Roman"/>
          <w:sz w:val="17"/>
          <w:szCs w:val="17"/>
          <w:u w:val="single" w:color="auto"/>
          <w:color w:val="auto"/>
        </w:rPr>
        <w:t>subsections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left="440" w:right="160" w:firstLine="1371"/>
        <w:spacing w:after="0" w:line="255" w:lineRule="auto"/>
        <w:tabs>
          <w:tab w:leader="none" w:pos="2029"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80" w:lineRule="exact"/>
        <w:rPr>
          <w:rFonts w:ascii="Times New Roman" w:cs="Times New Roman" w:eastAsia="Times New Roman" w:hAnsi="Times New Roman"/>
          <w:sz w:val="18"/>
          <w:szCs w:val="18"/>
          <w:color w:val="auto"/>
        </w:rPr>
      </w:pPr>
    </w:p>
    <w:p>
      <w:pPr>
        <w:ind w:left="440" w:firstLine="1371"/>
        <w:spacing w:after="0" w:line="253" w:lineRule="auto"/>
        <w:tabs>
          <w:tab w:leader="none" w:pos="2079"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5(b)(ii)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89" w:name="page290"/>
    <w:bookmarkEnd w:id="289"/>
    <w:p>
      <w:pPr>
        <w:ind w:left="420" w:right="240" w:firstLine="1371"/>
        <w:spacing w:after="0" w:line="266" w:lineRule="auto"/>
        <w:tabs>
          <w:tab w:leader="none" w:pos="2109"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67" w:lineRule="exact"/>
        <w:rPr>
          <w:rFonts w:ascii="Times New Roman" w:cs="Times New Roman" w:eastAsia="Times New Roman" w:hAnsi="Times New Roman"/>
          <w:sz w:val="18"/>
          <w:szCs w:val="18"/>
          <w:color w:val="auto"/>
        </w:rPr>
      </w:pPr>
    </w:p>
    <w:p>
      <w:pPr>
        <w:ind w:left="420" w:firstLine="1371"/>
        <w:spacing w:after="0" w:line="258" w:lineRule="auto"/>
        <w:tabs>
          <w:tab w:leader="none" w:pos="2099"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 laws in accordance with the provisions set forth herein.</w:t>
      </w:r>
    </w:p>
    <w:p>
      <w:pPr>
        <w:spacing w:after="0" w:line="75" w:lineRule="exact"/>
        <w:rPr>
          <w:rFonts w:ascii="Times New Roman" w:cs="Times New Roman" w:eastAsia="Times New Roman" w:hAnsi="Times New Roman"/>
          <w:sz w:val="18"/>
          <w:szCs w:val="18"/>
          <w:color w:val="auto"/>
        </w:rPr>
      </w:pPr>
    </w:p>
    <w:p>
      <w:pPr>
        <w:ind w:left="-20" w:right="40" w:firstLine="987"/>
        <w:spacing w:after="0" w:line="253" w:lineRule="auto"/>
        <w:tabs>
          <w:tab w:leader="none" w:pos="121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xml:space="preserve">. Subject to the operation of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5(c)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83" w:lineRule="exact"/>
        <w:rPr>
          <w:rFonts w:ascii="Times New Roman" w:cs="Times New Roman" w:eastAsia="Times New Roman" w:hAnsi="Times New Roman"/>
          <w:sz w:val="18"/>
          <w:szCs w:val="18"/>
          <w:color w:val="auto"/>
        </w:rPr>
      </w:pPr>
    </w:p>
    <w:p>
      <w:pPr>
        <w:ind w:left="-20" w:firstLine="987"/>
        <w:spacing w:after="0" w:line="255" w:lineRule="auto"/>
        <w:tabs>
          <w:tab w:leader="none" w:pos="122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Section 5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(i) a majority vote of the Disinterested Directors, even though less than a quorum of the Board of Directors, (ii) a committee comprised of Disinterested Directors, such committee having been designated by a majority vote of the Disinterested Directors (even though less than a quorum), (iii) if there are no such Disinterested Directors, or if a majority of Disinterested Directors so directs, by independent legal counsel in a written opinion, or (iv) by the stockholders of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70" w:right="479" w:bottom="1440" w:gutter="0" w:footer="0" w:header="0"/>
        </w:sectPr>
      </w:pPr>
    </w:p>
    <w:bookmarkStart w:id="290" w:name="page291"/>
    <w:bookmarkEnd w:id="290"/>
    <w:p>
      <w:pPr>
        <w:ind w:left="804" w:hanging="253"/>
        <w:spacing w:after="0"/>
        <w:tabs>
          <w:tab w:leader="none" w:pos="80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Advancement of Expenses to Directors Prior to Final Disposition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1371"/>
        <w:spacing w:after="0" w:line="254" w:lineRule="auto"/>
        <w:tabs>
          <w:tab w:leader="none" w:pos="1593"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(A) authorized by the Board of Directors of the Corporation, or (B) brought to enforce such Director’s rights to indemnification or advancement of Expenses under these By-laws.</w:t>
      </w:r>
    </w:p>
    <w:p>
      <w:pPr>
        <w:spacing w:after="0" w:line="80" w:lineRule="exact"/>
        <w:rPr>
          <w:rFonts w:ascii="Times New Roman" w:cs="Times New Roman" w:eastAsia="Times New Roman" w:hAnsi="Times New Roman"/>
          <w:sz w:val="18"/>
          <w:szCs w:val="18"/>
          <w:color w:val="auto"/>
        </w:rPr>
      </w:pPr>
    </w:p>
    <w:p>
      <w:pPr>
        <w:ind w:left="1644" w:hanging="269"/>
        <w:spacing w:after="0"/>
        <w:tabs>
          <w:tab w:leader="none" w:pos="1644"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advancement of Expenses hereunder by a Director is not paid in full by the Corporation within thirty</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34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Section 5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80" w:lineRule="exact"/>
        <w:rPr>
          <w:rFonts w:ascii="Times New Roman" w:cs="Times New Roman" w:eastAsia="Times New Roman" w:hAnsi="Times New Roman"/>
          <w:sz w:val="18"/>
          <w:szCs w:val="18"/>
          <w:color w:val="auto"/>
        </w:rPr>
      </w:pPr>
    </w:p>
    <w:p>
      <w:pPr>
        <w:ind w:left="4" w:right="60" w:firstLine="1371"/>
        <w:spacing w:after="0" w:line="266" w:lineRule="auto"/>
        <w:tabs>
          <w:tab w:leader="none" w:pos="1693"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67" w:lineRule="exact"/>
        <w:rPr>
          <w:rFonts w:ascii="Times New Roman" w:cs="Times New Roman" w:eastAsia="Times New Roman" w:hAnsi="Times New Roman"/>
          <w:sz w:val="18"/>
          <w:szCs w:val="18"/>
          <w:color w:val="auto"/>
        </w:rPr>
      </w:pPr>
    </w:p>
    <w:p>
      <w:pPr>
        <w:ind w:left="784" w:hanging="233"/>
        <w:spacing w:after="0"/>
        <w:tabs>
          <w:tab w:leader="none" w:pos="78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1371"/>
        <w:spacing w:after="0" w:line="255" w:lineRule="auto"/>
        <w:tabs>
          <w:tab w:leader="none" w:pos="1593"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291" w:name="page292"/>
    <w:bookmarkEnd w:id="291"/>
    <w:p>
      <w:pPr>
        <w:ind w:left="4" w:right="100" w:firstLine="1371"/>
        <w:spacing w:after="0" w:line="266" w:lineRule="auto"/>
        <w:tabs>
          <w:tab w:leader="none" w:pos="1643"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67"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1371"/>
        <w:spacing w:after="0" w:line="253" w:lineRule="auto"/>
        <w:tabs>
          <w:tab w:leader="none" w:pos="1593"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distributees of such person.</w:t>
      </w:r>
    </w:p>
    <w:p>
      <w:pPr>
        <w:spacing w:after="0" w:line="84" w:lineRule="exact"/>
        <w:rPr>
          <w:sz w:val="20"/>
          <w:szCs w:val="20"/>
          <w:color w:val="auto"/>
        </w:rPr>
      </w:pPr>
    </w:p>
    <w:p>
      <w:pPr>
        <w:ind w:left="1644" w:hanging="269"/>
        <w:spacing w:after="0"/>
        <w:tabs>
          <w:tab w:leader="none" w:pos="1644"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w:t>
      </w:r>
    </w:p>
    <w:p>
      <w:pPr>
        <w:spacing w:after="0" w:line="27" w:lineRule="exact"/>
        <w:rPr>
          <w:rFonts w:ascii="Times New Roman" w:cs="Times New Roman" w:eastAsia="Times New Roman" w:hAnsi="Times New Roman"/>
          <w:sz w:val="18"/>
          <w:szCs w:val="18"/>
          <w:color w:val="auto"/>
        </w:rPr>
      </w:pPr>
    </w:p>
    <w:p>
      <w:pPr>
        <w:ind w:left="4" w:right="200" w:hanging="4"/>
        <w:spacing w:after="0" w:line="252" w:lineRule="auto"/>
        <w:tabs>
          <w:tab w:leader="none" w:pos="34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70" w:right="459" w:bottom="1440" w:gutter="0" w:footer="0" w:header="0"/>
        </w:sectPr>
      </w:pPr>
    </w:p>
    <w:bookmarkStart w:id="292" w:name="page293"/>
    <w:bookmarkEnd w:id="292"/>
    <w:p>
      <w:pPr>
        <w:ind w:left="440" w:right="160" w:firstLine="1371"/>
        <w:spacing w:after="0" w:line="282" w:lineRule="auto"/>
        <w:tabs>
          <w:tab w:leader="none" w:pos="2130"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suit brought by a Director or Officer to enforce a right to indemnification hereunder, it shall be a defense that such Director or Officer has not met any applicable standard for indemnification set forth in the DGCL.</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to indemnification and advancement of Expenses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75" w:lineRule="exact"/>
        <w:rPr>
          <w:rFonts w:ascii="Times New Roman" w:cs="Times New Roman" w:eastAsia="Times New Roman" w:hAnsi="Times New Roman"/>
          <w:sz w:val="18"/>
          <w:szCs w:val="18"/>
          <w:color w:val="auto"/>
        </w:rPr>
      </w:pPr>
    </w:p>
    <w:p>
      <w:pPr>
        <w:jc w:val="both"/>
        <w:ind w:right="60" w:firstLine="987"/>
        <w:spacing w:after="0" w:line="261" w:lineRule="auto"/>
        <w:tabs>
          <w:tab w:leader="none" w:pos="120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 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40" w:firstLine="987"/>
        <w:spacing w:after="0" w:line="254" w:lineRule="auto"/>
        <w:tabs>
          <w:tab w:leader="none" w:pos="1206"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xml:space="preserve">.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9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Except as otherwise determined by the Board of Directors, the fiscal year of the Corporation shall end on December 31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year.</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Subject to any limitations which may be set forth in a resolution of the Board of Directors, all deeds, leases, transfers, contracts, bonds, notes and other obligations to be entered into by the Corporation in the ordinary course of its business without director action may be executed on behalf of the Corporation by, a President, or by any other officer, employee or agent of the Corporation as the Board of Directors may authorize.</w:t>
      </w:r>
    </w:p>
    <w:p>
      <w:pPr>
        <w:spacing w:after="0" w:line="179" w:lineRule="exact"/>
        <w:rPr>
          <w:rFonts w:ascii="Times New Roman" w:cs="Times New Roman" w:eastAsia="Times New Roman" w:hAnsi="Times New Roman"/>
          <w:sz w:val="18"/>
          <w:szCs w:val="18"/>
          <w:color w:val="auto"/>
        </w:rPr>
      </w:pPr>
    </w:p>
    <w:p>
      <w:pPr>
        <w:ind w:right="180" w:firstLine="987"/>
        <w:spacing w:after="0" w:line="261" w:lineRule="auto"/>
        <w:tabs>
          <w:tab w:leader="none" w:pos="124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a President, any Vice President or the Treasurer may waive notice of and act on behalf of this Corporation, or appoint another person or persons to act as proxy or attorney in fact for this Corporation with or without discretionary power and/or power of substitution, at any meeting of stockholders or shareholders of any other corporation or organization, any of whose securities are held by this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93" w:name="page294"/>
    <w:bookmarkEnd w:id="293"/>
    <w:p>
      <w:pPr>
        <w:ind w:right="600" w:firstLine="987"/>
        <w:spacing w:after="0" w:line="282" w:lineRule="auto"/>
        <w:tabs>
          <w:tab w:leader="none" w:pos="123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of Incorporation, By-laws and records of all meetings of the incorporators, stockholders and the Board of Directors and the stock and transfer records, which shall contain the names of all stockholders, their record addresses and the amount of stock held by each, shall be kept at the principal office of the Corporation, at the office of its counsel, or at an office of its transfer agent.</w:t>
      </w:r>
    </w:p>
    <w:p>
      <w:pPr>
        <w:spacing w:after="0" w:line="179" w:lineRule="exact"/>
        <w:rPr>
          <w:rFonts w:ascii="Times New Roman" w:cs="Times New Roman" w:eastAsia="Times New Roman" w:hAnsi="Times New Roman"/>
          <w:sz w:val="18"/>
          <w:szCs w:val="18"/>
          <w:color w:val="auto"/>
        </w:rPr>
      </w:pPr>
    </w:p>
    <w:p>
      <w:pPr>
        <w:ind w:right="700" w:firstLine="987"/>
        <w:spacing w:after="0" w:line="282"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All references in these By-laws to the Certificate of Incorporation shall be deemed to refer to the Certificate of Incorporation of the Corporation, as amended and in effect from time to time.</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These By-laws may be altered, amended or repealed, and new By-laws may be adopted, by the stockholders or by the Board of Directors; provided, that (a) the Board of Directors may not alter, amend or repeal any provision of these By-laws which by law, by the Certificate of Incorporation or by these By-laws requires action by the stockholders and (b) any alteration, amendment or repeal of these By-laws by the Board of Directors and any new By-law adopted by the Board of Directors may be altered, amended or repealed by the stockholders.</w:t>
      </w:r>
    </w:p>
    <w:p>
      <w:pPr>
        <w:spacing w:after="0" w:line="179" w:lineRule="exact"/>
        <w:rPr>
          <w:rFonts w:ascii="Times New Roman" w:cs="Times New Roman" w:eastAsia="Times New Roman" w:hAnsi="Times New Roman"/>
          <w:sz w:val="18"/>
          <w:szCs w:val="18"/>
          <w:color w:val="auto"/>
        </w:rPr>
      </w:pPr>
    </w:p>
    <w:p>
      <w:pPr>
        <w:jc w:val="both"/>
        <w:ind w:firstLine="987"/>
        <w:spacing w:after="0" w:line="256" w:lineRule="auto"/>
        <w:tabs>
          <w:tab w:leader="none" w:pos="120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notice is required to be given under any provision of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needs to be specified in any written waiver or any waiver by electronic transmission.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September 6, 2017</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AMENDED AND RESTATED INVESTORS’ RIGHTS AGREEMENT</w:t>
      </w:r>
    </w:p>
    <w:p>
      <w:pPr>
        <w:spacing w:after="0" w:line="23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December 8, 2021</w:t>
      </w:r>
    </w:p>
    <w:p>
      <w:pPr>
        <w:sectPr>
          <w:pgSz w:w="11900" w:h="16838" w:orient="portrait"/>
          <w:cols w:equalWidth="0" w:num="1">
            <w:col w:w="10020"/>
          </w:cols>
          <w:pgMar w:left="1440" w:top="117" w:right="4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73"/>
              </w:rPr>
              <w:t>1. </w:t>
            </w:r>
          </w:p>
        </w:tc>
        <w:tc>
          <w:tcPr>
            <w:tcW w:w="4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Definitions</w:t>
            </w:r>
          </w:p>
        </w:tc>
        <w:tc>
          <w:tcPr>
            <w:tcW w:w="612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4"/>
        </w:trPr>
        <w:tc>
          <w:tcPr>
            <w:tcW w:w="240" w:type="dxa"/>
            <w:vAlign w:val="bottom"/>
            <w:vMerge w:val="continue"/>
          </w:tcPr>
          <w:p>
            <w:pPr>
              <w:spacing w:after="0"/>
              <w:rPr>
                <w:sz w:val="20"/>
                <w:szCs w:val="20"/>
                <w:color w:val="auto"/>
              </w:rPr>
            </w:pPr>
          </w:p>
        </w:tc>
        <w:tc>
          <w:tcPr>
            <w:tcW w:w="4220" w:type="dxa"/>
            <w:vAlign w:val="bottom"/>
            <w:gridSpan w:val="2"/>
            <w:vMerge w:val="continue"/>
          </w:tcPr>
          <w:p>
            <w:pPr>
              <w:spacing w:after="0"/>
              <w:rPr>
                <w:sz w:val="20"/>
                <w:szCs w:val="20"/>
                <w:color w:val="auto"/>
              </w:rPr>
            </w:pPr>
          </w:p>
        </w:tc>
        <w:tc>
          <w:tcPr>
            <w:tcW w:w="6120" w:type="dxa"/>
            <w:vAlign w:val="bottom"/>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2. </w:t>
            </w:r>
          </w:p>
        </w:tc>
        <w:tc>
          <w:tcPr>
            <w:tcW w:w="4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Registration Rights</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2.1 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Demand Registration</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2.2 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Company Registration</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2.3 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Underwriting Requirements</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2.4 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Obligations of the Company</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2.5 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Furnish Information</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2.6 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Expenses of Registration</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2.7 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Delay of Registration</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2.8 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Indemnification</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2.9 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Reports under Exchange Act</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2.10 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Limitations on Subsequent Registration Rights</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2.11   “Market Stand-off” Agreement</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2.12   Restrictions on Transfer</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4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2.13   Termination of Registration Rights</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3. </w:t>
            </w:r>
          </w:p>
        </w:tc>
        <w:tc>
          <w:tcPr>
            <w:tcW w:w="4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Information</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3.1 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Delivery of Financial Statements</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3.2 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Inspection</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3.3 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Termination of Information Rights</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3.4 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Confidentiality</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6"/>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Rights to Future Stock Issuances</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4.1 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Right of First Offer</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4.2 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Termination</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6"/>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w w:val="73"/>
              </w:rPr>
              <w:t>5. </w:t>
            </w:r>
          </w:p>
        </w:tc>
        <w:tc>
          <w:tcPr>
            <w:tcW w:w="4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Additional Covenants</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5.1 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Insurance</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5.2 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Employee Agreements</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5.3 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Employee Vesting</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5.4 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Matters Requiring Preferred Director Approval</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5.5 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Meetings of the Board of Directors; Committees</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5.6 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Successor Indemnification</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5.7 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Board Expenses</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5.8 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Directors’ Liability and Indemnification</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5.9 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FCPA</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5.10 </w:t>
            </w:r>
          </w:p>
        </w:tc>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Right to Conduct Activities</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5.11   Tax Reporting</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5.12   Expenses of Counsel</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4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5.13   Termination of Covenants</w:t>
            </w:r>
          </w:p>
        </w:tc>
        <w:tc>
          <w:tcPr>
            <w:tcW w:w="6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66" w:right="43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Miscellaneous</w:t>
            </w:r>
          </w:p>
        </w:tc>
        <w:tc>
          <w:tcPr>
            <w:tcW w:w="4340" w:type="dxa"/>
            <w:vAlign w:val="bottom"/>
          </w:tcPr>
          <w:p>
            <w:pPr>
              <w:ind w:left="3900"/>
              <w:spacing w:after="0"/>
              <w:rPr>
                <w:sz w:val="20"/>
                <w:szCs w:val="20"/>
                <w:color w:val="auto"/>
              </w:rPr>
            </w:pPr>
            <w:r>
              <w:rPr>
                <w:rFonts w:ascii="Times New Roman" w:cs="Times New Roman" w:eastAsia="Times New Roman" w:hAnsi="Times New Roman"/>
                <w:sz w:val="18"/>
                <w:szCs w:val="18"/>
                <w:color w:val="auto"/>
                <w:w w:val="80"/>
              </w:rPr>
              <w:t>24     </w:t>
            </w:r>
          </w:p>
        </w:tc>
      </w:tr>
      <w:tr>
        <w:trPr>
          <w:trHeight w:val="216"/>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6.1 </w:t>
            </w: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Successors and Assigns</w:t>
            </w:r>
          </w:p>
        </w:tc>
        <w:tc>
          <w:tcPr>
            <w:tcW w:w="434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6.2 </w:t>
            </w: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Governing Law</w:t>
            </w:r>
          </w:p>
        </w:tc>
        <w:tc>
          <w:tcPr>
            <w:tcW w:w="434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6.3 </w:t>
            </w: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Counterparts; Facsimile</w:t>
            </w:r>
          </w:p>
        </w:tc>
        <w:tc>
          <w:tcPr>
            <w:tcW w:w="434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6.4 </w:t>
            </w: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Titles and Subtitles</w:t>
            </w:r>
          </w:p>
        </w:tc>
        <w:tc>
          <w:tcPr>
            <w:tcW w:w="434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6.5 </w:t>
            </w: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Notices</w:t>
            </w:r>
          </w:p>
        </w:tc>
        <w:tc>
          <w:tcPr>
            <w:tcW w:w="434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6.6 </w:t>
            </w: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Amendments and Waivers</w:t>
            </w:r>
          </w:p>
        </w:tc>
        <w:tc>
          <w:tcPr>
            <w:tcW w:w="434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6.7 </w:t>
            </w: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Severability</w:t>
            </w:r>
          </w:p>
        </w:tc>
        <w:tc>
          <w:tcPr>
            <w:tcW w:w="434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6.8 </w:t>
            </w: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Aggregation of Stock</w:t>
            </w:r>
          </w:p>
        </w:tc>
        <w:tc>
          <w:tcPr>
            <w:tcW w:w="434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6.9 </w:t>
            </w: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Additional Investors</w:t>
            </w:r>
          </w:p>
        </w:tc>
        <w:tc>
          <w:tcPr>
            <w:tcW w:w="434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6.10 </w:t>
            </w: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Entire Agreement</w:t>
            </w:r>
          </w:p>
        </w:tc>
        <w:tc>
          <w:tcPr>
            <w:tcW w:w="434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26</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98"/>
        </w:trPr>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6.11   Delays or Omissions</w:t>
            </w:r>
          </w:p>
        </w:tc>
        <w:tc>
          <w:tcPr>
            <w:tcW w:w="42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26</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6.12   Dispute Resolution</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00"/>
          </w:cols>
          <w:pgMar w:left="440" w:top="270" w:right="459" w:bottom="1440" w:gutter="0" w:footer="0" w:header="0"/>
        </w:sectPr>
      </w:pPr>
    </w:p>
    <w:bookmarkStart w:id="297" w:name="page298"/>
    <w:bookmarkEnd w:id="29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MAZE THERAPEUTICS,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w:t>
      </w:r>
    </w:p>
    <w:p>
      <w:pPr>
        <w:spacing w:after="0" w:line="225"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THIS AMENDED AND RESTATED INVESTORS’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December 8, 2021, by and among Maze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each investor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of which is referred to in this Agreement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Investors (the “</w:t>
      </w:r>
      <w:r>
        <w:rPr>
          <w:rFonts w:ascii="Times New Roman" w:cs="Times New Roman" w:eastAsia="Times New Roman" w:hAnsi="Times New Roman"/>
          <w:sz w:val="18"/>
          <w:szCs w:val="18"/>
          <w:b w:val="1"/>
          <w:bCs w:val="1"/>
          <w:color w:val="auto"/>
        </w:rPr>
        <w:t>Existing Investors</w:t>
      </w:r>
      <w:r>
        <w:rPr>
          <w:rFonts w:ascii="Times New Roman" w:cs="Times New Roman" w:eastAsia="Times New Roman" w:hAnsi="Times New Roman"/>
          <w:sz w:val="18"/>
          <w:szCs w:val="18"/>
          <w:color w:val="auto"/>
        </w:rPr>
        <w:t>”) hold shares of the Company’s Series A Preferred Stock, Series B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and/or shares of Common Stock issued upon conversion thereof and possess registration rights, information rights, rights of first offer, and other rights pursuant to that certain Amended and Restated Investors’ Rights Agreement dated as of February 15, 2019, by and among the Company and such Existing Investors (as amended from time to time,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Existing Investors executing this Agreement are holders of at least a majority of the Registrable Securities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the Prior Agreement), and desire to amend and restate the Prior Agreement in its entirety and to accept the rights created pursuant to this Agreement in lieu of the rights granted to them under the Prior Agreement; and</w:t>
      </w:r>
    </w:p>
    <w:p>
      <w:pPr>
        <w:spacing w:after="0" w:line="171"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Investors are parties to the Purchase Agreement (as defined below), under which certain of the Company’s and such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are conditioned upon the execution and delivery of this Agreement by such Investors, Existing Investors holding at least a majority of the Registrable Securities, and the Company;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Existing Investors hereby agree that the Prior Agreement shall be amended and restated, and the parties to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further agree as follows: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13" w:lineRule="exact"/>
        <w:rPr>
          <w:sz w:val="20"/>
          <w:szCs w:val="20"/>
          <w:color w:val="auto"/>
        </w:rPr>
      </w:pPr>
    </w:p>
    <w:p>
      <w:pPr>
        <w:ind w:right="140" w:firstLine="991"/>
        <w:spacing w:after="0" w:line="259"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(1) or more general partners, managing members or investment adviser of, or shares the same management company or investment adviser with, such Person. Third Rock Ventures IV, L.P. (“</w:t>
      </w:r>
      <w:r>
        <w:rPr>
          <w:rFonts w:ascii="Times New Roman" w:cs="Times New Roman" w:eastAsia="Times New Roman" w:hAnsi="Times New Roman"/>
          <w:sz w:val="18"/>
          <w:szCs w:val="18"/>
          <w:b w:val="1"/>
          <w:bCs w:val="1"/>
          <w:color w:val="auto"/>
        </w:rPr>
        <w:t>TRV</w:t>
      </w:r>
      <w:r>
        <w:rPr>
          <w:rFonts w:ascii="Times New Roman" w:cs="Times New Roman" w:eastAsia="Times New Roman" w:hAnsi="Times New Roman"/>
          <w:sz w:val="18"/>
          <w:szCs w:val="18"/>
          <w:color w:val="auto"/>
        </w:rPr>
        <w:t>”) and the Company shall not be deemed to be Affiliated for the purposes of this Agreement.</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xml:space="preserve"> means the Company’s Board of Directors.</w:t>
      </w:r>
    </w:p>
    <w:p>
      <w:pPr>
        <w:spacing w:after="0" w:line="117" w:lineRule="exact"/>
        <w:rPr>
          <w:sz w:val="20"/>
          <w:szCs w:val="20"/>
          <w:color w:val="auto"/>
        </w:rPr>
      </w:pPr>
    </w:p>
    <w:p>
      <w:pPr>
        <w:ind w:right="440" w:firstLine="991"/>
        <w:spacing w:after="0" w:line="28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(i) other than Saturday or Sunday and (ii) on which commercial banks are open for business in San Francisco, California.</w:t>
      </w:r>
    </w:p>
    <w:p>
      <w:pPr>
        <w:sectPr>
          <w:pgSz w:w="11900" w:h="16838" w:orient="portrait"/>
          <w:cols w:equalWidth="0" w:num="1">
            <w:col w:w="10960"/>
          </w:cols>
          <w:pgMar w:left="440" w:top="266" w:right="499" w:bottom="1440" w:gutter="0" w:footer="0" w:header="0"/>
        </w:sectPr>
      </w:pPr>
    </w:p>
    <w:bookmarkStart w:id="298" w:name="page299"/>
    <w:bookmarkEnd w:id="298"/>
    <w:p>
      <w:pPr>
        <w:ind w:right="58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means the Company’s Amended and Restated Certificate of Incorporation, as the same may be amended, restated or otherwise modified from time to time.</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shares of the Company’s common stock, par value $0.001 per share.</w:t>
      </w:r>
    </w:p>
    <w:p>
      <w:pPr>
        <w:spacing w:after="0" w:line="117" w:lineRule="exact"/>
        <w:rPr>
          <w:sz w:val="20"/>
          <w:szCs w:val="20"/>
          <w:color w:val="auto"/>
        </w:rPr>
      </w:pPr>
    </w:p>
    <w:p>
      <w:pPr>
        <w:ind w:right="180" w:firstLine="991"/>
        <w:spacing w:after="0" w:line="255"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means a Person engaged, directly or indirectly (including through any partnership, limited liability company, corporation, joint venture or similar arrangement (whether now existing or formed hereafter)), in activities or a line of business that are directly or indirectly competitive with Company’s business as then conducted or as then proposed to be conducted, but shall not include any financial investment firm or collective investment vehicle solely by virtue of its ownership (and/or its Affiliates’ ownership) of an equity interest in any Competitor held solely for investment purposes. For the purposes of this Agreement, ARCH Venture Fund X, L.P. and ARCH Venture Fund X Overage, L.P. (collectively, “</w:t>
      </w:r>
      <w:r>
        <w:rPr>
          <w:rFonts w:ascii="Times New Roman" w:cs="Times New Roman" w:eastAsia="Times New Roman" w:hAnsi="Times New Roman"/>
          <w:sz w:val="18"/>
          <w:szCs w:val="18"/>
          <w:b w:val="1"/>
          <w:bCs w:val="1"/>
          <w:color w:val="auto"/>
        </w:rPr>
        <w:t>Arch</w:t>
      </w:r>
      <w:r>
        <w:rPr>
          <w:rFonts w:ascii="Times New Roman" w:cs="Times New Roman" w:eastAsia="Times New Roman" w:hAnsi="Times New Roman"/>
          <w:sz w:val="18"/>
          <w:szCs w:val="18"/>
          <w:color w:val="auto"/>
        </w:rPr>
        <w:t>”) and Arch’s Affiliates, GV 2019, L.P. (“</w:t>
      </w:r>
      <w:r>
        <w:rPr>
          <w:rFonts w:ascii="Times New Roman" w:cs="Times New Roman" w:eastAsia="Times New Roman" w:hAnsi="Times New Roman"/>
          <w:sz w:val="18"/>
          <w:szCs w:val="18"/>
          <w:b w:val="1"/>
          <w:bCs w:val="1"/>
          <w:color w:val="auto"/>
        </w:rPr>
        <w:t>GV</w:t>
      </w:r>
      <w:r>
        <w:rPr>
          <w:rFonts w:ascii="Times New Roman" w:cs="Times New Roman" w:eastAsia="Times New Roman" w:hAnsi="Times New Roman"/>
          <w:sz w:val="18"/>
          <w:szCs w:val="18"/>
          <w:color w:val="auto"/>
        </w:rPr>
        <w:t>”) and its Affiliates, Matrix Capital Management Master Fund LP (“</w:t>
      </w:r>
      <w:r>
        <w:rPr>
          <w:rFonts w:ascii="Times New Roman" w:cs="Times New Roman" w:eastAsia="Times New Roman" w:hAnsi="Times New Roman"/>
          <w:sz w:val="18"/>
          <w:szCs w:val="18"/>
          <w:b w:val="1"/>
          <w:bCs w:val="1"/>
          <w:color w:val="auto"/>
        </w:rPr>
        <w:t>Matrix</w:t>
      </w:r>
      <w:r>
        <w:rPr>
          <w:rFonts w:ascii="Times New Roman" w:cs="Times New Roman" w:eastAsia="Times New Roman" w:hAnsi="Times New Roman"/>
          <w:sz w:val="18"/>
          <w:szCs w:val="18"/>
          <w:color w:val="auto"/>
        </w:rPr>
        <w:t>”) and its Affiliates, Moore Strategic Ventures, LLC and its Affiliates, General Catalyst Group XI – Endurance, L.P. (“</w:t>
      </w:r>
      <w:r>
        <w:rPr>
          <w:rFonts w:ascii="Times New Roman" w:cs="Times New Roman" w:eastAsia="Times New Roman" w:hAnsi="Times New Roman"/>
          <w:sz w:val="18"/>
          <w:szCs w:val="18"/>
          <w:b w:val="1"/>
          <w:bCs w:val="1"/>
          <w:color w:val="auto"/>
        </w:rPr>
        <w:t>General Catalyst</w:t>
      </w:r>
      <w:r>
        <w:rPr>
          <w:rFonts w:ascii="Times New Roman" w:cs="Times New Roman" w:eastAsia="Times New Roman" w:hAnsi="Times New Roman"/>
          <w:sz w:val="18"/>
          <w:szCs w:val="18"/>
          <w:color w:val="auto"/>
        </w:rPr>
        <w:t>”) and its Affiliates and Andreessen Horowitz LSV Fund II, L.P., as nominee (“</w:t>
      </w:r>
      <w:r>
        <w:rPr>
          <w:rFonts w:ascii="Times New Roman" w:cs="Times New Roman" w:eastAsia="Times New Roman" w:hAnsi="Times New Roman"/>
          <w:sz w:val="18"/>
          <w:szCs w:val="18"/>
          <w:b w:val="1"/>
          <w:bCs w:val="1"/>
          <w:color w:val="auto"/>
        </w:rPr>
        <w:t>a16z</w:t>
      </w:r>
      <w:r>
        <w:rPr>
          <w:rFonts w:ascii="Times New Roman" w:cs="Times New Roman" w:eastAsia="Times New Roman" w:hAnsi="Times New Roman"/>
          <w:sz w:val="18"/>
          <w:szCs w:val="18"/>
          <w:color w:val="auto"/>
        </w:rPr>
        <w:t>”), and its Affiliates shall not be considered Competitors.</w:t>
      </w:r>
    </w:p>
    <w:p>
      <w:pPr>
        <w:spacing w:after="0" w:line="7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Deemed Liquidation Event</w:t>
      </w:r>
      <w:r>
        <w:rPr>
          <w:rFonts w:ascii="Times New Roman" w:cs="Times New Roman" w:eastAsia="Times New Roman" w:hAnsi="Times New Roman"/>
          <w:sz w:val="18"/>
          <w:szCs w:val="18"/>
          <w:color w:val="auto"/>
        </w:rPr>
        <w:t>” shall have the meaning given to such term in the Certificate of Incorporation.</w:t>
      </w:r>
    </w:p>
    <w:p>
      <w:pPr>
        <w:spacing w:after="0" w:line="117" w:lineRule="exact"/>
        <w:rPr>
          <w:sz w:val="20"/>
          <w:szCs w:val="20"/>
          <w:color w:val="auto"/>
        </w:rPr>
      </w:pPr>
    </w:p>
    <w:p>
      <w:pPr>
        <w:ind w:right="260" w:firstLine="991"/>
        <w:spacing w:after="0" w:line="28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Derivative Securities</w:t>
      </w:r>
      <w:r>
        <w:rPr>
          <w:rFonts w:ascii="Times New Roman" w:cs="Times New Roman" w:eastAsia="Times New Roman" w:hAnsi="Times New Roman"/>
          <w:sz w:val="18"/>
          <w:szCs w:val="18"/>
          <w:color w:val="auto"/>
        </w:rPr>
        <w:t>” means any securities or rights convertible into, or exercisable or exchangeable for (in each case, directly or indirectly), Common Stock, including options and warrants.</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right="180" w:firstLine="991"/>
        <w:spacing w:after="0" w:line="262"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Excluded Registration</w:t>
      </w:r>
      <w:r>
        <w:rPr>
          <w:rFonts w:ascii="Times New Roman" w:cs="Times New Roman" w:eastAsia="Times New Roman" w:hAnsi="Times New Roman"/>
          <w:sz w:val="18"/>
          <w:szCs w:val="18"/>
          <w:color w:val="auto"/>
        </w:rPr>
        <w:t>” means (i) a registration relating to the sale of securities to employees of the Company or a subsidiary pursuant to a stock option, stock purchase, or similar plan; (ii) a registration relating to an SEC Rule 145 transaction; or (iii) a registration on any form that does not include substantially the same information as would be required to be included in a registration statement covering the sale of the Registrable Securities.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99" w:name="page300"/>
    <w:bookmarkEnd w:id="299"/>
    <w:p>
      <w:pPr>
        <w:ind w:right="34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 “</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means such form under the Securities Act as in effect on the date hereof or any successor registration form under the Securities Act subsequently adopted by the SEC.</w:t>
      </w:r>
    </w:p>
    <w:p>
      <w:pPr>
        <w:spacing w:after="0" w:line="47" w:lineRule="exact"/>
        <w:rPr>
          <w:sz w:val="20"/>
          <w:szCs w:val="20"/>
          <w:color w:val="auto"/>
        </w:rPr>
      </w:pPr>
    </w:p>
    <w:p>
      <w:pPr>
        <w:ind w:right="180" w:firstLine="991"/>
        <w:spacing w:after="0" w:line="268"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means such form under the Securities Act as in effect on the date hereof, any successor registration form under the Securities Act subsequently adopted by the SEC or any other registration form under the Securities Act adopted by the SEC that permits incorporation of substantial information by reference to other documents filed by the Company with the SEC.</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any holder of Registrable Securities who is a party to this Agreement.</w:t>
      </w:r>
    </w:p>
    <w:p>
      <w:pPr>
        <w:spacing w:after="0" w:line="117"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Initiating Holders</w:t>
      </w:r>
      <w:r>
        <w:rPr>
          <w:rFonts w:ascii="Times New Roman" w:cs="Times New Roman" w:eastAsia="Times New Roman" w:hAnsi="Times New Roman"/>
          <w:sz w:val="18"/>
          <w:szCs w:val="18"/>
          <w:color w:val="auto"/>
        </w:rPr>
        <w:t>” means, collectively, Holders who properly initiate a registration request under this Agreement.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the Company’s first underwritten public offering of its Common Stock under the Securities Act.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Key Employee</w:t>
      </w:r>
      <w:r>
        <w:rPr>
          <w:rFonts w:ascii="Times New Roman" w:cs="Times New Roman" w:eastAsia="Times New Roman" w:hAnsi="Times New Roman"/>
          <w:sz w:val="18"/>
          <w:szCs w:val="18"/>
          <w:color w:val="auto"/>
        </w:rPr>
        <w:t>” shall have the definition ascribed to it under the Purchase Agreement.</w:t>
      </w:r>
    </w:p>
    <w:p>
      <w:pPr>
        <w:spacing w:after="0" w:line="117"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Major Investor</w:t>
      </w:r>
      <w:r>
        <w:rPr>
          <w:rFonts w:ascii="Times New Roman" w:cs="Times New Roman" w:eastAsia="Times New Roman" w:hAnsi="Times New Roman"/>
          <w:sz w:val="18"/>
          <w:szCs w:val="18"/>
          <w:color w:val="auto"/>
        </w:rPr>
        <w:t>” means any Investor that, individually or together with such Investor’s Affiliates, holds at least 5,000,000 shares of Registrable Securities (subject to appropriate adjustment in the event of any stock dividend, stock split, combination or other similar recapitalization occurring after the date of the Purchase Agreement).</w:t>
      </w:r>
    </w:p>
    <w:p>
      <w:pPr>
        <w:spacing w:after="0" w:line="63"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 excluding in all cases shares of Preferred Stock issued pursuant to the Purchase Agreement.</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trust, limited liability company, association or other entity.</w:t>
      </w:r>
    </w:p>
    <w:p>
      <w:pPr>
        <w:spacing w:after="0" w:line="117"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the Series C Preferred Stock Purchase Agreement, by and among the Company and the Investors, dated as of the date hereof, as the same may be amended, restated or otherwise modified from time to time.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300" w:name="page301"/>
    <w:bookmarkEnd w:id="30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1.24 “</w:t>
      </w:r>
      <w:r>
        <w:rPr>
          <w:rFonts w:ascii="Times New Roman" w:cs="Times New Roman" w:eastAsia="Times New Roman" w:hAnsi="Times New Roman"/>
          <w:sz w:val="18"/>
          <w:szCs w:val="18"/>
          <w:b w:val="1"/>
          <w:bCs w:val="1"/>
          <w:color w:val="auto"/>
        </w:rPr>
        <w:t>QPO</w:t>
      </w:r>
      <w:r>
        <w:rPr>
          <w:rFonts w:ascii="Times New Roman" w:cs="Times New Roman" w:eastAsia="Times New Roman" w:hAnsi="Times New Roman"/>
          <w:sz w:val="18"/>
          <w:szCs w:val="18"/>
          <w:color w:val="auto"/>
        </w:rPr>
        <w:t>” shall have the meaning set forth in the Certificate of Incorporation.</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the Common Stock issuable or issued upon conversion of the Series A Preferred Stock, Series B Preferred Stock or Series C Preferred Stock; (ii) any Common Stock, or any Common Stock issued or issuable (directly or indirectly) upon conversion and/or exercise of any other securities of the Company, held by the Major Investors or acquired by the Major Investors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provided that, (A) in all cases, any Registrable Securities sold by a Person in a transaction in which the applicable rights under this Agreement are not assigned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cease to be Registrable Securities, and (B) for purposes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any Registrable Securities for which registration rights have terminated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of this Agreement shall cease to be Registrable Securities.</w:t>
      </w:r>
    </w:p>
    <w:p>
      <w:pPr>
        <w:spacing w:after="0" w:line="77"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Registrable Securities then outstanding</w:t>
      </w:r>
      <w:r>
        <w:rPr>
          <w:rFonts w:ascii="Times New Roman" w:cs="Times New Roman" w:eastAsia="Times New Roman" w:hAnsi="Times New Roman"/>
          <w:sz w:val="18"/>
          <w:szCs w:val="18"/>
          <w:color w:val="auto"/>
        </w:rPr>
        <w:t>” means the number of shares at a point in time determined by adding the number of shares of outstanding Common Stock that are Registrable Securities at such time and the number of shares of Common Stock issuable (directly or indirectly) at such time pursuant to then exercisable and/or convertible securities that are Registrable Securities.</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Restricted Securities</w:t>
      </w:r>
      <w:r>
        <w:rPr>
          <w:rFonts w:ascii="Times New Roman" w:cs="Times New Roman" w:eastAsia="Times New Roman" w:hAnsi="Times New Roman"/>
          <w:sz w:val="18"/>
          <w:szCs w:val="18"/>
          <w:color w:val="auto"/>
        </w:rPr>
        <w:t xml:space="preserve">” means the securities of the Company required to bear the legend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hereof.</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color w:val="auto"/>
        </w:rPr>
        <w:t>SEC Rule 144</w:t>
      </w:r>
      <w:r>
        <w:rPr>
          <w:rFonts w:ascii="Times New Roman" w:cs="Times New Roman" w:eastAsia="Times New Roman" w:hAnsi="Times New Roman"/>
          <w:sz w:val="18"/>
          <w:szCs w:val="18"/>
          <w:color w:val="auto"/>
        </w:rPr>
        <w:t>” means Rule 144 promulgated by the SEC under the Securities Act, or any successor provisions.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color w:val="auto"/>
        </w:rPr>
        <w:t>SEC Rule 145</w:t>
      </w:r>
      <w:r>
        <w:rPr>
          <w:rFonts w:ascii="Times New Roman" w:cs="Times New Roman" w:eastAsia="Times New Roman" w:hAnsi="Times New Roman"/>
          <w:sz w:val="18"/>
          <w:szCs w:val="18"/>
          <w:color w:val="auto"/>
        </w:rPr>
        <w:t>” means Rule 145 promulgated by the SEC under the Securities Act, or any successor provisions.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color w:val="auto"/>
        </w:rPr>
        <w:t>Series A Preferred Stock</w:t>
      </w:r>
      <w:r>
        <w:rPr>
          <w:rFonts w:ascii="Times New Roman" w:cs="Times New Roman" w:eastAsia="Times New Roman" w:hAnsi="Times New Roman"/>
          <w:sz w:val="18"/>
          <w:szCs w:val="18"/>
          <w:color w:val="auto"/>
        </w:rPr>
        <w:t>” means shares of the Company’s Series A Preferred Stock, par value $0.001 per share.</w:t>
      </w:r>
    </w:p>
    <w:p>
      <w:pPr>
        <w:spacing w:after="0" w:line="117" w:lineRule="exact"/>
        <w:rPr>
          <w:sz w:val="20"/>
          <w:szCs w:val="20"/>
          <w:color w:val="auto"/>
        </w:rPr>
      </w:pPr>
    </w:p>
    <w:p>
      <w:pPr>
        <w:ind w:right="660" w:firstLine="991"/>
        <w:spacing w:after="0" w:line="286"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means shares of the Company’s Series B Preferred Stock, par value $0.001 per share, as may be authorized pursuant to the Certificate of Incorporation in effect from time to time.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301" w:name="page302"/>
    <w:bookmarkEnd w:id="301"/>
    <w:p>
      <w:pPr>
        <w:ind w:left="4" w:right="66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1.35 “</w:t>
      </w:r>
      <w:r>
        <w:rPr>
          <w:rFonts w:ascii="Times New Roman" w:cs="Times New Roman" w:eastAsia="Times New Roman" w:hAnsi="Times New Roman"/>
          <w:sz w:val="18"/>
          <w:szCs w:val="18"/>
          <w:b w:val="1"/>
          <w:bCs w:val="1"/>
          <w:color w:val="auto"/>
        </w:rPr>
        <w:t>Series C Preferred Stock</w:t>
      </w:r>
      <w:r>
        <w:rPr>
          <w:rFonts w:ascii="Times New Roman" w:cs="Times New Roman" w:eastAsia="Times New Roman" w:hAnsi="Times New Roman"/>
          <w:sz w:val="18"/>
          <w:szCs w:val="18"/>
          <w:color w:val="auto"/>
        </w:rPr>
        <w:t>” means shares of the Company’s Series C Preferred Stock, par value $0.001 per share, as may be authorized pursuant to the Certificate of Incorporation in effect from time to time.</w:t>
      </w:r>
    </w:p>
    <w:p>
      <w:pPr>
        <w:spacing w:after="0" w:line="47" w:lineRule="exact"/>
        <w:rPr>
          <w:sz w:val="20"/>
          <w:szCs w:val="20"/>
          <w:color w:val="auto"/>
        </w:rPr>
      </w:pPr>
    </w:p>
    <w:p>
      <w:pPr>
        <w:ind w:left="4" w:right="240" w:firstLine="991"/>
        <w:spacing w:after="0" w:line="317" w:lineRule="auto"/>
        <w:rPr>
          <w:sz w:val="20"/>
          <w:szCs w:val="20"/>
          <w:color w:val="auto"/>
        </w:rPr>
      </w:pPr>
      <w:r>
        <w:rPr>
          <w:rFonts w:ascii="Times New Roman" w:cs="Times New Roman" w:eastAsia="Times New Roman" w:hAnsi="Times New Roman"/>
          <w:sz w:val="17"/>
          <w:szCs w:val="17"/>
          <w:color w:val="auto"/>
        </w:rPr>
        <w:t>1.36 “</w:t>
      </w:r>
      <w:r>
        <w:rPr>
          <w:rFonts w:ascii="Times New Roman" w:cs="Times New Roman" w:eastAsia="Times New Roman" w:hAnsi="Times New Roman"/>
          <w:sz w:val="17"/>
          <w:szCs w:val="17"/>
          <w:b w:val="1"/>
          <w:bCs w:val="1"/>
          <w:color w:val="auto"/>
        </w:rPr>
        <w:t>Stockholders Agreement</w:t>
      </w:r>
      <w:r>
        <w:rPr>
          <w:rFonts w:ascii="Times New Roman" w:cs="Times New Roman" w:eastAsia="Times New Roman" w:hAnsi="Times New Roman"/>
          <w:sz w:val="17"/>
          <w:szCs w:val="17"/>
          <w:color w:val="auto"/>
        </w:rPr>
        <w:t>” means the Amended and Restated Stockholders Agreement dated as of the date hereof, by and among the Company, the Investors, and Key Holders (as defined therein), as the same may be amended, restated or otherwise modified from time to time.</w:t>
      </w:r>
    </w:p>
    <w:p>
      <w:pPr>
        <w:spacing w:after="0" w:line="28" w:lineRule="exact"/>
        <w:rPr>
          <w:sz w:val="20"/>
          <w:szCs w:val="20"/>
          <w:color w:val="auto"/>
        </w:rPr>
      </w:pPr>
    </w:p>
    <w:p>
      <w:pPr>
        <w:ind w:left="984" w:right="5480" w:hanging="544"/>
        <w:spacing w:after="0" w:line="375" w:lineRule="auto"/>
        <w:tabs>
          <w:tab w:leader="none" w:pos="613"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The Company covenants and agrees as follows: 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firstLine="1428"/>
        <w:spacing w:after="0" w:line="255" w:lineRule="auto"/>
        <w:tabs>
          <w:tab w:leader="none" w:pos="1681"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S-1 Demand</w:t>
      </w:r>
      <w:r>
        <w:rPr>
          <w:rFonts w:ascii="Times New Roman" w:cs="Times New Roman" w:eastAsia="Times New Roman" w:hAnsi="Times New Roman"/>
          <w:sz w:val="18"/>
          <w:szCs w:val="18"/>
          <w:color w:val="auto"/>
        </w:rPr>
        <w:t>. Beginning upon the earlier of (i) five (5) years after the date of this Agreement or (ii) six (6) months after the effective date of the registration statement for the IPO, if the Company receives a request from Major Investors holding at least twenty-five percent (25%) of the Registrable Securities then outstanding and held by Major Investors that the Company file a Form S-1 registration statement with respect to at least twenty- five percent (25%) of the Registrable Securities then outstanding, having the anticipated aggregate offering amount of at least</w:t>
      </w:r>
    </w:p>
    <w:p>
      <w:pPr>
        <w:spacing w:after="0" w:line="2" w:lineRule="exact"/>
        <w:rPr>
          <w:rFonts w:ascii="Times New Roman" w:cs="Times New Roman" w:eastAsia="Times New Roman" w:hAnsi="Times New Roman"/>
          <w:sz w:val="18"/>
          <w:szCs w:val="18"/>
          <w:color w:val="auto"/>
        </w:rPr>
      </w:pPr>
    </w:p>
    <w:p>
      <w:pPr>
        <w:ind w:left="4" w:right="2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 million, then the Company shall (x) within ten (10) days after the date such request is given, give notice thereof (the “</w:t>
      </w:r>
      <w:r>
        <w:rPr>
          <w:rFonts w:ascii="Times New Roman" w:cs="Times New Roman" w:eastAsia="Times New Roman" w:hAnsi="Times New Roman"/>
          <w:sz w:val="18"/>
          <w:szCs w:val="18"/>
          <w:b w:val="1"/>
          <w:bCs w:val="1"/>
          <w:color w:val="auto"/>
        </w:rPr>
        <w:t>Demand Notice</w:t>
      </w:r>
      <w:r>
        <w:rPr>
          <w:rFonts w:ascii="Times New Roman" w:cs="Times New Roman" w:eastAsia="Times New Roman" w:hAnsi="Times New Roman"/>
          <w:sz w:val="18"/>
          <w:szCs w:val="18"/>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after the date the Demand Notice is given, and in each case, subject to the limitations of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 w:right="40" w:firstLine="1428"/>
        <w:spacing w:after="0" w:line="253" w:lineRule="auto"/>
        <w:tabs>
          <w:tab w:leader="none" w:pos="1691"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S-3 Demand</w:t>
      </w:r>
      <w:r>
        <w:rPr>
          <w:rFonts w:ascii="Times New Roman" w:cs="Times New Roman" w:eastAsia="Times New Roman" w:hAnsi="Times New Roman"/>
          <w:sz w:val="18"/>
          <w:szCs w:val="18"/>
          <w:color w:val="auto"/>
        </w:rPr>
        <w:t>. If at any time when it is eligible to use a Form S-3 registration statement, the Company receives a request from Major Investors holding at least ten percent (10%) of the Registrable Securities then outstanding and held by Major Investors that the Company file a Form S-3 registration statement with respect to outstanding Registrable Securities of such Holders having an anticipated aggregate offering amount, net of Selling Expenses, of at least $30.0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w:t>
      </w:r>
    </w:p>
    <w:p>
      <w:pPr>
        <w:spacing w:after="0" w:line="2"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the date the Demand Notice is given, and in each case, subject to the limitations of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2"/>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obligations, if the Company furnishes to Holders requesting a registration pursuant to this</w:t>
      </w:r>
    </w:p>
    <w:p>
      <w:pPr>
        <w:spacing w:after="0" w:line="27" w:lineRule="exact"/>
        <w:rPr>
          <w:sz w:val="20"/>
          <w:szCs w:val="20"/>
          <w:color w:val="auto"/>
        </w:rPr>
      </w:pPr>
    </w:p>
    <w:p>
      <w:pPr>
        <w:ind w:left="4" w:right="34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 certificate signed by the Company’s chief executive officer or other most senior executive officer then in office stating that in the good faith judgment of the Board of Directors it would be materially detrimental to the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302" w:name="page303"/>
    <w:bookmarkEnd w:id="302"/>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may not invoke this right more than once in any twelve (12) month period, nor shall the Company invoke this right more than twice in all periods;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shall not register any securities for its own account or that of any other stockholder during either one hundred twenty (120) day period other than an Excluded Registration.</w:t>
      </w:r>
    </w:p>
    <w:p>
      <w:pPr>
        <w:spacing w:after="0" w:line="80" w:lineRule="exact"/>
        <w:rPr>
          <w:sz w:val="20"/>
          <w:szCs w:val="20"/>
          <w:color w:val="auto"/>
        </w:rPr>
      </w:pPr>
    </w:p>
    <w:p>
      <w:pPr>
        <w:ind w:firstLine="1428"/>
        <w:spacing w:after="0" w:line="253" w:lineRule="auto"/>
        <w:tabs>
          <w:tab w:leader="none" w:pos="1687"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effect, or to take any action to effect, any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(i) if it delivers notice to the Holders within thirty (30) days after any registration request of its intent to file a registration statement for a public offering within ninety (90) days; (ii) during the period that is one hundred eighty (180) days after commencing a Company-initiated registration; (iii) after the Company has effected two (2) registrations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(iv)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The Company shall not be obligated to effect, or to take any action to effect, any registration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if the Company has effected two (2) registrations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within the twelve (12) month period immediately preceding the date of such request. A registration shall not be counted as “effected” for purposes of this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until such time as the applicable registration statement has been declared effective by the SEC, unless the Initiating Holders withdraw their request for such registration (other than as a result of a material adverse change to the Company), elect not to pay the registration expenses therefor, and forfeit their right to one demand registration statement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which case such withdrawn registration statement shall be counted as “effected” for purposes of this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xml:space="preserve">. If the Company proposes to register (including, for this 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Underwriting Requirements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03" w:name="page304"/>
    <w:bookmarkEnd w:id="303"/>
    <w:p>
      <w:pPr>
        <w:ind w:left="4" w:right="40" w:firstLine="1428"/>
        <w:spacing w:after="0" w:line="251" w:lineRule="auto"/>
        <w:tabs>
          <w:tab w:leader="none" w:pos="1681"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8"/>
          <w:szCs w:val="18"/>
          <w:u w:val="single" w:color="auto"/>
          <w:color w:val="auto"/>
        </w:rPr>
        <w:t>Section 2.4(e)</w:t>
      </w:r>
      <w:r>
        <w:rPr>
          <w:rFonts w:ascii="Times New Roman" w:cs="Times New Roman" w:eastAsia="Times New Roman" w:hAnsi="Times New Roman"/>
          <w:sz w:val="18"/>
          <w:szCs w:val="18"/>
          <w:color w:val="auto"/>
        </w:rPr>
        <w:t xml:space="preserve">) enter into an underwriting agreement in customary form with the underwriter(s) selected for such underwriting. Notwithstanding any other provision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if the managing underwriter(s) advise the Initiating Holders in writing that marketing factors require a limitation on the number of shares to be underwritten, then the Initiating Holders shall so advise all Holders that otherwise would be underwritten pursuant hereto, and the number of Registrable Securities that may be included in the underwriting shall be allocated among such Holders, including the Initiating Holders, in proportion (as nearly as practicable) to the number of Registrable Securities owned by each Holder, or in such other proportion as shall mutually be agreed to by all such selling Holders;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w:t>
      </w:r>
    </w:p>
    <w:p>
      <w:pPr>
        <w:spacing w:after="0" w:line="1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shares.</w:t>
      </w:r>
    </w:p>
    <w:p>
      <w:pPr>
        <w:spacing w:after="0" w:line="98" w:lineRule="exact"/>
        <w:rPr>
          <w:rFonts w:ascii="Times New Roman" w:cs="Times New Roman" w:eastAsia="Times New Roman" w:hAnsi="Times New Roman"/>
          <w:sz w:val="18"/>
          <w:szCs w:val="18"/>
          <w:color w:val="auto"/>
        </w:rPr>
      </w:pPr>
    </w:p>
    <w:p>
      <w:pPr>
        <w:ind w:left="4" w:firstLine="1428"/>
        <w:spacing w:after="0" w:line="252" w:lineRule="auto"/>
        <w:tabs>
          <w:tab w:leader="none" w:pos="1691"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offering involving an underwriting of shares of the Company’s capital stock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Company shall not be required to include any of the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w:t>
      </w:r>
    </w:p>
    <w:p>
      <w:pPr>
        <w:spacing w:after="0" w:line="1"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269"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304" w:name="page305"/>
    <w:bookmarkEnd w:id="304"/>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the provision in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75" w:lineRule="exact"/>
        <w:rPr>
          <w:sz w:val="20"/>
          <w:szCs w:val="20"/>
          <w:color w:val="auto"/>
        </w:rPr>
      </w:pPr>
    </w:p>
    <w:p>
      <w:pPr>
        <w:jc w:val="both"/>
        <w:ind w:right="340" w:firstLine="1428"/>
        <w:spacing w:after="0" w:line="266" w:lineRule="auto"/>
        <w:tabs>
          <w:tab w:leader="none" w:pos="167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 registration shall not be counted as “effected” if, as a result of an exercise of the underwriter’s cutback provisions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less than the total number of Registrable Securities that Holders have requested to be included in such registration statement are actually included.</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Whenever required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to effect the registration of any Registrable Securities,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as expeditiously as reasonably possible:</w:t>
      </w:r>
    </w:p>
    <w:p>
      <w:pPr>
        <w:spacing w:after="0" w:line="99" w:lineRule="exact"/>
        <w:rPr>
          <w:sz w:val="20"/>
          <w:szCs w:val="20"/>
          <w:color w:val="auto"/>
        </w:rPr>
      </w:pPr>
    </w:p>
    <w:p>
      <w:pPr>
        <w:ind w:firstLine="1428"/>
        <w:spacing w:after="0" w:line="254" w:lineRule="auto"/>
        <w:tabs>
          <w:tab w:leader="none" w:pos="167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 such one hundred twenty (120) day period shall be extended for a period of time equal to the period the Holder refrains, at the request of an underwriter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eighty (180) days, if necessary, to keep the registration statement effective until all such Registrable Securities are sold;</w:t>
      </w:r>
    </w:p>
    <w:p>
      <w:pPr>
        <w:spacing w:after="0" w:line="83" w:lineRule="exact"/>
        <w:rPr>
          <w:rFonts w:ascii="Times New Roman" w:cs="Times New Roman" w:eastAsia="Times New Roman" w:hAnsi="Times New Roman"/>
          <w:sz w:val="18"/>
          <w:szCs w:val="18"/>
          <w:color w:val="auto"/>
        </w:rPr>
      </w:pPr>
    </w:p>
    <w:p>
      <w:pPr>
        <w:ind w:right="300" w:firstLine="1428"/>
        <w:spacing w:after="0" w:line="266" w:lineRule="auto"/>
        <w:tabs>
          <w:tab w:leader="none" w:pos="168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67" w:lineRule="exact"/>
        <w:rPr>
          <w:rFonts w:ascii="Times New Roman" w:cs="Times New Roman" w:eastAsia="Times New Roman" w:hAnsi="Times New Roman"/>
          <w:sz w:val="18"/>
          <w:szCs w:val="18"/>
          <w:color w:val="auto"/>
        </w:rPr>
      </w:pPr>
    </w:p>
    <w:p>
      <w:pPr>
        <w:ind w:right="280" w:firstLine="1428"/>
        <w:spacing w:after="0" w:line="312" w:lineRule="auto"/>
        <w:tabs>
          <w:tab w:leader="none" w:pos="1677"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31" w:lineRule="exact"/>
        <w:rPr>
          <w:rFonts w:ascii="Times New Roman" w:cs="Times New Roman" w:eastAsia="Times New Roman" w:hAnsi="Times New Roman"/>
          <w:sz w:val="17"/>
          <w:szCs w:val="17"/>
          <w:color w:val="auto"/>
        </w:rPr>
      </w:pPr>
    </w:p>
    <w:p>
      <w:pPr>
        <w:jc w:val="both"/>
        <w:ind w:right="220" w:firstLine="1428"/>
        <w:spacing w:after="0" w:line="261" w:lineRule="auto"/>
        <w:tabs>
          <w:tab w:leader="none" w:pos="168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05" w:name="page306"/>
    <w:bookmarkEnd w:id="305"/>
    <w:p>
      <w:pPr>
        <w:ind w:right="20" w:firstLine="1428"/>
        <w:spacing w:after="0" w:line="282" w:lineRule="auto"/>
        <w:tabs>
          <w:tab w:leader="none" w:pos="167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any underwritten public offering, enter into and perform its obligations under an underwriting agreement, in usual and customary form, with the underwriter(s) of such offering;</w:t>
      </w:r>
    </w:p>
    <w:p>
      <w:pPr>
        <w:spacing w:after="0" w:line="53" w:lineRule="exact"/>
        <w:rPr>
          <w:rFonts w:ascii="Times New Roman" w:cs="Times New Roman" w:eastAsia="Times New Roman" w:hAnsi="Times New Roman"/>
          <w:sz w:val="18"/>
          <w:szCs w:val="18"/>
          <w:color w:val="auto"/>
        </w:rPr>
      </w:pPr>
    </w:p>
    <w:p>
      <w:pPr>
        <w:ind w:firstLine="1428"/>
        <w:spacing w:after="0" w:line="266" w:lineRule="auto"/>
        <w:tabs>
          <w:tab w:leader="none" w:pos="165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67" w:lineRule="exact"/>
        <w:rPr>
          <w:rFonts w:ascii="Times New Roman" w:cs="Times New Roman" w:eastAsia="Times New Roman" w:hAnsi="Times New Roman"/>
          <w:sz w:val="18"/>
          <w:szCs w:val="18"/>
          <w:color w:val="auto"/>
        </w:rPr>
      </w:pPr>
    </w:p>
    <w:p>
      <w:pPr>
        <w:ind w:right="200" w:firstLine="1428"/>
        <w:spacing w:after="0" w:line="282" w:lineRule="auto"/>
        <w:tabs>
          <w:tab w:leader="none" w:pos="168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53" w:lineRule="exact"/>
        <w:rPr>
          <w:rFonts w:ascii="Times New Roman" w:cs="Times New Roman" w:eastAsia="Times New Roman" w:hAnsi="Times New Roman"/>
          <w:sz w:val="18"/>
          <w:szCs w:val="18"/>
          <w:color w:val="auto"/>
        </w:rPr>
      </w:pPr>
    </w:p>
    <w:p>
      <w:pPr>
        <w:ind w:right="20" w:firstLine="1428"/>
        <w:spacing w:after="0" w:line="256" w:lineRule="auto"/>
        <w:tabs>
          <w:tab w:leader="none" w:pos="168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79" w:lineRule="exact"/>
        <w:rPr>
          <w:rFonts w:ascii="Times New Roman" w:cs="Times New Roman" w:eastAsia="Times New Roman" w:hAnsi="Times New Roman"/>
          <w:sz w:val="18"/>
          <w:szCs w:val="18"/>
          <w:color w:val="auto"/>
        </w:rPr>
      </w:pPr>
    </w:p>
    <w:p>
      <w:pPr>
        <w:ind w:right="80" w:firstLine="1428"/>
        <w:spacing w:after="0" w:line="282" w:lineRule="auto"/>
        <w:tabs>
          <w:tab w:leader="none" w:pos="164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53" w:lineRule="exact"/>
        <w:rPr>
          <w:rFonts w:ascii="Times New Roman" w:cs="Times New Roman" w:eastAsia="Times New Roman" w:hAnsi="Times New Roman"/>
          <w:sz w:val="18"/>
          <w:szCs w:val="18"/>
          <w:color w:val="auto"/>
        </w:rPr>
      </w:pPr>
    </w:p>
    <w:p>
      <w:pPr>
        <w:ind w:right="460" w:firstLine="1428"/>
        <w:spacing w:after="0" w:line="282" w:lineRule="auto"/>
        <w:tabs>
          <w:tab w:leader="none" w:pos="164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such registration statement becomes effective, notify each selling Holder of any request by the SEC that the Company amend or supplement such registration statement or prospectus.</w:t>
      </w:r>
    </w:p>
    <w:p>
      <w:pPr>
        <w:spacing w:after="0" w:line="54"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68"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306" w:name="page307"/>
    <w:bookmarkEnd w:id="306"/>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2.6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all registration, filing, and qualification fees; printers’ and accounting fees; fees and disbursements of counsel for the Company; and the reasonable fees and disbursements of one counsel for the selling Holders (“</w:t>
      </w:r>
      <w:r>
        <w:rPr>
          <w:rFonts w:ascii="Times New Roman" w:cs="Times New Roman" w:eastAsia="Times New Roman" w:hAnsi="Times New Roman"/>
          <w:sz w:val="18"/>
          <w:szCs w:val="18"/>
          <w:b w:val="1"/>
          <w:bCs w:val="1"/>
          <w:color w:val="auto"/>
        </w:rPr>
        <w:t>Selling Holder Counsel</w:t>
      </w:r>
      <w:r>
        <w:rPr>
          <w:rFonts w:ascii="Times New Roman" w:cs="Times New Roman" w:eastAsia="Times New Roman" w:hAnsi="Times New Roman"/>
          <w:sz w:val="18"/>
          <w:szCs w:val="18"/>
          <w:color w:val="auto"/>
        </w:rPr>
        <w:t xml:space="preserve">”) selected by the Holders of a majority in interest of the Registrable Securities, shall be borne and paid by the Company;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shall not be required to pay for any expenses of any registration proceeding begun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the registration request is subsequently withdrawn at the request of the Holders of a majority in interest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as the case may be;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at the time of such withdrawal, the Holders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as the case may be. All Selling Expenses relating to Registrable Securities registered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borne and paid by the Holders pro rata on the basis of the number of Registrable Securities registered on their behalf.</w:t>
      </w:r>
    </w:p>
    <w:p>
      <w:pPr>
        <w:spacing w:after="0" w:line="79" w:lineRule="exact"/>
        <w:rPr>
          <w:sz w:val="20"/>
          <w:szCs w:val="20"/>
          <w:color w:val="auto"/>
        </w:rPr>
      </w:pPr>
    </w:p>
    <w:p>
      <w:pPr>
        <w:ind w:right="60" w:firstLine="991"/>
        <w:spacing w:after="0" w:line="312"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Delay of Registration</w:t>
      </w:r>
      <w:r>
        <w:rPr>
          <w:rFonts w:ascii="Times New Roman" w:cs="Times New Roman" w:eastAsia="Times New Roman" w:hAnsi="Times New Roman"/>
          <w:sz w:val="17"/>
          <w:szCs w:val="17"/>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w:t>
      </w:r>
    </w:p>
    <w:p>
      <w:pPr>
        <w:spacing w:after="0" w:line="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If any Registrable Securities are included in a registration statement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3" w:lineRule="auto"/>
        <w:tabs>
          <w:tab w:leader="none" w:pos="167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07" w:name="page308"/>
    <w:bookmarkEnd w:id="307"/>
    <w:p>
      <w:pPr>
        <w:ind w:left="4" w:firstLine="1428"/>
        <w:spacing w:after="0" w:line="253" w:lineRule="auto"/>
        <w:tabs>
          <w:tab w:leader="none" w:pos="1691"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Holder, which consent shall not be unreasonably withheld;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any indemnity or contribution under this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Section 2.8(d)</w:t>
      </w:r>
      <w:r>
        <w:rPr>
          <w:rFonts w:ascii="Times New Roman" w:cs="Times New Roman" w:eastAsia="Times New Roman" w:hAnsi="Times New Roman"/>
          <w:sz w:val="18"/>
          <w:szCs w:val="18"/>
          <w:color w:val="auto"/>
        </w:rPr>
        <w:t xml:space="preserve"> exceed, in the aggregate, the proceeds from the offering received by such Holder (net of any Selling Expenses paid by such Holder), except in the case of fraud or willful misconduct by such Holder.</w:t>
      </w:r>
    </w:p>
    <w:p>
      <w:pPr>
        <w:spacing w:after="0" w:line="81" w:lineRule="exact"/>
        <w:rPr>
          <w:rFonts w:ascii="Times New Roman" w:cs="Times New Roman" w:eastAsia="Times New Roman" w:hAnsi="Times New Roman"/>
          <w:sz w:val="18"/>
          <w:szCs w:val="18"/>
          <w:color w:val="auto"/>
        </w:rPr>
      </w:pPr>
    </w:p>
    <w:p>
      <w:pPr>
        <w:ind w:left="4" w:firstLine="1428"/>
        <w:spacing w:after="0" w:line="253" w:lineRule="auto"/>
        <w:tabs>
          <w:tab w:leader="none" w:pos="1681"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 w:right="120" w:firstLine="1428"/>
        <w:spacing w:after="0" w:line="255" w:lineRule="auto"/>
        <w:tabs>
          <w:tab w:leader="none" w:pos="1691"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provides for indemnification in such case, or</w:t>
      </w:r>
    </w:p>
    <w:p>
      <w:pPr>
        <w:spacing w:after="0" w:line="2" w:lineRule="exact"/>
        <w:rPr>
          <w:rFonts w:ascii="Times New Roman" w:cs="Times New Roman" w:eastAsia="Times New Roman" w:hAnsi="Times New Roman"/>
          <w:sz w:val="18"/>
          <w:szCs w:val="18"/>
          <w:color w:val="auto"/>
        </w:rPr>
      </w:pPr>
    </w:p>
    <w:p>
      <w:pPr>
        <w:jc w:val="both"/>
        <w:ind w:left="4" w:right="220" w:hanging="4"/>
        <w:spacing w:after="0" w:line="255" w:lineRule="auto"/>
        <w:tabs>
          <w:tab w:leader="none" w:pos="26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contribution under the Securities Act may be required on the part of any party hereto for which indemnification is provided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308" w:name="page309"/>
    <w:bookmarkEnd w:id="30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a Holder’s liability pursuant to this </w:t>
      </w:r>
      <w:r>
        <w:rPr>
          <w:rFonts w:ascii="Times New Roman" w:cs="Times New Roman" w:eastAsia="Times New Roman" w:hAnsi="Times New Roman"/>
          <w:sz w:val="18"/>
          <w:szCs w:val="18"/>
          <w:u w:val="single" w:color="auto"/>
          <w:color w:val="auto"/>
        </w:rPr>
        <w:t>Section 2.8(d)</w:t>
      </w:r>
      <w:r>
        <w:rPr>
          <w:rFonts w:ascii="Times New Roman" w:cs="Times New Roman" w:eastAsia="Times New Roman" w:hAnsi="Times New Roman"/>
          <w:sz w:val="18"/>
          <w:szCs w:val="18"/>
          <w:color w:val="auto"/>
        </w:rPr>
        <w:t xml:space="preserve">, when combined with the amounts paid or payable by such Holder pursuant to </w:t>
      </w:r>
      <w:r>
        <w:rPr>
          <w:rFonts w:ascii="Times New Roman" w:cs="Times New Roman" w:eastAsia="Times New Roman" w:hAnsi="Times New Roman"/>
          <w:sz w:val="18"/>
          <w:szCs w:val="18"/>
          <w:u w:val="single" w:color="auto"/>
          <w:color w:val="auto"/>
        </w:rPr>
        <w:t>Section 2.8(b)</w:t>
      </w:r>
      <w:r>
        <w:rPr>
          <w:rFonts w:ascii="Times New Roman" w:cs="Times New Roman" w:eastAsia="Times New Roman" w:hAnsi="Times New Roman"/>
          <w:sz w:val="18"/>
          <w:szCs w:val="18"/>
          <w:color w:val="auto"/>
        </w:rPr>
        <w:t>, exceed the proceeds from the offering received by such Holder (net of any Selling Expenses paid by such Holder), except in the case of willful misconduct or fraud by such Holder.</w:t>
      </w:r>
    </w:p>
    <w:p>
      <w:pPr>
        <w:spacing w:after="0" w:line="84" w:lineRule="exact"/>
        <w:rPr>
          <w:sz w:val="20"/>
          <w:szCs w:val="20"/>
          <w:color w:val="auto"/>
        </w:rPr>
      </w:pPr>
    </w:p>
    <w:p>
      <w:pPr>
        <w:ind w:right="140" w:firstLine="1428"/>
        <w:spacing w:after="0" w:line="266" w:lineRule="auto"/>
        <w:tabs>
          <w:tab w:leader="none" w:pos="167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67" w:lineRule="exact"/>
        <w:rPr>
          <w:rFonts w:ascii="Times New Roman" w:cs="Times New Roman" w:eastAsia="Times New Roman" w:hAnsi="Times New Roman"/>
          <w:sz w:val="18"/>
          <w:szCs w:val="18"/>
          <w:color w:val="auto"/>
        </w:rPr>
      </w:pPr>
    </w:p>
    <w:p>
      <w:pPr>
        <w:ind w:right="120" w:firstLine="1428"/>
        <w:spacing w:after="0" w:line="266" w:lineRule="auto"/>
        <w:tabs>
          <w:tab w:leader="none" w:pos="165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survive the completion of any offering of Registrable Securities in a registration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and otherwise shall survive the termination of this Agreement.</w:t>
      </w:r>
    </w:p>
    <w:p>
      <w:pPr>
        <w:spacing w:after="0" w:line="68" w:lineRule="exact"/>
        <w:rPr>
          <w:sz w:val="20"/>
          <w:szCs w:val="20"/>
          <w:color w:val="auto"/>
        </w:rPr>
      </w:pPr>
    </w:p>
    <w:p>
      <w:pPr>
        <w:ind w:right="4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Reports under Exchange Act</w:t>
      </w:r>
      <w:r>
        <w:rPr>
          <w:rFonts w:ascii="Times New Roman" w:cs="Times New Roman" w:eastAsia="Times New Roman" w:hAnsi="Times New Roman"/>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68" w:lineRule="exact"/>
        <w:rPr>
          <w:sz w:val="20"/>
          <w:szCs w:val="20"/>
          <w:color w:val="auto"/>
        </w:rPr>
      </w:pPr>
    </w:p>
    <w:p>
      <w:pPr>
        <w:ind w:right="120" w:firstLine="1428"/>
        <w:spacing w:after="0" w:line="282" w:lineRule="auto"/>
        <w:tabs>
          <w:tab w:leader="none" w:pos="167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53" w:lineRule="exact"/>
        <w:rPr>
          <w:rFonts w:ascii="Times New Roman" w:cs="Times New Roman" w:eastAsia="Times New Roman" w:hAnsi="Times New Roman"/>
          <w:sz w:val="18"/>
          <w:szCs w:val="18"/>
          <w:color w:val="auto"/>
        </w:rPr>
      </w:pPr>
    </w:p>
    <w:p>
      <w:pPr>
        <w:ind w:right="420" w:firstLine="1428"/>
        <w:spacing w:after="0" w:line="312" w:lineRule="auto"/>
        <w:tabs>
          <w:tab w:leader="none" w:pos="1687"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31" w:lineRule="exact"/>
        <w:rPr>
          <w:rFonts w:ascii="Times New Roman" w:cs="Times New Roman" w:eastAsia="Times New Roman" w:hAnsi="Times New Roman"/>
          <w:sz w:val="17"/>
          <w:szCs w:val="17"/>
          <w:color w:val="auto"/>
        </w:rPr>
      </w:pPr>
    </w:p>
    <w:p>
      <w:pPr>
        <w:ind w:right="140" w:firstLine="1428"/>
        <w:spacing w:after="0" w:line="261" w:lineRule="auto"/>
        <w:tabs>
          <w:tab w:leader="none" w:pos="167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09" w:name="page310"/>
    <w:bookmarkEnd w:id="309"/>
    <w:p>
      <w:pPr>
        <w:ind w:left="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w:t>
      </w:r>
    </w:p>
    <w:p>
      <w:pPr>
        <w:spacing w:after="0" w:line="1" w:lineRule="exact"/>
        <w:rPr>
          <w:sz w:val="20"/>
          <w:szCs w:val="20"/>
          <w:color w:val="auto"/>
        </w:rPr>
      </w:pPr>
    </w:p>
    <w:p>
      <w:pPr>
        <w:ind w:left="4" w:right="220" w:hanging="4"/>
        <w:spacing w:after="0" w:line="255" w:lineRule="auto"/>
        <w:tabs>
          <w:tab w:leader="none" w:pos="31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78" w:lineRule="exact"/>
        <w:rPr>
          <w:sz w:val="20"/>
          <w:szCs w:val="20"/>
          <w:color w:val="auto"/>
        </w:rPr>
      </w:pPr>
    </w:p>
    <w:p>
      <w:pPr>
        <w:ind w:left="4"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Limitations on Subsequent Registration Rights</w:t>
      </w:r>
      <w:r>
        <w:rPr>
          <w:rFonts w:ascii="Times New Roman" w:cs="Times New Roman" w:eastAsia="Times New Roman" w:hAnsi="Times New Roman"/>
          <w:sz w:val="18"/>
          <w:szCs w:val="18"/>
          <w:color w:val="auto"/>
        </w:rPr>
        <w:t xml:space="preserve">. From and after the date of this Agreement, the Company shall not, without the prior written consent of the Holders of a majority in interest of the Registrable Securities then outstanding, enter into any agreement with any holder or prospective holder of any securities of the Company that would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to demand registration of any securities held by such holder or prospective holder;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this limitation shall not apply to any additional Investor who becomes a party to this Agreement in accordance with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“Market Stand-off” Agreement</w:t>
      </w:r>
      <w:r>
        <w:rPr>
          <w:rFonts w:ascii="Times New Roman" w:cs="Times New Roman" w:eastAsia="Times New Roman" w:hAnsi="Times New Roman"/>
          <w:sz w:val="17"/>
          <w:szCs w:val="17"/>
          <w:color w:val="auto"/>
        </w:rPr>
        <w:t xml:space="preserve">. Each Holder hereby agrees that, if required by the managing underwriter, it will not, during the period commencing on the date of the final prospectus relating to the IPO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shall apply only to the IPO, shall not apply to the sale of any shares to an underwriter pursuant to an underwriting agreement, and shall be applicable to the Holders only if all officers, directors, and stockholders individually owning more than one percent (1%) of the Company’s outstanding Common Stock (after giving effect to conversion into Common Stock of all outstanding Preferred Stock) are subject to the same restrictions. The underwriters in connection with such registration are intended third-party beneficiaries of this</w:t>
      </w:r>
    </w:p>
    <w:p>
      <w:pPr>
        <w:spacing w:after="0" w:line="9"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or that are necessary to give further effect thereto. The Company agrees to use its reasonable efforts to obtain the agreement of the managing underwriter to periodic early releases</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70" w:right="499" w:bottom="1440" w:gutter="0" w:footer="0" w:header="0"/>
        </w:sectPr>
      </w:pPr>
    </w:p>
    <w:bookmarkStart w:id="310" w:name="page311"/>
    <w:bookmarkEnd w:id="310"/>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portions of the securities subject to such lock-up agreements upon the request of a Holder to such early release, provided that in the event of any early release, all Holders will be released on a pro rata basis from such agreements.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1428"/>
        <w:spacing w:after="0" w:line="258" w:lineRule="auto"/>
        <w:tabs>
          <w:tab w:leader="none" w:pos="167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and the Registrable Securities shall not be sold, pledged, or otherwise transferred, and the Company shall not recognize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or the Registrable Securities held by such Holder to agree to take and hold such securities subject to the provisions and upon the conditions specified in this Agreement.</w:t>
      </w:r>
    </w:p>
    <w:p>
      <w:pPr>
        <w:spacing w:after="0" w:line="75" w:lineRule="exact"/>
        <w:rPr>
          <w:rFonts w:ascii="Times New Roman" w:cs="Times New Roman" w:eastAsia="Times New Roman" w:hAnsi="Times New Roman"/>
          <w:sz w:val="18"/>
          <w:szCs w:val="18"/>
          <w:color w:val="auto"/>
        </w:rPr>
      </w:pPr>
    </w:p>
    <w:p>
      <w:pPr>
        <w:ind w:right="220" w:firstLine="1428"/>
        <w:spacing w:after="0" w:line="261" w:lineRule="auto"/>
        <w:tabs>
          <w:tab w:leader="none" w:pos="168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certificate or instrument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be stamped or otherwise imprinted with a legend substantially in the following form:</w:t>
      </w:r>
    </w:p>
    <w:p>
      <w:pPr>
        <w:spacing w:after="0" w:line="72" w:lineRule="exact"/>
        <w:rPr>
          <w:sz w:val="20"/>
          <w:szCs w:val="20"/>
          <w:color w:val="auto"/>
        </w:rPr>
      </w:pPr>
    </w:p>
    <w:p>
      <w:pPr>
        <w:ind w:left="440" w:right="260"/>
        <w:spacing w:after="0" w:line="261" w:lineRule="auto"/>
        <w:rPr>
          <w:sz w:val="20"/>
          <w:szCs w:val="20"/>
          <w:color w:val="auto"/>
        </w:rPr>
      </w:pPr>
      <w:r>
        <w:rPr>
          <w:rFonts w:ascii="Times New Roman" w:cs="Times New Roman" w:eastAsia="Times New Roman" w:hAnsi="Times New Roman"/>
          <w:sz w:val="18"/>
          <w:szCs w:val="18"/>
          <w:color w:val="auto"/>
        </w:rPr>
        <w:t>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w:t>
      </w:r>
    </w:p>
    <w:p>
      <w:pPr>
        <w:spacing w:after="0" w:line="72" w:lineRule="exact"/>
        <w:rPr>
          <w:sz w:val="20"/>
          <w:szCs w:val="20"/>
          <w:color w:val="auto"/>
        </w:rPr>
      </w:pPr>
    </w:p>
    <w:p>
      <w:pPr>
        <w:ind w:left="440" w:right="18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100" w:firstLine="1428"/>
        <w:spacing w:after="0" w:line="256" w:lineRule="auto"/>
        <w:tabs>
          <w:tab w:leader="none" w:pos="167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of each certificate or instrument representing Restricted Securities, by acceptance thereof, agrees to comply in all respects with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notice shall be required in connection if the intended sale, pledge or transfer complies with SEC Rule 144. Each such notice shall describe the manner and circumstances of the proposed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11" w:name="page312"/>
    <w:bookmarkEnd w:id="311"/>
    <w:p>
      <w:pPr>
        <w:ind w:left="4"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which such Holder distributes Restricted Securities to an Affiliate of such Holder for no consideration provided that each transferee agrees in writing to be subject to the terms of this</w:t>
      </w:r>
    </w:p>
    <w:p>
      <w:pPr>
        <w:spacing w:after="0" w:line="6" w:lineRule="exact"/>
        <w:rPr>
          <w:sz w:val="20"/>
          <w:szCs w:val="20"/>
          <w:color w:val="auto"/>
        </w:rPr>
      </w:pPr>
    </w:p>
    <w:p>
      <w:pPr>
        <w:ind w:left="4" w:right="1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(y) in any transaction in compliance with SEC Rule 144. Each certificate or instrument evidencing the Restricted Securities transferred as above provided shall bear, except if such transfer is made pursuant to SEC Rule 144, the appropriate restrictive legend set forth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except that such certificate shall not bear such restrictive legend if, in the opinion of counsel for such Holder and the Company, such legend is not required in order to establish compliance with any provisions of the Securities Act.</w:t>
      </w:r>
    </w:p>
    <w:p>
      <w:pPr>
        <w:spacing w:after="0" w:line="81" w:lineRule="exact"/>
        <w:rPr>
          <w:sz w:val="20"/>
          <w:szCs w:val="20"/>
          <w:color w:val="auto"/>
        </w:rPr>
      </w:pPr>
    </w:p>
    <w:p>
      <w:pPr>
        <w:ind w:left="4"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xml:space="preserve"> The right of any Holder to request registration or inclusion of Registrable Securities in any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terminate upon the earliest to occur of:</w:t>
      </w:r>
    </w:p>
    <w:p>
      <w:pPr>
        <w:spacing w:after="0" w:line="54" w:lineRule="exact"/>
        <w:rPr>
          <w:sz w:val="20"/>
          <w:szCs w:val="20"/>
          <w:color w:val="auto"/>
        </w:rPr>
      </w:pPr>
    </w:p>
    <w:p>
      <w:pPr>
        <w:ind w:left="1684" w:hanging="252"/>
        <w:spacing w:after="0"/>
        <w:tabs>
          <w:tab w:leader="none" w:pos="168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Deemed Liquidation Event, as such term is defined in the Certificate of Incorporation;</w:t>
      </w:r>
    </w:p>
    <w:p>
      <w:pPr>
        <w:spacing w:after="0" w:line="117" w:lineRule="exact"/>
        <w:rPr>
          <w:rFonts w:ascii="Times New Roman" w:cs="Times New Roman" w:eastAsia="Times New Roman" w:hAnsi="Times New Roman"/>
          <w:sz w:val="18"/>
          <w:szCs w:val="18"/>
          <w:color w:val="auto"/>
        </w:rPr>
      </w:pPr>
    </w:p>
    <w:p>
      <w:pPr>
        <w:ind w:left="4" w:right="440" w:firstLine="1428"/>
        <w:spacing w:after="0" w:line="282" w:lineRule="auto"/>
        <w:tabs>
          <w:tab w:leader="none" w:pos="1691"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as Rule 144 or another similar exemption under the Securities Act is available for the sale of all of such Holder’s shares without limitation during a three-month period without registration; and</w:t>
      </w:r>
    </w:p>
    <w:p>
      <w:pPr>
        <w:spacing w:after="0" w:line="53"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IPO.</w:t>
      </w:r>
    </w:p>
    <w:p>
      <w:pPr>
        <w:spacing w:after="0" w:line="45"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Delivery of Financial Statements</w:t>
      </w:r>
      <w:r>
        <w:rPr>
          <w:rFonts w:ascii="Times New Roman" w:cs="Times New Roman" w:eastAsia="Times New Roman" w:hAnsi="Times New Roman"/>
          <w:sz w:val="18"/>
          <w:szCs w:val="18"/>
          <w:color w:val="auto"/>
        </w:rPr>
        <w:t>. The Company shall deliver to each Major Investor the required items listed below, provided that the Board of Directors has not reasonably determined that such Major Investor is a Competitor of the Company.</w:t>
      </w:r>
    </w:p>
    <w:p>
      <w:pPr>
        <w:spacing w:after="0" w:line="54" w:lineRule="exact"/>
        <w:rPr>
          <w:sz w:val="20"/>
          <w:szCs w:val="20"/>
          <w:color w:val="auto"/>
        </w:rPr>
      </w:pPr>
    </w:p>
    <w:p>
      <w:pPr>
        <w:ind w:left="4" w:firstLine="1428"/>
        <w:spacing w:after="0" w:line="272" w:lineRule="auto"/>
        <w:tabs>
          <w:tab w:leader="none" w:pos="1681"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but in any event within ninety (90) days after the end of each fiscal year of the Company, unaudited statements of income and of cash flows for such fiscal year, and an unaudited balance sheet and a statement of stockholders’ equity as of the end of such fiscal year, all prepared in accordance with GAAP (except that such financial statements may (i) be subject to normal year-end audit adjustments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contain all notes thereto that may be required in accordance with GAAP);</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312" w:name="page313"/>
    <w:bookmarkEnd w:id="312"/>
    <w:p>
      <w:pPr>
        <w:ind w:left="-120" w:firstLine="1428"/>
        <w:spacing w:after="0" w:line="255" w:lineRule="auto"/>
        <w:tabs>
          <w:tab w:leader="none" w:pos="156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practicable, but in any event within one hundred twenty (120) days after the end of each fiscal year of the Company beginning with the fiscal year ended December 31, 2019, (i) a balance sheet as of the end of such year, (ii) statements of income and of cash flows for such year, and a comparison between (x) the actual amounts as of and for such fiscal year and (y) the comparable amounts for the prior year and as included in the Budget (as defined below) for such year, with an explanation of any material differences between such amounts and a schedule as to the sources and applications of funds for such year, and (iii) a statement of stockholders’ equity as of the end of such year, all such financial statements audited and certified by independent public accountants of nationally or regionally recognized standing selected by the Company and approved by the Board of Directors;</w:t>
      </w:r>
    </w:p>
    <w:p>
      <w:pPr>
        <w:spacing w:after="0" w:line="80" w:lineRule="exact"/>
        <w:rPr>
          <w:rFonts w:ascii="Times New Roman" w:cs="Times New Roman" w:eastAsia="Times New Roman" w:hAnsi="Times New Roman"/>
          <w:sz w:val="18"/>
          <w:szCs w:val="18"/>
          <w:color w:val="auto"/>
        </w:rPr>
      </w:pPr>
    </w:p>
    <w:p>
      <w:pPr>
        <w:ind w:left="-120" w:right="220" w:firstLine="1428"/>
        <w:spacing w:after="0" w:line="261" w:lineRule="auto"/>
        <w:tabs>
          <w:tab w:leader="none" w:pos="155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forty-five (45) days after the end of each quarter of each fiscal year of the Company, unaudited statements of income and of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71" w:lineRule="exact"/>
        <w:rPr>
          <w:rFonts w:ascii="Times New Roman" w:cs="Times New Roman" w:eastAsia="Times New Roman" w:hAnsi="Times New Roman"/>
          <w:sz w:val="18"/>
          <w:szCs w:val="18"/>
          <w:color w:val="auto"/>
        </w:rPr>
      </w:pPr>
    </w:p>
    <w:p>
      <w:pPr>
        <w:ind w:left="-120" w:right="40" w:firstLine="1428"/>
        <w:spacing w:after="0" w:line="255" w:lineRule="auto"/>
        <w:tabs>
          <w:tab w:leader="none" w:pos="156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forty-five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each Major Investor to calculate their respective percentage equity ownership in the Company, and certified by the chief financial officer or chief executive officer of the Company as being true, complete, and correct;</w:t>
      </w:r>
    </w:p>
    <w:p>
      <w:pPr>
        <w:spacing w:after="0" w:line="80" w:lineRule="exact"/>
        <w:rPr>
          <w:rFonts w:ascii="Times New Roman" w:cs="Times New Roman" w:eastAsia="Times New Roman" w:hAnsi="Times New Roman"/>
          <w:sz w:val="18"/>
          <w:szCs w:val="18"/>
          <w:color w:val="auto"/>
        </w:rPr>
      </w:pPr>
    </w:p>
    <w:p>
      <w:pPr>
        <w:ind w:left="-120" w:right="80" w:firstLine="1428"/>
        <w:spacing w:after="0" w:line="266" w:lineRule="auto"/>
        <w:tabs>
          <w:tab w:leader="none" w:pos="155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thirty (30) days following the end of each fiscal year, a budget and business plan for the next fiscal year (collectively, the “</w:t>
      </w:r>
      <w:r>
        <w:rPr>
          <w:rFonts w:ascii="Times New Roman" w:cs="Times New Roman" w:eastAsia="Times New Roman" w:hAnsi="Times New Roman"/>
          <w:sz w:val="18"/>
          <w:szCs w:val="18"/>
          <w:b w:val="1"/>
          <w:bCs w:val="1"/>
          <w:color w:val="auto"/>
        </w:rPr>
        <w:t>Budget</w:t>
      </w:r>
      <w:r>
        <w:rPr>
          <w:rFonts w:ascii="Times New Roman" w:cs="Times New Roman" w:eastAsia="Times New Roman" w:hAnsi="Times New Roman"/>
          <w:sz w:val="18"/>
          <w:szCs w:val="18"/>
          <w:color w:val="auto"/>
        </w:rPr>
        <w:t>”), approved by the Board of Directors and, promptly after prepared, any other budgets or revised budgets prepared by the Company; and</w:t>
      </w:r>
    </w:p>
    <w:p>
      <w:pPr>
        <w:spacing w:after="0" w:line="67" w:lineRule="exact"/>
        <w:rPr>
          <w:rFonts w:ascii="Times New Roman" w:cs="Times New Roman" w:eastAsia="Times New Roman" w:hAnsi="Times New Roman"/>
          <w:sz w:val="18"/>
          <w:szCs w:val="18"/>
          <w:color w:val="auto"/>
        </w:rPr>
      </w:pPr>
    </w:p>
    <w:p>
      <w:pPr>
        <w:ind w:left="-120" w:right="40" w:firstLine="1428"/>
        <w:spacing w:after="0" w:line="258" w:lineRule="auto"/>
        <w:tabs>
          <w:tab w:leader="none" w:pos="153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other information relating to the financial condition, business, prospects, or corporate affairs of the Company as any Major Investor may from time to time reasonably request;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shall not be obligated under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to provide information (i) that the Company reasonably determines in good faith to be a trade secret or similarly confidential information (unless covered by an enforceable confidentiality agreement, in a form acceptable to the Company); or (ii) the disclosure of which would adversely affect the attorney-client privilege between the Company and its counsel.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80"/>
          </w:cols>
          <w:pgMar w:left="560" w:top="270" w:right="559" w:bottom="1440" w:gutter="0" w:footer="0" w:header="0"/>
        </w:sectPr>
      </w:pPr>
    </w:p>
    <w:bookmarkStart w:id="313" w:name="page314"/>
    <w:bookmarkEnd w:id="313"/>
    <w:p>
      <w:pPr>
        <w:ind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else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to the contrary, the Company may cease providing the information set forth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provided that the Company’s covenants under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be reinstated at such time as the Company is no longer actively employing its commercially reasonable efforts to cause such registration statement to become effective.</w:t>
      </w:r>
    </w:p>
    <w:p>
      <w:pPr>
        <w:spacing w:after="0" w:line="7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xml:space="preserve">. The Company shall permit each Major Investor (provided that such Major Investor is not a Competitor of the Company as reasonably determined by the Board of Directors),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shall not be obligated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provide access to any information that it reasonably and in good faith considers to be a trade secret or confidential information (unless covered by an enforceable confidentiality agreement, in a form acceptable to the Company); or the disclosure of which would adversely affect the attorney-client privilege between the Company and its counsel.</w:t>
      </w:r>
    </w:p>
    <w:p>
      <w:pPr>
        <w:spacing w:after="0" w:line="81"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Termination of Information Rights</w:t>
      </w:r>
      <w:r>
        <w:rPr>
          <w:rFonts w:ascii="Times New Roman" w:cs="Times New Roman" w:eastAsia="Times New Roman" w:hAnsi="Times New Roman"/>
          <w:sz w:val="18"/>
          <w:szCs w:val="18"/>
          <w:color w:val="auto"/>
        </w:rPr>
        <w:t xml:space="preserve">. The covenants set forth in Sections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shall terminate and be of no further force or effect upon the earliest to occur of (i) immediately before, but subject to, the consummation of the IPO, (ii) when the Company first becomes subject to the periodic reporting requirements of Section 12(g) or 15(d) of the Exchange Act, and (iii) upon a Deemed Liquidation Event in which the holders of the Company’s capital stock receive cash or publicly traded securities in exchange for their equity interests in the Company.</w:t>
      </w:r>
    </w:p>
    <w:p>
      <w:pPr>
        <w:spacing w:after="0" w:line="72"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 Investor may disclose confidential information (i) to its attorneys, accountants, consultants, advisors and other professionals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(iii) in the ordinary course of business to any existing or prospective, direct or indirect, Affiliate, partner, member, stockholder, or wholly owned subsidiary of such Investor and any Representatives, employees or Affiliates of any of the foregoing, provided that such Investor informs any such recipient that such information is confidential and directs such recipient to maintain the confidentiality of such information; or (iv) as may otherwise be required by law or securities exchange regulations or at the request of a regulatory authority, provided that the Investor promptly notifies the Company of such disclosure and takes reasonable steps to minimize the extent of any such required disclosure.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14" w:name="page315"/>
    <w:bookmarkEnd w:id="314"/>
    <w:p>
      <w:pPr>
        <w:ind w:left="984" w:right="7960" w:hanging="544"/>
        <w:spacing w:after="0" w:line="375" w:lineRule="auto"/>
        <w:tabs>
          <w:tab w:leader="none" w:pos="613"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to Future Stock Issuances</w:t>
      </w:r>
      <w:r>
        <w:rPr>
          <w:rFonts w:ascii="Times New Roman" w:cs="Times New Roman" w:eastAsia="Times New Roman" w:hAnsi="Times New Roman"/>
          <w:sz w:val="18"/>
          <w:szCs w:val="18"/>
          <w:color w:val="auto"/>
        </w:rPr>
        <w:t xml:space="preserve">. 4.1 </w:t>
      </w: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right="180" w:firstLine="1428"/>
        <w:spacing w:after="0" w:line="256" w:lineRule="auto"/>
        <w:tabs>
          <w:tab w:leader="none" w:pos="1681"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applicable securities laws, if the Company proposes to offer or sell any New Securities, the Company shall first offer such New Securities to each Investor, provided that the Board of Directors has not reasonably determined that such Investor is a Competitor of the Company. An Investor shall be entitled to apportion the right of first offer hereby granted to it among itself and its Affiliates in such proportions as it deems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Affiliate (x) is not a Competitor of the Company as reasonably determined by the Board of Directors, and (y) agrees to enter into this Agreement and the Stockholders Agreement of even date herewith among the Company, the Investors and the other parties named therein, as an “Investor” under each such agreement.</w:t>
      </w:r>
    </w:p>
    <w:p>
      <w:pPr>
        <w:spacing w:after="0" w:line="79" w:lineRule="exact"/>
        <w:rPr>
          <w:rFonts w:ascii="Times New Roman" w:cs="Times New Roman" w:eastAsia="Times New Roman" w:hAnsi="Times New Roman"/>
          <w:sz w:val="18"/>
          <w:szCs w:val="18"/>
          <w:color w:val="auto"/>
        </w:rPr>
      </w:pPr>
    </w:p>
    <w:p>
      <w:pPr>
        <w:ind w:left="4" w:firstLine="1428"/>
        <w:spacing w:after="0" w:line="272" w:lineRule="auto"/>
        <w:tabs>
          <w:tab w:leader="none" w:pos="1691" w:val="left"/>
        </w:tabs>
        <w:numPr>
          <w:ilvl w:val="2"/>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herein, for so long as TRV is deemed an Investor, TRV shall have the right to apportion its right of first offer of New Securities pursuant to </w:t>
      </w:r>
      <w:r>
        <w:rPr>
          <w:rFonts w:ascii="Times New Roman" w:cs="Times New Roman" w:eastAsia="Times New Roman" w:hAnsi="Times New Roman"/>
          <w:sz w:val="17"/>
          <w:szCs w:val="17"/>
          <w:u w:val="single" w:color="auto"/>
          <w:color w:val="auto"/>
        </w:rPr>
        <w:t>Section 4.1(a)</w:t>
      </w:r>
      <w:r>
        <w:rPr>
          <w:rFonts w:ascii="Times New Roman" w:cs="Times New Roman" w:eastAsia="Times New Roman" w:hAnsi="Times New Roman"/>
          <w:sz w:val="17"/>
          <w:szCs w:val="17"/>
          <w:color w:val="auto"/>
        </w:rPr>
        <w:t xml:space="preserve"> among itself, its Affiliates, and such unaffiliated third parties as TRV reasonably deems appropriate (each such Affiliate or unaffiliated third party, a “</w:t>
      </w:r>
      <w:r>
        <w:rPr>
          <w:rFonts w:ascii="Times New Roman" w:cs="Times New Roman" w:eastAsia="Times New Roman" w:hAnsi="Times New Roman"/>
          <w:sz w:val="17"/>
          <w:szCs w:val="17"/>
          <w:b w:val="1"/>
          <w:bCs w:val="1"/>
          <w:color w:val="auto"/>
        </w:rPr>
        <w:t>Permitted TRV Transferee</w:t>
      </w:r>
      <w:r>
        <w:rPr>
          <w:rFonts w:ascii="Times New Roman" w:cs="Times New Roman" w:eastAsia="Times New Roman" w:hAnsi="Times New Roman"/>
          <w:sz w:val="17"/>
          <w:szCs w:val="17"/>
          <w:color w:val="auto"/>
        </w:rPr>
        <w:t>”), provided that each such Permitted TRV Transferee</w:t>
      </w:r>
    </w:p>
    <w:p>
      <w:pPr>
        <w:spacing w:after="0" w:line="1" w:lineRule="exact"/>
        <w:rPr>
          <w:rFonts w:ascii="Times New Roman" w:cs="Times New Roman" w:eastAsia="Times New Roman" w:hAnsi="Times New Roman"/>
          <w:sz w:val="17"/>
          <w:szCs w:val="17"/>
          <w:color w:val="auto"/>
        </w:rPr>
      </w:pPr>
    </w:p>
    <w:p>
      <w:pPr>
        <w:ind w:left="4" w:right="20" w:hanging="4"/>
        <w:spacing w:after="0" w:line="252" w:lineRule="auto"/>
        <w:tabs>
          <w:tab w:leader="none" w:pos="25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a Competitor of the Company as reasonably determined by the Board of Directors, and (y) agrees to enter into or join this Agreement and any other stockholder agreement with the Company that TRV is party to or would become a party to if it exercised its right of first offer, as an “Investor” under each such agreement. TRV shall provide the Company with advanced written notice of any such apportionment of rights to a Permitted TRV Transferee prior to the deadline set forth in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by which TRV is required to notify the Company of TRV’s or its Permitted TRV Transferees’, as applicable, intention to exercise its right of first offer with respect to a given issuance of New Securities, and TRV and the Permitted TRV Transferee shall provide the Company with such other information as the Company reasonably requests in connection with such apportionment of rights to such Permitted TRV Transferee.</w:t>
      </w:r>
    </w:p>
    <w:p>
      <w:pPr>
        <w:spacing w:after="0" w:line="76" w:lineRule="exact"/>
        <w:rPr>
          <w:rFonts w:ascii="Times New Roman" w:cs="Times New Roman" w:eastAsia="Times New Roman" w:hAnsi="Times New Roman"/>
          <w:sz w:val="18"/>
          <w:szCs w:val="18"/>
          <w:color w:val="auto"/>
        </w:rPr>
      </w:pPr>
    </w:p>
    <w:p>
      <w:pPr>
        <w:ind w:left="4" w:right="580" w:firstLine="1428"/>
        <w:spacing w:after="0" w:line="268" w:lineRule="auto"/>
        <w:tabs>
          <w:tab w:leader="none" w:pos="1681"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(the “</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to each Investor, stating (i) its bona fide intention to offer such New Securities, (ii) the number of such New Securities to be offered, and (iii) the price and terms, if any, upon which it proposes to offer such New Securities.</w:t>
      </w:r>
    </w:p>
    <w:p>
      <w:pPr>
        <w:spacing w:after="0" w:line="66" w:lineRule="exact"/>
        <w:rPr>
          <w:rFonts w:ascii="Times New Roman" w:cs="Times New Roman" w:eastAsia="Times New Roman" w:hAnsi="Times New Roman"/>
          <w:sz w:val="18"/>
          <w:szCs w:val="18"/>
          <w:color w:val="auto"/>
        </w:rPr>
      </w:pPr>
    </w:p>
    <w:p>
      <w:pPr>
        <w:ind w:left="4" w:right="60" w:firstLine="1428"/>
        <w:spacing w:after="0" w:line="256" w:lineRule="auto"/>
        <w:tabs>
          <w:tab w:leader="none" w:pos="1691"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notification to the Company within twenty (20) days after the Offer Notice is given, each Investor may elect to purchase or otherwise acquire, at the price and on the terms specified in the Offer Notice, up to that portion of such New Securities which equals the proportion that the Common Stock then held by such Investor (including all shares of Common Stock then issuable (directly or indirectly) upon conversion and/or exercise, as applicable, of the Preferred Stock and any other Derivative Securities then held by such Investor) bears to the total number of shares of Common Stock of the Company then outstanding (assuming full conversion and/or exercise, as applicable, of all Preferred Stock and other Derivative Securities). At the expiration of such twenty (20) day period, the Company shall promptly notify each Investor that</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315" w:name="page316"/>
    <w:bookmarkEnd w:id="315"/>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elects to purchase or acquire all the shares available to it (each, a “</w:t>
      </w:r>
      <w:r>
        <w:rPr>
          <w:rFonts w:ascii="Times New Roman" w:cs="Times New Roman" w:eastAsia="Times New Roman" w:hAnsi="Times New Roman"/>
          <w:sz w:val="18"/>
          <w:szCs w:val="18"/>
          <w:b w:val="1"/>
          <w:bCs w:val="1"/>
          <w:color w:val="auto"/>
        </w:rPr>
        <w:t>Fully Exercising Investor</w:t>
      </w:r>
      <w:r>
        <w:rPr>
          <w:rFonts w:ascii="Times New Roman" w:cs="Times New Roman" w:eastAsia="Times New Roman" w:hAnsi="Times New Roman"/>
          <w:sz w:val="18"/>
          <w:szCs w:val="18"/>
          <w:color w:val="auto"/>
        </w:rPr>
        <w:t xml:space="preserve">”) of any other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such Investors were entitled to subscribe, but that were not subscribed for by the Investors, which is equal to the proportion that the Common Stock issued and held, or issuable upon conversion of Preferred Stock and any other Derivative Securities then held, by such Fully Exercising Investor bears to the number of shares of Common Stock issued and held, or issuable (directly or indirectly) upon conversion of the Preferred Stock and any other Derivative Securities then held, by all Fully Exercising Investors who wish to purchase such unsubscribed shares. The closing of any sale pursuant to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shall occur within the later of one hundred twenty (120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days after the date that the Offer Notice is given and the date of initial sale of New Securities pursuant to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 If fewer than all New Securities referred to in the Offer Notice are elected to be purchased or acquired as provided in</w:t>
      </w:r>
    </w:p>
    <w:p>
      <w:pPr>
        <w:spacing w:after="0" w:line="27"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the Company may, during the ninety (90) day period following the expiration of the periods provided in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in accordance with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 w:right="780" w:firstLine="1428"/>
        <w:spacing w:after="0" w:line="282" w:lineRule="auto"/>
        <w:tabs>
          <w:tab w:leader="none" w:pos="166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of first offer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not be applicable to Exempted Securities (as defined in the Certificate of Incorporation), and (ii) shares of Common Stock issued in the IPO.</w:t>
      </w:r>
    </w:p>
    <w:p>
      <w:pPr>
        <w:spacing w:after="0" w:line="53" w:lineRule="exact"/>
        <w:rPr>
          <w:rFonts w:ascii="Times New Roman" w:cs="Times New Roman" w:eastAsia="Times New Roman" w:hAnsi="Times New Roman"/>
          <w:sz w:val="18"/>
          <w:szCs w:val="18"/>
          <w:color w:val="auto"/>
        </w:rPr>
      </w:pPr>
    </w:p>
    <w:p>
      <w:pPr>
        <w:ind w:left="4" w:right="20" w:firstLine="1428"/>
        <w:spacing w:after="0" w:line="253" w:lineRule="auto"/>
        <w:tabs>
          <w:tab w:leader="none" w:pos="169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Investors to purchase New Securities under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may be modified or waived in accordance with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provided, however, that in the event such rights to purchase New Securities under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are waived and any Investor(s) purchase New Securities, the Company shall give notice to the other Investors within thirty (30) days after the initial issuance of New Securities. Such notice shall describe the type, price, and terms of the New Securities. Each such other Investor shall have twenty (20) days from the date such notice is given to elect to purchase on similar terms and conditions in a subsequent closing up to the number of New Securities that would, if purchased by such Investor, maintain such Investor’s percentage-ownership position, calculated as set forth in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before giving effect to the issuance of such</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Securities.</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covenants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terminate and be of no further force or effect upon the earliest to occur of</w:t>
      </w:r>
    </w:p>
    <w:p>
      <w:pPr>
        <w:spacing w:after="0" w:line="27" w:lineRule="exact"/>
        <w:rPr>
          <w:sz w:val="20"/>
          <w:szCs w:val="20"/>
          <w:color w:val="auto"/>
        </w:rPr>
      </w:pPr>
    </w:p>
    <w:p>
      <w:pPr>
        <w:ind w:left="4" w:right="40" w:hanging="4"/>
        <w:spacing w:after="0" w:line="260" w:lineRule="auto"/>
        <w:tabs>
          <w:tab w:leader="none" w:pos="21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but subject to, the consummation of the IPO, (ii) when the Company first becomes subject to the periodic reporting requirements of Section 12(g) or 15(d) of the Exchange Act, or (iii) upon a Deemed Liquidation Event.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66" w:right="439" w:bottom="1440" w:gutter="0" w:footer="0" w:header="0"/>
        </w:sectPr>
      </w:pPr>
    </w:p>
    <w:bookmarkStart w:id="316" w:name="page317"/>
    <w:bookmarkEnd w:id="316"/>
    <w:p>
      <w:pPr>
        <w:ind w:left="620" w:hanging="184"/>
        <w:spacing w:after="0"/>
        <w:tabs>
          <w:tab w:leader="none" w:pos="6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Covenants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maintain Directors and Officers Errors and Omissions insurance from financially sound and reputable insurers in an amount satisfactory to the Board of Directors, including the Arch Director (as defined in the Stockholders Agreement), if any, and at least one of the Initial TRV Director or the Second TRV Director (each, as defined in the Stockholders Agreement), if any, then serving on the Board of Directors, and will use commercially reasonable efforts to cause such insurance policy to be maintained until such time as the Board of Directors determines that such insurance should be discontinued.</w:t>
      </w:r>
    </w:p>
    <w:p>
      <w:pPr>
        <w:spacing w:after="0" w:line="7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Employee Agreements</w:t>
      </w:r>
      <w:r>
        <w:rPr>
          <w:rFonts w:ascii="Times New Roman" w:cs="Times New Roman" w:eastAsia="Times New Roman" w:hAnsi="Times New Roman"/>
          <w:sz w:val="18"/>
          <w:szCs w:val="18"/>
          <w:color w:val="auto"/>
        </w:rPr>
        <w:t>. The Company will cause (a) each individual now or hereafter employed by it or by any subsidiary (or engaged by the Company or any subsidiary as an individual consultant/independent contractor) with access to confidential information and/or trade secrets to enter into a nondisclosure and proprietary rights assignment agreement and (b) each Key Employee to enter into a one (1) year noncompetition (to the extent permitted by applicable law) and nonsolicitation agreement, substantially in the form approved by the Board of Directors, including the Arch Director, if any, and at least one of the Initial TRV Director or the Second TRV Director, if any, then serving on the Board of Directors. In addition, the Company shall not amend, modify, terminate, waive, or otherwise alter, in whole or in part, any of the above-referenced agreements or any restricted stock agreement between the Company and any employee, without the approval by the Board of Directors, including the Arch Director, if any, and at least one of the Initial TRV Director or the Second TRV Director, if any, then serving on the Board of Directors.</w:t>
      </w:r>
    </w:p>
    <w:p>
      <w:pPr>
        <w:spacing w:after="0" w:line="8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Employee Vesting</w:t>
      </w:r>
      <w:r>
        <w:rPr>
          <w:rFonts w:ascii="Times New Roman" w:cs="Times New Roman" w:eastAsia="Times New Roman" w:hAnsi="Times New Roman"/>
          <w:sz w:val="18"/>
          <w:szCs w:val="18"/>
          <w:color w:val="auto"/>
        </w:rPr>
        <w:t>. Unless otherwise approved by the Board of Directors, which approval shall include the Arch Director, if any, and at least one of the Initial TRV Director or the Second TRV Director, if any, then serving on the Board of Directors, all employees and consultants of the Company who purchase, receive options to purchase, or receive awards of shares of the Company’s capital stock after the date hereof shall be required to execute restricted stock or option agreements, as applicable, providing for (a) vesting of shares, not faster than over a four (4) year period, with the first twenty-five percent (25%) of such shares vesting following twelve (12) months of continued employment or service, and the remaining shares vesting in equal quarterly installments over the following three (3) years, and (b) a market stand-off provision substantially similar to that in</w:t>
      </w:r>
    </w:p>
    <w:p>
      <w:pPr>
        <w:spacing w:after="0" w:line="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In addition, unless otherwise approved by the Board of Directors, including the Arch Director, if any, and at least one of the Initial TRV Director or the Second TRV Director, if any, then serving on the Board of Directors, the Company shall retain a “right of first refusal” on employee transfers of shares of Common Stock until the Company’s IPO and shall have the right to repurchase unvested shares at cost upon termination of employment of a holder of restricted stock.</w:t>
      </w:r>
    </w:p>
    <w:p>
      <w:pPr>
        <w:spacing w:after="0" w:line="81"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Matters Requiring Preferred Director Approval</w:t>
      </w:r>
      <w:r>
        <w:rPr>
          <w:rFonts w:ascii="Times New Roman" w:cs="Times New Roman" w:eastAsia="Times New Roman" w:hAnsi="Times New Roman"/>
          <w:sz w:val="18"/>
          <w:szCs w:val="18"/>
          <w:color w:val="auto"/>
        </w:rPr>
        <w:t>. So long as any shares of Preferred Stock issued pursuant to the Purchase Agreement remain outstanding, the Company hereby covenants and agrees with each of the Investors that it shall not, without first obtaining the approval of the Board of Directors, which approval must include the affirmative vote of the Arch Director, if any, and at least one of the Initial TRV Director or the Second TRV Director, if any, then serving on the Board of Directors: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17" w:name="page318"/>
    <w:bookmarkEnd w:id="317"/>
    <w:p>
      <w:pPr>
        <w:ind w:right="160" w:firstLine="1428"/>
        <w:spacing w:after="0" w:line="282" w:lineRule="auto"/>
        <w:tabs>
          <w:tab w:leader="none" w:pos="167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or permit any subsidiary to make, any loan or advance to, or own any stock or other securities of, any subsidiary or other corporation, partnership, or other entity unless it is wholly owned by the Company;</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subsidiary;</w:t>
      </w:r>
    </w:p>
    <w:p>
      <w:pPr>
        <w:spacing w:after="0" w:line="117" w:lineRule="exact"/>
        <w:rPr>
          <w:rFonts w:ascii="Times New Roman" w:cs="Times New Roman" w:eastAsia="Times New Roman" w:hAnsi="Times New Roman"/>
          <w:sz w:val="18"/>
          <w:szCs w:val="18"/>
          <w:color w:val="auto"/>
        </w:rPr>
      </w:pPr>
    </w:p>
    <w:p>
      <w:pPr>
        <w:ind w:right="480" w:firstLine="1428"/>
        <w:spacing w:after="0" w:line="266" w:lineRule="auto"/>
        <w:tabs>
          <w:tab w:leader="none" w:pos="167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67" w:lineRule="exact"/>
        <w:rPr>
          <w:rFonts w:ascii="Times New Roman" w:cs="Times New Roman" w:eastAsia="Times New Roman" w:hAnsi="Times New Roman"/>
          <w:sz w:val="18"/>
          <w:szCs w:val="18"/>
          <w:color w:val="auto"/>
        </w:rPr>
      </w:pPr>
    </w:p>
    <w:p>
      <w:pPr>
        <w:ind w:right="240" w:firstLine="1428"/>
        <w:spacing w:after="0" w:line="282" w:lineRule="auto"/>
        <w:tabs>
          <w:tab w:leader="none" w:pos="168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investment inconsistent with any investment policy approved by the Board of Directors;</w:t>
      </w:r>
    </w:p>
    <w:p>
      <w:pPr>
        <w:spacing w:after="0" w:line="117" w:lineRule="exact"/>
        <w:rPr>
          <w:rFonts w:ascii="Times New Roman" w:cs="Times New Roman" w:eastAsia="Times New Roman" w:hAnsi="Times New Roman"/>
          <w:sz w:val="18"/>
          <w:szCs w:val="18"/>
          <w:color w:val="auto"/>
        </w:rPr>
      </w:pPr>
    </w:p>
    <w:p>
      <w:pPr>
        <w:ind w:firstLine="1428"/>
        <w:spacing w:after="0" w:line="282" w:lineRule="auto"/>
        <w:tabs>
          <w:tab w:leader="none" w:pos="165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in excess of $500,000 in the aggregate that is not covered by the Budget, other than trade credit incurred in the ordinary course of business;</w:t>
      </w:r>
    </w:p>
    <w:p>
      <w:pPr>
        <w:spacing w:after="0" w:line="53" w:lineRule="exact"/>
        <w:rPr>
          <w:rFonts w:ascii="Times New Roman" w:cs="Times New Roman" w:eastAsia="Times New Roman" w:hAnsi="Times New Roman"/>
          <w:sz w:val="18"/>
          <w:szCs w:val="18"/>
          <w:color w:val="auto"/>
        </w:rPr>
      </w:pPr>
    </w:p>
    <w:p>
      <w:pPr>
        <w:ind w:right="20" w:firstLine="1428"/>
        <w:spacing w:after="0" w:line="282" w:lineRule="auto"/>
        <w:tabs>
          <w:tab w:leader="none" w:pos="168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enter into or be a party to any transaction with any director, officer or employee of the Company or any “associate” (as defined in Rule 12b-2 promulgated under the Exchange Act) of any such Person;</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terminate, or change the compensation of the executive officers, including approving any option grants or stock awards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or</w:t>
      </w:r>
    </w:p>
    <w:p>
      <w:pPr>
        <w:spacing w:after="0" w:line="98"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principal business of the Company, or enter into a new line of business, or exit the existing line of business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99"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Meetings of the Board of Directors; Committees</w:t>
      </w:r>
      <w:r>
        <w:rPr>
          <w:rFonts w:ascii="Times New Roman" w:cs="Times New Roman" w:eastAsia="Times New Roman" w:hAnsi="Times New Roman"/>
          <w:sz w:val="18"/>
          <w:szCs w:val="18"/>
          <w:color w:val="auto"/>
        </w:rPr>
        <w:t>. Unless otherwise determined by the vote of at least a majority of the directors then in office, the Board of Directors shall meet at least four (4) times per year, and at least once per quarter, in accordance with an agreed-upon schedule. The Company shall maintain an audit and compensation committee. Prior to the Company’s IPO, the Series C Director will be entitled to serve on any committee of the Board of Directors. At such time after the Company’s IPO, the Series C Director will be entitled to serve on any committee of the Board of Directors subject to the reasonable discretion of the Board of Directors, as well as any limitation of applicable law and the rules of such stock exchange on which the Company lists its securities in the IPO.</w:t>
      </w:r>
    </w:p>
    <w:p>
      <w:pPr>
        <w:spacing w:after="0" w:line="7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Successor Indemnification</w:t>
      </w:r>
      <w:r>
        <w:rPr>
          <w:rFonts w:ascii="Times New Roman" w:cs="Times New Roman" w:eastAsia="Times New Roman" w:hAnsi="Times New Roman"/>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Certificate of Incorporation, or elsewhere, as the case may be.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18" w:name="page319"/>
    <w:bookmarkEnd w:id="318"/>
    <w:p>
      <w:pPr>
        <w:ind w:left="4" w:right="6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5.7 </w:t>
      </w:r>
      <w:r>
        <w:rPr>
          <w:rFonts w:ascii="Times New Roman" w:cs="Times New Roman" w:eastAsia="Times New Roman" w:hAnsi="Times New Roman"/>
          <w:sz w:val="18"/>
          <w:szCs w:val="18"/>
          <w:u w:val="single" w:color="auto"/>
          <w:color w:val="auto"/>
        </w:rPr>
        <w:t>Board Expenses</w:t>
      </w:r>
      <w:r>
        <w:rPr>
          <w:rFonts w:ascii="Times New Roman" w:cs="Times New Roman" w:eastAsia="Times New Roman" w:hAnsi="Times New Roman"/>
          <w:sz w:val="18"/>
          <w:szCs w:val="18"/>
          <w:color w:val="auto"/>
        </w:rPr>
        <w:t>. The Company shall reimburse the non-employee directors for all reasonable out-of-pocket expenses incurred (consistent with the Company’s policies) in connection with their role as a director of the Company.</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Directors’ Liability and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1428"/>
        <w:spacing w:after="0" w:line="256" w:lineRule="auto"/>
        <w:tabs>
          <w:tab w:leader="none" w:pos="1681"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and By-laws (as such By-laws of the Company may be amended from time to time) shall provide (i) for limitation of the liability of directors to the maximum extent permitted by law, and (ii) for indemnification of directors for acts on behalf of the Company to the maximum extent permitted by law. In the event any suit is filed or claim is asserted against a director or former director of the Company as a result of such director’s or former director’s service on the Board of Directors, the Company will provide such director or former director access to all records and files of the Company as he or she may reasonably request in defending against or preparing to defend against any such suit or claim.</w:t>
      </w:r>
    </w:p>
    <w:p>
      <w:pPr>
        <w:spacing w:after="0" w:line="79" w:lineRule="exact"/>
        <w:rPr>
          <w:rFonts w:ascii="Times New Roman" w:cs="Times New Roman" w:eastAsia="Times New Roman" w:hAnsi="Times New Roman"/>
          <w:sz w:val="18"/>
          <w:szCs w:val="18"/>
          <w:color w:val="auto"/>
        </w:rPr>
      </w:pPr>
    </w:p>
    <w:p>
      <w:pPr>
        <w:ind w:left="4" w:right="60" w:firstLine="1428"/>
        <w:spacing w:after="0" w:line="257" w:lineRule="auto"/>
        <w:tabs>
          <w:tab w:leader="none" w:pos="1691"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one or more of the directors nominated by holders of Preferred Stock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18"/>
          <w:szCs w:val="18"/>
          <w:b w:val="1"/>
          <w:bCs w:val="1"/>
          <w:color w:val="auto"/>
        </w:rPr>
        <w:t>Fund Indemnitors</w:t>
      </w:r>
      <w:r>
        <w:rPr>
          <w:rFonts w:ascii="Times New Roman" w:cs="Times New Roman" w:eastAsia="Times New Roman" w:hAnsi="Times New Roman"/>
          <w:sz w:val="18"/>
          <w:szCs w:val="18"/>
          <w:color w:val="auto"/>
        </w:rPr>
        <w:t>”) for alleged acts or omissions in their capacities as directors of the Company. The Company hereby agrees</w:t>
      </w:r>
    </w:p>
    <w:p>
      <w:pPr>
        <w:spacing w:after="0" w:line="1" w:lineRule="exact"/>
        <w:rPr>
          <w:rFonts w:ascii="Times New Roman" w:cs="Times New Roman" w:eastAsia="Times New Roman" w:hAnsi="Times New Roman"/>
          <w:sz w:val="18"/>
          <w:szCs w:val="18"/>
          <w:color w:val="auto"/>
        </w:rPr>
      </w:pPr>
    </w:p>
    <w:p>
      <w:pPr>
        <w:ind w:left="4" w:right="80" w:hanging="4"/>
        <w:spacing w:after="0" w:line="251" w:lineRule="auto"/>
        <w:tabs>
          <w:tab w:leader="none" w:pos="219"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the indemnitor of first resort (i.e., its obligations to any such director are primary and any obligation of the Fund Indemnitors to advance expenses or to provide indemnification for the same expenses or liabilities incurred by such director are secondary), (ii) that it shall be required to advance the full amount of expenses incurred by such director and shall be liable for the full amount of all expenses, judgments, penalties, fines and amounts paid in settlement by or on behalf of any such director to the extent legally permitted and as required by the Certificate of Incorporation or Bylaws of the Company (or any agreement between the Company and such director), without regard to any rights such director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director with respect to any claim for which such director has sought indemnification from the Company shall affect the foregoing and the Fund Indemnitors shall have a right of contribution and/or be subrogated to the extent of such advancement or payment to all of the rights of recovery of such director against the Company.</w:t>
      </w:r>
    </w:p>
    <w:p>
      <w:pPr>
        <w:spacing w:after="0" w:line="85" w:lineRule="exact"/>
        <w:rPr>
          <w:sz w:val="20"/>
          <w:szCs w:val="20"/>
          <w:color w:val="auto"/>
        </w:rPr>
      </w:pPr>
    </w:p>
    <w:p>
      <w:pPr>
        <w:ind w:left="4" w:firstLine="991"/>
        <w:spacing w:after="0" w:line="273"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FCPA</w:t>
      </w:r>
      <w:r>
        <w:rPr>
          <w:rFonts w:ascii="Times New Roman" w:cs="Times New Roman" w:eastAsia="Times New Roman" w:hAnsi="Times New Roman"/>
          <w:sz w:val="17"/>
          <w:szCs w:val="17"/>
          <w:color w:val="auto"/>
        </w:rPr>
        <w:t>.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(as such term is defined in the U.S. Foreign Corrupt Practices Act of 1977, as amended (the “</w:t>
      </w:r>
      <w:r>
        <w:rPr>
          <w:rFonts w:ascii="Times New Roman" w:cs="Times New Roman" w:eastAsia="Times New Roman" w:hAnsi="Times New Roman"/>
          <w:sz w:val="17"/>
          <w:szCs w:val="17"/>
          <w:b w:val="1"/>
          <w:bCs w:val="1"/>
          <w:color w:val="auto"/>
        </w:rPr>
        <w:t>FCPA</w:t>
      </w:r>
      <w:r>
        <w:rPr>
          <w:rFonts w:ascii="Times New Roman" w:cs="Times New Roman" w:eastAsia="Times New Roman" w:hAnsi="Times New Roman"/>
          <w:sz w:val="17"/>
          <w:szCs w:val="17"/>
          <w:color w:val="auto"/>
        </w:rPr>
        <w:t>”)),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w:t>
      </w:r>
    </w:p>
    <w:p>
      <w:pPr>
        <w:spacing w:after="0" w:line="1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319" w:name="page320"/>
    <w:bookmarkEnd w:id="319"/>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anti-bribery or anti-corruption law. The Company further represents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(as defined in the Purchase Agreement).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84"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Right to Conduct Activities</w:t>
      </w:r>
      <w:r>
        <w:rPr>
          <w:rFonts w:ascii="Times New Roman" w:cs="Times New Roman" w:eastAsia="Times New Roman" w:hAnsi="Times New Roman"/>
          <w:sz w:val="18"/>
          <w:szCs w:val="18"/>
          <w:color w:val="auto"/>
        </w:rPr>
        <w:t>. The Company hereby agrees and acknowledges that TRV, Arch, GV, Matrix, Moore Strategic Ventures, LLC, General Catalyst and a16z (together with their Affiliates) (each, an “</w:t>
      </w:r>
      <w:r>
        <w:rPr>
          <w:rFonts w:ascii="Times New Roman" w:cs="Times New Roman" w:eastAsia="Times New Roman" w:hAnsi="Times New Roman"/>
          <w:sz w:val="18"/>
          <w:szCs w:val="18"/>
          <w:b w:val="1"/>
          <w:bCs w:val="1"/>
          <w:color w:val="auto"/>
        </w:rPr>
        <w:t>Investing Entity</w:t>
      </w:r>
      <w:r>
        <w:rPr>
          <w:rFonts w:ascii="Times New Roman" w:cs="Times New Roman" w:eastAsia="Times New Roman" w:hAnsi="Times New Roman"/>
          <w:sz w:val="18"/>
          <w:szCs w:val="18"/>
          <w:color w:val="auto"/>
        </w:rPr>
        <w:t>”) invest in or may hereafter invest in one or more other portfolio companies (“</w:t>
      </w:r>
      <w:r>
        <w:rPr>
          <w:rFonts w:ascii="Times New Roman" w:cs="Times New Roman" w:eastAsia="Times New Roman" w:hAnsi="Times New Roman"/>
          <w:sz w:val="18"/>
          <w:szCs w:val="18"/>
          <w:b w:val="1"/>
          <w:bCs w:val="1"/>
          <w:color w:val="auto"/>
        </w:rPr>
        <w:t>PortCos</w:t>
      </w:r>
      <w:r>
        <w:rPr>
          <w:rFonts w:ascii="Times New Roman" w:cs="Times New Roman" w:eastAsia="Times New Roman" w:hAnsi="Times New Roman"/>
          <w:sz w:val="18"/>
          <w:szCs w:val="18"/>
          <w:color w:val="auto"/>
        </w:rPr>
        <w:t>”), some of which may be deemed competitive with the Company’s business (as currently conducted or as currently proposed to be conducted). The Company hereby agrees that (a) no Investing Entity shall be deemed to be a Competitor of the Company in respect of any investment such Investing Entity makes in any PortCo, and (b) to the extent permitted under applicable law, no Investing Entity shall be liable to the Company for any claim arising out of, or based upon, (i) the investment by such Investing Entity in any entity competitive with the Company, or</w:t>
      </w:r>
    </w:p>
    <w:p>
      <w:pPr>
        <w:spacing w:after="0" w:line="5" w:lineRule="exact"/>
        <w:rPr>
          <w:sz w:val="20"/>
          <w:szCs w:val="20"/>
          <w:color w:val="auto"/>
        </w:rPr>
      </w:pPr>
    </w:p>
    <w:p>
      <w:pPr>
        <w:ind w:left="4" w:right="220" w:hanging="4"/>
        <w:spacing w:after="0" w:line="253" w:lineRule="auto"/>
        <w:tabs>
          <w:tab w:leader="none" w:pos="26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any partner, officer or other representative of such Investing Entity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79"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Tax Reporting</w:t>
      </w:r>
      <w:r>
        <w:rPr>
          <w:rFonts w:ascii="Times New Roman" w:cs="Times New Roman" w:eastAsia="Times New Roman" w:hAnsi="Times New Roman"/>
          <w:sz w:val="18"/>
          <w:szCs w:val="18"/>
          <w:color w:val="auto"/>
        </w:rPr>
        <w:t>. The Company will comply with any obligation imposed on the Company to make any filing (including any filing on Internal Revenue Service Form 5471) as a result of any interest that the Company holds in a non-U.S. Person or any activities that the Company conducts outside of the U.S. and shall include in such filing any information necessary to obviate (to the extent possible) any similar obligation to which any shareholder would otherwise be subject with respect to such interest or such activity. The Company shall promptly provide each Investor with a copy of any such filing.</w:t>
      </w:r>
    </w:p>
    <w:p>
      <w:pPr>
        <w:spacing w:after="0" w:line="75"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Expenses of Counsel</w:t>
      </w:r>
      <w:r>
        <w:rPr>
          <w:rFonts w:ascii="Times New Roman" w:cs="Times New Roman" w:eastAsia="Times New Roman" w:hAnsi="Times New Roman"/>
          <w:sz w:val="18"/>
          <w:szCs w:val="18"/>
          <w:color w:val="auto"/>
        </w:rPr>
        <w:t>. In the event of a transaction which is a Sale of the Company (as defined in the Stockholders Agreement of even date herewith among the Investors, the Company and the other parties named therein), the reasonable fees and disbursements of one counsel for the Investors (“</w:t>
      </w:r>
      <w:r>
        <w:rPr>
          <w:rFonts w:ascii="Times New Roman" w:cs="Times New Roman" w:eastAsia="Times New Roman" w:hAnsi="Times New Roman"/>
          <w:sz w:val="18"/>
          <w:szCs w:val="18"/>
          <w:b w:val="1"/>
          <w:bCs w:val="1"/>
          <w:color w:val="auto"/>
        </w:rPr>
        <w:t>Investor Counsel</w:t>
      </w:r>
      <w:r>
        <w:rPr>
          <w:rFonts w:ascii="Times New Roman" w:cs="Times New Roman" w:eastAsia="Times New Roman" w:hAnsi="Times New Roman"/>
          <w:sz w:val="18"/>
          <w:szCs w:val="18"/>
          <w:color w:val="auto"/>
        </w:rPr>
        <w:t>”), in their capacities as stockholders, shall be borne and paid by the Company. At the outset of considering a transaction which, if consummated would constitute a Sale of the Company, the Company shall obtain the ability to share with the Investor Counsel (and such counsel’s clients) and shall share the confidential information (including, without limitation, the initial and all subsequent drafts of memoranda of understanding, letters of</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70" w:right="479" w:bottom="1440" w:gutter="0" w:footer="0" w:header="0"/>
        </w:sectPr>
      </w:pPr>
    </w:p>
    <w:bookmarkStart w:id="320" w:name="page321"/>
    <w:bookmarkEnd w:id="320"/>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In the event that one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spacing w:after="0" w:line="84" w:lineRule="exact"/>
        <w:rPr>
          <w:sz w:val="20"/>
          <w:szCs w:val="20"/>
          <w:color w:val="auto"/>
        </w:rPr>
      </w:pPr>
    </w:p>
    <w:p>
      <w:pPr>
        <w:jc w:val="both"/>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Termination of Covenants</w:t>
      </w:r>
      <w:r>
        <w:rPr>
          <w:rFonts w:ascii="Times New Roman" w:cs="Times New Roman" w:eastAsia="Times New Roman" w:hAnsi="Times New Roman"/>
          <w:sz w:val="18"/>
          <w:szCs w:val="18"/>
          <w:color w:val="auto"/>
        </w:rPr>
        <w:t xml:space="preserve">. The covenants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Sections 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5.10</w:t>
      </w:r>
      <w:r>
        <w:rPr>
          <w:rFonts w:ascii="Times New Roman" w:cs="Times New Roman" w:eastAsia="Times New Roman" w:hAnsi="Times New Roman"/>
          <w:sz w:val="18"/>
          <w:szCs w:val="18"/>
          <w:color w:val="auto"/>
        </w:rPr>
        <w:t>, shall terminate and be of no further force or effect upon the earliest to occur of (i) immediately before but subject to the consummation of a QPO or (ii) when the Company first becomes subject to the periodic reporting requirements of Section 12(g) or 15(d) of the Exchange Act, or (iii) upon a Deemed Liquidation Event.</w:t>
      </w:r>
    </w:p>
    <w:p>
      <w:pPr>
        <w:spacing w:after="0" w:line="68" w:lineRule="exact"/>
        <w:rPr>
          <w:sz w:val="20"/>
          <w:szCs w:val="20"/>
          <w:color w:val="auto"/>
        </w:rPr>
      </w:pPr>
    </w:p>
    <w:p>
      <w:pPr>
        <w:ind w:left="624" w:hanging="184"/>
        <w:spacing w:after="0"/>
        <w:tabs>
          <w:tab w:leader="none" w:pos="624"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xml:space="preserve">. The rights under this Agreement may be assigned (but only with all related obligations) by a Holder to a transferee of Registrable Securities that (i) is an Affiliate, member, retired partner, retired member or stockholder of a Holder; (ii) is a Holder’s Immediate Family Member or trust for the benefit of an individual Holder or one or more of such Holder’s Immediate Family Members; or (iii) after such transfer, holds at least 100,000 shares of Registrable Securities (subject to appropriate adjustment for stock splits, stock dividends, combinations, and other recapitalizations); provided, however,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For the purposes of determining the number of shares of Registrable Securities held by a transferee, the holdings of a transferee (1) that is an Affiliate, limited partner, retired partner, member, retired member, or stockholder of a Holder; (2) who is a Holder’s Immediate Family Member; or</w:t>
      </w:r>
    </w:p>
    <w:p>
      <w:pPr>
        <w:spacing w:after="0" w:line="5" w:lineRule="exact"/>
        <w:rPr>
          <w:sz w:val="20"/>
          <w:szCs w:val="20"/>
          <w:color w:val="auto"/>
        </w:rPr>
      </w:pPr>
    </w:p>
    <w:p>
      <w:pPr>
        <w:ind w:left="4" w:right="40" w:hanging="4"/>
        <w:spacing w:after="0" w:line="252" w:lineRule="auto"/>
        <w:tabs>
          <w:tab w:leader="none" w:pos="25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 trust for the benefit of an individual Holder or such Holder’s Immediate Family Member shall be aggregated together and with those of the transferring Holder and its Affiliates; provided further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including without limitation, the Investor’s Affiliates.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321" w:name="page322"/>
    <w:bookmarkEnd w:id="321"/>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Delaware, without regard to conflict of law principles that would result in the application of any law other than the law of the State of Delaware.</w:t>
      </w:r>
    </w:p>
    <w:p>
      <w:pPr>
        <w:spacing w:after="0" w:line="54"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Counterparts; Facsimile</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This Agreement may also be executed and delivered by facsimile signature, email signature, or other form of electronic transmission.</w:t>
      </w:r>
    </w:p>
    <w:p>
      <w:pPr>
        <w:spacing w:after="0" w:line="68"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for convenience only and are not to be considered in construing or interpreting this Agreement.</w:t>
      </w:r>
    </w:p>
    <w:p>
      <w:pPr>
        <w:spacing w:after="0" w:line="54"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given or made pursuant to this Agreement shall be in writing and shall be deemed effectively given: (a) upon personal delivery to the party to be notified; (b) when sent, if sent by confirmed electronic mail or facsimile and sent during normal business hours of the recipient, and if not so confirmed, then on the next Business Day; (c) five (5) days after having been sent by registered or certified mail, return receipt requested, postage prepaid; or (d) one (1) Business Day after the Business Day of deposit with a nationally recognized overnight courier, freight prepaid, specifying next Business Day delivery, with written verification of receipt. All communications shall be sent to the respective parties at their addresses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If notice is given to the Company, a copy, which shall not constitute notice, shall also be sent to Effie Toshav and Matthew Rossiter at Fenwick &amp; West LLP, 555 California Street, San Francisco, CA 94104.</w:t>
      </w:r>
    </w:p>
    <w:p>
      <w:pPr>
        <w:spacing w:after="0" w:line="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Any term of this Agreement, including without limitation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may be amended and the observance of any term of this Agreement may be waived (either generally or in a particular instance, and either retroactively or prospectively) only with the written consent of the Company and the holders of at least a majority of the Registrable Securities then outstanding;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Company may in its sole discretion waive compliance with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(and the Company’s failure to object promptly in writing after notification of a proposed assignment allegedly in violation of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shall be deemed to be a waiver); and provided further that any provision hereof may be waived by any waiving party on such party’s own behalf, without the consent of any other party. Notwithstanding the foregoing, (i)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a particular transaction shall be deemed to apply to all Investors in the same fashion if such waiver does so by its terms,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22" w:name="page323"/>
    <w:bookmarkEnd w:id="322"/>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the fact that certain Investors may nonetheless, by agreement with the Company, purchase securities in such transaction), (ii) Section 4.1(b) may not be amended, modified or waived without the written consent of TRV, and (iii) the Company’s compliance with Section 4.1(g) may not be waived with respect to any Investor without the written consent of such Investor.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81" w:lineRule="exact"/>
        <w:rPr>
          <w:sz w:val="20"/>
          <w:szCs w:val="20"/>
          <w:color w:val="auto"/>
        </w:rPr>
      </w:pPr>
    </w:p>
    <w:p>
      <w:pPr>
        <w:jc w:val="both"/>
        <w:ind w:right="4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7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Aggregation of Stock</w:t>
      </w:r>
      <w:r>
        <w:rPr>
          <w:rFonts w:ascii="Times New Roman" w:cs="Times New Roman" w:eastAsia="Times New Roman" w:hAnsi="Times New Roman"/>
          <w:sz w:val="18"/>
          <w:szCs w:val="18"/>
          <w:color w:val="auto"/>
        </w:rPr>
        <w:t>. All shares of Registrable Securities held or acquired by Affiliates shall be aggregated together for the purpose of determining the availability of any rights under this Agreement and such Affiliated Person may apportion such rights as among themselves in any manner they deem appropriate.</w:t>
      </w:r>
    </w:p>
    <w:p>
      <w:pPr>
        <w:spacing w:after="0" w:line="68"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Additional Investors</w:t>
      </w:r>
      <w:r>
        <w:rPr>
          <w:rFonts w:ascii="Times New Roman" w:cs="Times New Roman" w:eastAsia="Times New Roman" w:hAnsi="Times New Roman"/>
          <w:sz w:val="18"/>
          <w:szCs w:val="18"/>
          <w:color w:val="auto"/>
        </w:rPr>
        <w:t>. Notwithstanding anything to the contrary contained herein, if after the date hereof the Company issues additional shares of the Preferred Stock to a Person who is not already a party to this Agreement (any such person, a “</w:t>
      </w:r>
      <w:r>
        <w:rPr>
          <w:rFonts w:ascii="Times New Roman" w:cs="Times New Roman" w:eastAsia="Times New Roman" w:hAnsi="Times New Roman"/>
          <w:sz w:val="18"/>
          <w:szCs w:val="18"/>
          <w:b w:val="1"/>
          <w:bCs w:val="1"/>
          <w:color w:val="auto"/>
        </w:rPr>
        <w:t>New Investor</w:t>
      </w:r>
      <w:r>
        <w:rPr>
          <w:rFonts w:ascii="Times New Roman" w:cs="Times New Roman" w:eastAsia="Times New Roman" w:hAnsi="Times New Roman"/>
          <w:sz w:val="18"/>
          <w:szCs w:val="18"/>
          <w:color w:val="auto"/>
        </w:rPr>
        <w:t xml:space="preserve">”), as a condition to the issuance of such shares the Company shall require that such New Investor become a party to this Agreement by executing and delivering a counterpart signature page or joinder agreement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to this Agreement shall be updated to reflect the issuance of Preferred Stock to a New Investor.</w:t>
      </w:r>
    </w:p>
    <w:p>
      <w:pPr>
        <w:spacing w:after="0" w:line="8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7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(with respect to the Company’s failure to object promptly to a transfer),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23" w:name="page324"/>
    <w:bookmarkEnd w:id="323"/>
    <w:p>
      <w:pPr>
        <w:ind w:left="4" w:right="1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6.12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94"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7"/>
          <w:szCs w:val="17"/>
          <w:color w:val="auto"/>
        </w:rPr>
        <w:t>Any unresolved controversy or claim arising out of or relating to this Agreement, except as (i) otherwise provided in this Agreement, or (ii) any such controversies or claims arising out of either party’s intellectual property rights for which a provisional remedy or equitable relief is sought, shall be submitted to arbitration by one arbitrator mutually agreed upon by the parties, and if no agreement can be reached within thirty (30) days after names of potential arbitrators have been proposed by the American Arbitration Association (the “</w:t>
      </w:r>
      <w:r>
        <w:rPr>
          <w:rFonts w:ascii="Times New Roman" w:cs="Times New Roman" w:eastAsia="Times New Roman" w:hAnsi="Times New Roman"/>
          <w:sz w:val="17"/>
          <w:szCs w:val="17"/>
          <w:b w:val="1"/>
          <w:bCs w:val="1"/>
          <w:color w:val="auto"/>
        </w:rPr>
        <w:t>AAA</w:t>
      </w:r>
      <w:r>
        <w:rPr>
          <w:rFonts w:ascii="Times New Roman" w:cs="Times New Roman" w:eastAsia="Times New Roman" w:hAnsi="Times New Roman"/>
          <w:sz w:val="17"/>
          <w:szCs w:val="17"/>
          <w:color w:val="auto"/>
        </w:rPr>
        <w:t>”), then by one arbitrator having reasonable experience in corporate finance transactions of the type provided for in this Agreement and who is chosen by the AAA. The arbitration shall take place in Boston, Massachusetts, in accordance with the AAA rules then in effect, and judgment upon any award rendered in such arbitration will be binding and may be entered in any court having jurisdiction thereof. There shall be limited discovery prior to the arbitration hearing as follows: (a) exchange of witness lists and copies of documentary evidence and documents relating to or arising out of the issues to be arbitrated, (b) depositions of all party witnesses, and</w:t>
      </w:r>
    </w:p>
    <w:p>
      <w:pPr>
        <w:ind w:left="4" w:right="240" w:hanging="4"/>
        <w:spacing w:after="0" w:line="255" w:lineRule="auto"/>
        <w:tabs>
          <w:tab w:leader="none" w:pos="24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depositions as may be allowed by the arbitrators upon a showing of good cause. Depositions shall be conducted in accordance with the Massachusetts Code of Civil Procedure, the arbitrator shall be required to provide in writing to the parties the basis for the award or order of such arbitrator, and a court reporter shall record all hearings, with such record constituting the official transcript of such proceedings.</w:t>
      </w:r>
    </w:p>
    <w:p>
      <w:pPr>
        <w:spacing w:after="0" w:line="18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prevailing party shall be entitled to reasonable attorney’s fees, costs, and necessary disbursements in addition to any other relief to which such party may be entitled. Each of the parties to this Agreement consents to personal jurisdiction for any equitable action sought in the U.S. District Court for the District of Massachusetts or any court of the Commonwealth of Massachusetts having subject matter jurisdiction.</w:t>
      </w:r>
    </w:p>
    <w:p>
      <w:pPr>
        <w:spacing w:after="0" w:line="1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70" w:right="47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Jason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Jason Coloma</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MATRIX CAPITAL MANAGEMENT MASTER FUND</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18415</wp:posOffset>
            </wp:positionV>
            <wp:extent cx="257175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David Goel</w:t>
      </w:r>
    </w:p>
    <w:p>
      <w:pPr>
        <w:spacing w:after="0" w:line="27"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Managing General 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Email:</w:t>
      </w:r>
    </w:p>
    <w:p>
      <w:pPr>
        <w:spacing w:after="0" w:line="2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20"/>
          </w:cols>
          <w:pgMar w:left="880" w:top="270" w:right="49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GENERAL CATALYST GROUP XI – ENDURANCE,</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L.P.</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General Catalyst Partners XI – Endurance, L.P., its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General Catalyst Endurance GP XI, LLC, its General</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Partner</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Christopher McCain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Christopher McCain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ANDREESSEN HOROWITZ LSV FUND II, L.P.</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for itself and as nominee for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Andreessen Horowitz LSV Fund II-B, L.P. and</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Andreessen Horowitz LSV Fund II-Q, L.P.</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AH Equity Partners LSV II,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Scott Kupor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Scott Kupor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GLOBAL BIO GROWTH FUND III</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co-managing partners</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NS Investment Co., Ltd.</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Taekyoung 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Taekyoung Sohn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Dong-Yu Technology Investment Co., Ltd.</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Jae Beom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Jae Beom Lee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CEO</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Paratus Investment Co., Ltd.</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Chanho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Chanho Lee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CASDIN PRIVATE GROWTH EQUITY FUND II, L.P.</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Casdin Private Growth Equity Fund II GP,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Kevin O’Brien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460"/>
          </w:cols>
          <w:pgMar w:left="880" w:top="270" w:right="55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CASDIN PARTNERS MASTER FUND, L.P.</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Casdin Partners GP,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Kevin O’Brien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MOORE STRATEGIC VENTURES, LLC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Scott Dinnell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Scott Dinnell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Controller</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TERRA MAGNUM FUND I LP</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Hongxia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Hongxia Wang</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TERRA MAGNUM SIGMA LLC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Hongxia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Hongxia Wang</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Signer</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HARVARD MANAGEMENT PRIVATE EQUITY</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Richard Slocum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Richard Slocum</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Kathryn Murtagh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Kathryn Murtagh</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FIFTH AVENUE PRIVATE EQUITY 16 LLC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Lisa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Lisa Corcoran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Title: Managing Director of Bessemer Trust Company, N.A.,</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Advisor</w:t>
      </w:r>
    </w:p>
    <w:p>
      <w:pPr>
        <w:spacing w:after="0" w:line="2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540"/>
          </w:cols>
          <w:pgMar w:left="880" w:top="270" w:right="47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SCUBED CAPITAL, LLC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Mark Stevens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Partner</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PH INVESTMENTS, LLC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Melinda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Melinda Barber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SOBRATO CAPITAL,</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 DBA of Sobrato Family Holdings,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 California limited liability company</w:t>
      </w:r>
    </w:p>
    <w:p>
      <w:pPr>
        <w:spacing w:after="0" w:line="2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Christy 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Christy N. Richardson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Investment Officer</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PORTLAND INVESTMENT – EP, LLC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B. Weden,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B. Weden, III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Corporate Director, Investment Operations</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PORTLAND INVESTMENT – PIA LLC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B. Weden,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B. Weden, III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Corporate Director, Investment Operations</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THE WASHINGTON UNIVERSITY</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Scott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Scott L. Wilson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Investment Officer</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BEALE HOLDINGS, LLC</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R. Covin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David R. Covin</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VENTURE CAPITAL PORTFOLIO 2020 LP</w:t>
      </w:r>
    </w:p>
    <w:p>
      <w:pPr>
        <w:spacing w:after="0" w:line="2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Louis D.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Louis D. Thorne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PIPER HEARTLAND HEALTHCARE CROSSOVER</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FUND I, L.P.</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By: PIPER HEARTLAND HEALTHCARE CAPITAL</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MANAGAGEMENT LLC, its general partner</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Matthew S. Hemsley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Matthew S. Hemsley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80"/>
          </w:cols>
          <w:pgMar w:left="880" w:top="270" w:right="6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CHARLES HOMCY</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Charles Homcy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3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ARCH VENTURE FUND X,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ARCH Venture Partners X, L.P.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ARCH Venture Partners X,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Mark McDonnell</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ARCH VENTURE FUND X OVERAGE,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ARCH Venture Partners X Overage, L.P.</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ARCH Venture Partners X, LLC</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Mark McDonnell</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GV 2019,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GV 2019 GP, L.P., its General Partner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GV 2019 GP, L.L.C., its General Partner</w:t>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Inga Goldbard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Inga Goldbard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Amended and Restated Investors’ Rights Agreement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THIRD ROCK VENTURES IV,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Third Rock Ventures GP IV, L.P.,</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TRV GP IV, its general partner</w:t>
      </w:r>
    </w:p>
    <w:p>
      <w:pPr>
        <w:spacing w:after="0" w:line="2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Kevin Gillis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Partner and Chief Operating Officer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THIRD ROCK VENTURES V, L.P.</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Third Rock Ventures GP V, L.P.,</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TRV GP V, its general partner</w:t>
      </w:r>
    </w:p>
    <w:p>
      <w:pPr>
        <w:spacing w:after="0" w:line="2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Kevin Gillis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Partner and Chief Operating Officer</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 to Amended and Restated Investors’ Rights Agreement]</w:t>
      </w:r>
    </w:p>
    <w:p>
      <w:pPr>
        <w:sectPr>
          <w:pgSz w:w="11900" w:h="16838" w:orient="portrait"/>
          <w:cols w:equalWidth="0" w:num="1">
            <w:col w:w="10360"/>
          </w:cols>
          <w:pgMar w:left="880" w:top="270" w:right="659" w:bottom="1440" w:gutter="0" w:footer="0" w:header="0"/>
        </w:sectPr>
      </w:pPr>
    </w:p>
    <w:bookmarkStart w:id="347" w:name="page348"/>
    <w:bookmarkEnd w:id="34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ectPr>
          <w:pgSz w:w="11900" w:h="16838" w:orient="portrait"/>
          <w:cols w:equalWidth="0" w:num="1">
            <w:col w:w="9019"/>
          </w:cols>
          <w:pgMar w:left="1440" w:top="266" w:right="1440" w:bottom="1440" w:gutter="0" w:footer="0" w:header="0"/>
        </w:sectPr>
      </w:pPr>
    </w:p>
    <w:bookmarkStart w:id="348" w:name="page349"/>
    <w:bookmarkEnd w:id="348"/>
    <w:p>
      <w:pPr>
        <w:ind w:left="1018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NEITHER THIS NOTE NOR THE SECURITIES ISSUABLE UPON CONVERSION OF THIS NOTE HAVE BEEN REGISTERED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i w:val="1"/>
          <w:iCs w:val="1"/>
          <w:color w:val="auto"/>
        </w:rPr>
        <w:t>”), OR UNDER THE SECURITIES LAWS OF APPLICABLE STATES. THIS NOTE AND SUCH SECURITIES ARE SUBJECT TO RESTRICTIONS ON TRANSFERABILITY AND RESALE AND MAY NOT BE TRANSFERRED OR RESOLD EXCEPT AS PERMITTED UNDER THE ACT AND THE APPLICABLE STATE SECURITIES LAWS, PURSUANT TO REGISTRATION UNDER SUCH LAWS OR AN EXEMPTION FROM SUCH REGISTRATION REQUIREMENTS. INVESTORS SHOULD BE AWARE THAT THEY MAY BE REQUIRED TO BEAR THE FINANCIAL RISKS OF THIS INVESTMENT FOR AN INDEFINITE PERIOD OF TIME. THE ISSUER OF THIS NOTE AND ANY SECURITIES ISSUABLE UPON CONVERSION OF THIS NOTE MAY REQUIRE AN OPINION OF COUNSEL IN FORM AND SUBSTANCE SATISFACTORY TO THE ISSUER TO THE EFFECT THAT ANY PROPOSED TRANSFER OR RESALE IS IN COMPLIANCE WITH THE ACT AND ALL APPLICABLE STATE SECURITIES LAWS. THIS CONVERTIBLE PROMISSORY NOTE (AND ALL PAYMENT AND ENFORCEMENT PROVISIONS HEREIN) IS SUBJECT TO THE TERMS AND CONDITIONS OF THAT CERTAIN A SUBORDINATION AGREEMENT WITH PACIFIC WESTERN BANK. ANY ASSIGNMENT OR TRANSFER OF THIS CONVERIBLE PROMISSORY NOTE SHALL BE SUBJECT TO THE SUBORDINATION AGREEMENT. IN THE EVENT OF ANY INCONSISTENCY BETWEEN THIS CONVERTIBLE PROMISSORY NOTE AND THE SUBORDINATION AGREEMENT, THE TERMS OF THE SUBORDINATION AGREEMENT SHALL CONTROL.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SUBORDINATED CONVERTIBLE PROMISSORY NOTE</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 of 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Made as of</w:t>
      </w:r>
    </w:p>
    <w:p>
      <w:pPr>
        <w:spacing w:after="0" w:line="218"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14"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Subject to the terms and conditions of this Note, for value received,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chief executive offices at 171 Oyster Point Blvd Ste 300, South San Francisco, CA 94080, hereby promises to pay to the undersigned holder or registered assigns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the principal sum of     ($    ), or such lesser amount as shall then equal the outstanding principal amount hereunder, together with interest accrued on the unpaid principal amount at the Applicable Rate (as defined below), compounded annually. Interest shall begin to accrue on the date of this Note and shall continue to accrue on the outstanding principal amount until the entire Balance is paid (or converted, as provided in Section 6), and shall be computed based on the actual number of days elapsed and on a year of 365 days.</w:t>
      </w:r>
    </w:p>
    <w:p>
      <w:pPr>
        <w:spacing w:after="0" w:line="18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Note has been issued pursuant to that certain Convertible Note Purchase Agreement, dated as of December 15, 2023 (as may be amended from time to time,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by and among the Company, the original holder of this Note and certain other investors and is subject to the provisions of the Purchase Agreement. This note is subordinated to Pacific Western Bank, a California state-chartered bank, pursuant to the Subordination Agreement (as defined in the Purchase Agreement) The following is a statement of the rights of Holder and the terms and conditions to which this Note is subject, and to which the Holder hereof, by the acceptance of this Note, agrees.</w:t>
      </w:r>
    </w:p>
    <w:p>
      <w:pPr>
        <w:spacing w:after="0" w:line="71" w:lineRule="exact"/>
        <w:rPr>
          <w:sz w:val="20"/>
          <w:szCs w:val="20"/>
          <w:color w:val="auto"/>
        </w:rPr>
      </w:pPr>
    </w:p>
    <w:p>
      <w:pPr>
        <w:ind w:left="620" w:hanging="184"/>
        <w:spacing w:after="0"/>
        <w:tabs>
          <w:tab w:leader="none" w:pos="62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w:t>
      </w:r>
      <w:r>
        <w:rPr>
          <w:rFonts w:ascii="Times New Roman" w:cs="Times New Roman" w:eastAsia="Times New Roman" w:hAnsi="Times New Roman"/>
          <w:sz w:val="18"/>
          <w:szCs w:val="18"/>
          <w:color w:val="auto"/>
        </w:rPr>
        <w:t>. The following definitions shall apply for purposes of this Note.</w:t>
      </w:r>
    </w:p>
    <w:p>
      <w:pPr>
        <w:spacing w:after="0" w:line="225" w:lineRule="exact"/>
        <w:rPr>
          <w:sz w:val="20"/>
          <w:szCs w:val="20"/>
          <w:color w:val="auto"/>
        </w:rPr>
      </w:pPr>
    </w:p>
    <w:p>
      <w:pPr>
        <w:ind w:right="3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Actual Conversion Amount</w:t>
      </w:r>
      <w:r>
        <w:rPr>
          <w:rFonts w:ascii="Times New Roman" w:cs="Times New Roman" w:eastAsia="Times New Roman" w:hAnsi="Times New Roman"/>
          <w:sz w:val="18"/>
          <w:szCs w:val="18"/>
          <w:color w:val="auto"/>
        </w:rPr>
        <w:t>” means all (or if permitted by the terms of this Note, that lesser portion) of the Balance actually converted into Conversion Stock pursuant to Section 6.1, Section 6.2, or Section 6.3, as applicable, on an Actual Conversion Date, including, if accrued interest and expenses convert pursuant to the terms of this Note, interest and expenses accrued through such Actual Conversion Date and actually converted into Conversion Stock.</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349" w:name="page350"/>
    <w:bookmarkEnd w:id="349"/>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Actual Conversion Date</w:t>
      </w:r>
      <w:r>
        <w:rPr>
          <w:rFonts w:ascii="Times New Roman" w:cs="Times New Roman" w:eastAsia="Times New Roman" w:hAnsi="Times New Roman"/>
          <w:sz w:val="18"/>
          <w:szCs w:val="18"/>
          <w:color w:val="auto"/>
        </w:rPr>
        <w:t>” means a date on which all (or if permitted by this Note, a lesser portion) of the Balance of this Note is converted pursuant to Section 6.1, Section 6.2, or Section 6.3, as applicable.</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has the meaning ascribed to it in Rule 144 promulgated under the Securities Act. “</w:t>
      </w:r>
      <w:r>
        <w:rPr>
          <w:rFonts w:ascii="Times New Roman" w:cs="Times New Roman" w:eastAsia="Times New Roman" w:hAnsi="Times New Roman"/>
          <w:sz w:val="18"/>
          <w:szCs w:val="18"/>
          <w:b w:val="1"/>
          <w:bCs w:val="1"/>
          <w:i w:val="1"/>
          <w:iCs w:val="1"/>
          <w:color w:val="auto"/>
        </w:rPr>
        <w:t>Applicable Rate</w:t>
      </w:r>
      <w:r>
        <w:rPr>
          <w:rFonts w:ascii="Times New Roman" w:cs="Times New Roman" w:eastAsia="Times New Roman" w:hAnsi="Times New Roman"/>
          <w:sz w:val="18"/>
          <w:szCs w:val="18"/>
          <w:color w:val="auto"/>
        </w:rPr>
        <w:t>” means a rate equal to the lower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Highest Lawful Rate; and (b) eight percent (8%) per annum.</w:t>
      </w:r>
    </w:p>
    <w:p>
      <w:pPr>
        <w:spacing w:after="0" w:line="9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Balance</w:t>
      </w:r>
      <w:r>
        <w:rPr>
          <w:rFonts w:ascii="Times New Roman" w:cs="Times New Roman" w:eastAsia="Times New Roman" w:hAnsi="Times New Roman"/>
          <w:sz w:val="18"/>
          <w:szCs w:val="18"/>
          <w:color w:val="auto"/>
        </w:rPr>
        <w:t>” means, at the applicable time, the sum of all then outstanding principal of this Note, all then accrued but unpaid interest and all other amounts (including fees and expenses) then accrued but unpaid under this Note.</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weekday on which banks are open for general banking business in San Francisco, California.</w:t>
      </w:r>
    </w:p>
    <w:p>
      <w:pPr>
        <w:spacing w:after="0" w:line="117"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a Deemed Liquidation Event (as defined in the Company’s Amended and Restated Certificate of Incorporation, as amended from time to time).</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Company’s Common Stock, $0.001 par value per share.</w:t>
      </w:r>
    </w:p>
    <w:p>
      <w:pPr>
        <w:spacing w:after="0" w:line="117" w:lineRule="exact"/>
        <w:rPr>
          <w:sz w:val="20"/>
          <w:szCs w:val="20"/>
          <w:color w:val="auto"/>
        </w:rPr>
      </w:pPr>
    </w:p>
    <w:p>
      <w:pPr>
        <w:ind w:right="2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shall include, in addition to the Company identified in the opening paragraph of this Note, any corporation or other entity which succeeds to the Company’s obligations under this Note, whether by permitted assignment, by merger or consolidation, operation of law or otherwise.</w:t>
      </w:r>
    </w:p>
    <w:p>
      <w:pPr>
        <w:spacing w:after="0" w:line="24"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means (a) if the Conversion Stock is Next Financing Stock, an amount per share equal to the lesser of the Next Financing Price and the Series C Price, (b) if the Conversion Stock is Series C Preferred Stock, the Series C Price, and (c) if the Conversion Stock is Qualified IPO Stock, an amount equal to the Qualified IPO Price. The Conversion Price is subject to adjustment as provided herein.</w:t>
      </w:r>
    </w:p>
    <w:p>
      <w:pPr>
        <w:spacing w:after="0" w:line="6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Stock</w:t>
      </w:r>
      <w:r>
        <w:rPr>
          <w:rFonts w:ascii="Times New Roman" w:cs="Times New Roman" w:eastAsia="Times New Roman" w:hAnsi="Times New Roman"/>
          <w:sz w:val="18"/>
          <w:szCs w:val="18"/>
          <w:color w:val="auto"/>
        </w:rPr>
        <w:t>” means (a) if the Balance is converted pursuant to the terms of Section 6.1, the Company’s capital stock that is sold by the Company in the Next Financing having the identical rights, privileges, preferences and restrictions as the shares of capital stock sold to new money investors in the Next Financing, other than with respect to: (i) the per share liquidation preference and the initial conversion price for purposes of price-based anti-dilution protection, which will equal the Conversion Price; and (ii) the basis for any dividend rights, which will be based on the Conversion Price (“</w:t>
      </w:r>
      <w:r>
        <w:rPr>
          <w:rFonts w:ascii="Times New Roman" w:cs="Times New Roman" w:eastAsia="Times New Roman" w:hAnsi="Times New Roman"/>
          <w:sz w:val="18"/>
          <w:szCs w:val="18"/>
          <w:b w:val="1"/>
          <w:bCs w:val="1"/>
          <w:i w:val="1"/>
          <w:iCs w:val="1"/>
          <w:color w:val="auto"/>
        </w:rPr>
        <w:t>Next Financing Stock</w:t>
      </w:r>
      <w:r>
        <w:rPr>
          <w:rFonts w:ascii="Times New Roman" w:cs="Times New Roman" w:eastAsia="Times New Roman" w:hAnsi="Times New Roman"/>
          <w:sz w:val="18"/>
          <w:szCs w:val="18"/>
          <w:color w:val="auto"/>
        </w:rPr>
        <w:t>”); (b) if the Balance is converted pursuant to the terms of Section 6.2, the Series C Preferred Stock, and (c) if the Balance is converted pursuant to the terms of Section 6.3, the Common Stock issuable upon the closing of a Qualified IPO (the “</w:t>
      </w:r>
      <w:r>
        <w:rPr>
          <w:rFonts w:ascii="Times New Roman" w:cs="Times New Roman" w:eastAsia="Times New Roman" w:hAnsi="Times New Roman"/>
          <w:sz w:val="18"/>
          <w:szCs w:val="18"/>
          <w:b w:val="1"/>
          <w:bCs w:val="1"/>
          <w:i w:val="1"/>
          <w:iCs w:val="1"/>
          <w:color w:val="auto"/>
        </w:rPr>
        <w:t>Qualified IPO Stock</w:t>
      </w:r>
      <w:r>
        <w:rPr>
          <w:rFonts w:ascii="Times New Roman" w:cs="Times New Roman" w:eastAsia="Times New Roman" w:hAnsi="Times New Roman"/>
          <w:sz w:val="18"/>
          <w:szCs w:val="18"/>
          <w:color w:val="auto"/>
        </w:rPr>
        <w:t>”). The number and character of shares of Conversion Stock are subject to adjustment as provided in this Note and the term “</w:t>
      </w:r>
      <w:r>
        <w:rPr>
          <w:rFonts w:ascii="Times New Roman" w:cs="Times New Roman" w:eastAsia="Times New Roman" w:hAnsi="Times New Roman"/>
          <w:sz w:val="18"/>
          <w:szCs w:val="18"/>
          <w:b w:val="1"/>
          <w:bCs w:val="1"/>
          <w:i w:val="1"/>
          <w:iCs w:val="1"/>
          <w:color w:val="auto"/>
        </w:rPr>
        <w:t>Conversion Stock</w:t>
      </w:r>
      <w:r>
        <w:rPr>
          <w:rFonts w:ascii="Times New Roman" w:cs="Times New Roman" w:eastAsia="Times New Roman" w:hAnsi="Times New Roman"/>
          <w:sz w:val="18"/>
          <w:szCs w:val="18"/>
          <w:color w:val="auto"/>
        </w:rPr>
        <w:t>” shall include the stock and other securities and property that are, on an Actual Conversion Date, receivable or issuable upon such conversion of this Note in accordance with its terms.</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has the meaning set forth in Section 5.</w:t>
      </w:r>
    </w:p>
    <w:p>
      <w:pPr>
        <w:spacing w:after="0" w:line="117"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Financing Document</w:t>
      </w:r>
      <w:r>
        <w:rPr>
          <w:rFonts w:ascii="Times New Roman" w:cs="Times New Roman" w:eastAsia="Times New Roman" w:hAnsi="Times New Roman"/>
          <w:sz w:val="18"/>
          <w:szCs w:val="18"/>
          <w:color w:val="auto"/>
        </w:rPr>
        <w:t>” means each of this Note, the Notes, the Purchase Agreement, and any document entered into, executed or delivered under or in connection with, or for the purpose of amending, any of such documents.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350" w:name="page351"/>
    <w:bookmarkEnd w:id="350"/>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Highest Lawful Rate</w:t>
      </w:r>
      <w:r>
        <w:rPr>
          <w:rFonts w:ascii="Times New Roman" w:cs="Times New Roman" w:eastAsia="Times New Roman" w:hAnsi="Times New Roman"/>
          <w:sz w:val="18"/>
          <w:szCs w:val="18"/>
          <w:color w:val="auto"/>
        </w:rPr>
        <w:t>” means the maximum non-usurious rate of interest, as in effect from time to time, which may be charged, contracted for, reserved, received or collected by Holder in connection with this Note under applicable law.</w:t>
      </w:r>
    </w:p>
    <w:p>
      <w:pPr>
        <w:spacing w:after="0" w:line="47"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Lost Note Documentation</w:t>
      </w:r>
      <w:r>
        <w:rPr>
          <w:rFonts w:ascii="Times New Roman" w:cs="Times New Roman" w:eastAsia="Times New Roman" w:hAnsi="Times New Roman"/>
          <w:sz w:val="18"/>
          <w:szCs w:val="18"/>
          <w:color w:val="auto"/>
        </w:rPr>
        <w:t>” means documentation satisfactory to the Company with regard to a lost or stolen Note, including, if required by the Company, an affidavit of lost note and an indemnification agreement by Holder in favor of the Company with respect to such lost or stolen Note.</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Majority Holders</w:t>
      </w:r>
      <w:r>
        <w:rPr>
          <w:rFonts w:ascii="Times New Roman" w:cs="Times New Roman" w:eastAsia="Times New Roman" w:hAnsi="Times New Roman"/>
          <w:sz w:val="18"/>
          <w:szCs w:val="18"/>
          <w:color w:val="auto"/>
        </w:rPr>
        <w:t>” has the meaning set forth for such term in Section 7.8 of the Purchase Agreement.</w:t>
      </w:r>
    </w:p>
    <w:p>
      <w:pPr>
        <w:spacing w:after="0" w:line="11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xml:space="preserve">” means the earliest of (a) December 15, 2026 (b) the Next Financing, (c) a Change of Control, or (d) the time at which the Balance of this Note is due and payable upon an Event of Default;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if the Event of Default is cured as permitted in this Note, then the Maturity Date shall not thereafter be deemed to have occurred with regard to such Event of Default under this clause (d).</w:t>
      </w:r>
    </w:p>
    <w:p>
      <w:pPr>
        <w:spacing w:after="0" w:line="63"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Next Financing</w:t>
      </w:r>
      <w:r>
        <w:rPr>
          <w:rFonts w:ascii="Times New Roman" w:cs="Times New Roman" w:eastAsia="Times New Roman" w:hAnsi="Times New Roman"/>
          <w:sz w:val="18"/>
          <w:szCs w:val="18"/>
          <w:color w:val="auto"/>
        </w:rPr>
        <w:t>” means the Company’s next sale of its Preferred Stock in a single transaction or in a series of related transactions in each case occurring on or before the Maturity Date, for an aggregate gross purchase price paid to the Company of no less than $50,000,000 (excluding the principal amount of and accrued interest or any other amounts owing on all Notes converted into Conversion Stock in such sale).</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Next Financing Closing</w:t>
      </w:r>
      <w:r>
        <w:rPr>
          <w:rFonts w:ascii="Times New Roman" w:cs="Times New Roman" w:eastAsia="Times New Roman" w:hAnsi="Times New Roman"/>
          <w:sz w:val="18"/>
          <w:szCs w:val="18"/>
          <w:color w:val="auto"/>
        </w:rPr>
        <w:t>” means the initial closing of the Next Financing.</w:t>
      </w:r>
    </w:p>
    <w:p>
      <w:pPr>
        <w:spacing w:after="0" w:line="117"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Next Financing Price</w:t>
      </w:r>
      <w:r>
        <w:rPr>
          <w:rFonts w:ascii="Times New Roman" w:cs="Times New Roman" w:eastAsia="Times New Roman" w:hAnsi="Times New Roman"/>
          <w:sz w:val="18"/>
          <w:szCs w:val="18"/>
          <w:color w:val="auto"/>
        </w:rPr>
        <w:t xml:space="preserve">” means 80%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the lowest per-share selling price of the shares of Next Financing Stock sold by the Company for new cash investment in the Next Financing.</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 means this Subordinated Convertible Promissory Note.</w:t>
      </w:r>
    </w:p>
    <w:p>
      <w:pPr>
        <w:spacing w:after="0" w:line="117"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means a series of subordinated convertible promissory notes aggregating up to $25,000,000.00 in original principal amount issued under the Purchase Agreement, of which this Note is one, each such note containing substantially identical terms and conditions as this Note.</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Principal Balance</w:t>
      </w:r>
      <w:r>
        <w:rPr>
          <w:rFonts w:ascii="Times New Roman" w:cs="Times New Roman" w:eastAsia="Times New Roman" w:hAnsi="Times New Roman"/>
          <w:sz w:val="18"/>
          <w:szCs w:val="18"/>
          <w:color w:val="auto"/>
        </w:rPr>
        <w:t>” means, at the applicable time, all the then outstanding principal of this Note.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IPO Price</w:t>
      </w:r>
      <w:r>
        <w:rPr>
          <w:rFonts w:ascii="Times New Roman" w:cs="Times New Roman" w:eastAsia="Times New Roman" w:hAnsi="Times New Roman"/>
          <w:sz w:val="18"/>
          <w:szCs w:val="18"/>
          <w:color w:val="auto"/>
        </w:rPr>
        <w:t xml:space="preserve">” means 80%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the price per share to the public of the shares of Common Stock issued in the Qualified IPO.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C Preferred Stock</w:t>
      </w:r>
      <w:r>
        <w:rPr>
          <w:rFonts w:ascii="Times New Roman" w:cs="Times New Roman" w:eastAsia="Times New Roman" w:hAnsi="Times New Roman"/>
          <w:sz w:val="18"/>
          <w:szCs w:val="18"/>
          <w:color w:val="auto"/>
        </w:rPr>
        <w:t>” means the Company’s Series C Preferred Stock, $0.001 par value per share.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C Price</w:t>
      </w:r>
      <w:r>
        <w:rPr>
          <w:rFonts w:ascii="Times New Roman" w:cs="Times New Roman" w:eastAsia="Times New Roman" w:hAnsi="Times New Roman"/>
          <w:sz w:val="18"/>
          <w:szCs w:val="18"/>
          <w:color w:val="auto"/>
        </w:rPr>
        <w:t>” means the original issue price of the Series C Preferred Stock, which is $2.9515 per share.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6" w:right="519" w:bottom="1440" w:gutter="0" w:footer="0" w:header="0"/>
        </w:sectPr>
      </w:pPr>
    </w:p>
    <w:bookmarkStart w:id="351" w:name="page352"/>
    <w:bookmarkEnd w:id="351"/>
    <w:p>
      <w:pPr>
        <w:ind w:left="620" w:hanging="184"/>
        <w:spacing w:after="0"/>
        <w:tabs>
          <w:tab w:leader="none" w:pos="62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AT MATURITY DATE;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Payment at Maturity Date</w:t>
      </w:r>
      <w:r>
        <w:rPr>
          <w:rFonts w:ascii="Times New Roman" w:cs="Times New Roman" w:eastAsia="Times New Roman" w:hAnsi="Times New Roman"/>
          <w:sz w:val="18"/>
          <w:szCs w:val="18"/>
          <w:color w:val="auto"/>
        </w:rPr>
        <w:t>. If this Note has not been previously converted (as provided in Section 6), then the principal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all accrued and unpaid interest and all other amounts accrued under this Note shall be due and payable in full on the Maturity Date. Payment on this Note shall be made, at the election of the Holder, by (a) a check payable to the Holder by mail to the address of the Holder of this Note (specified in the Schedule of Investors attached to the Purchase Agreement) or such other place as the Holder of this Note may designate in writing to the Company, (b) wire transfer of funds by the Holder, or (c) any combination of the foregoing in lawful money of the United States.</w:t>
      </w:r>
    </w:p>
    <w:p>
      <w:pPr>
        <w:spacing w:after="0" w:line="71" w:lineRule="exact"/>
        <w:rPr>
          <w:sz w:val="20"/>
          <w:szCs w:val="20"/>
          <w:color w:val="auto"/>
        </w:rPr>
      </w:pPr>
    </w:p>
    <w:p>
      <w:pPr>
        <w:ind w:right="10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Payment of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Anything herein to the contrary notwithstanding, if during any period for which interest is computed 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amount of interest computed on the basis provided for in this Note, together with all fees, charges and other payments which are treated as interest under applicable law, as provided for herein or in any other document executed in connection herewith, would exceed the amount of such interest computed on the basis of the Highest Lawful Rate, then the Company shall not be obligated to pay, and Holder shall not be entitled to charge, collect, receive, reserve or take, interest in excess of the Highest Lawful Rate, and during any such period the interest payable hereunder shall be computed on the basis of the Highest Lawful Rate.</w:t>
      </w:r>
    </w:p>
    <w:p>
      <w:pPr>
        <w:spacing w:after="0" w:line="74" w:lineRule="exact"/>
        <w:rPr>
          <w:sz w:val="20"/>
          <w:szCs w:val="20"/>
          <w:color w:val="auto"/>
        </w:rPr>
      </w:pPr>
    </w:p>
    <w:p>
      <w:pPr>
        <w:ind w:right="2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color w:val="auto"/>
        </w:rPr>
        <w:t>. If the Company consummates a Change of Control prior to the payment or conversion of the entire Balance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under Section 6.1, Section 6.2 or Section 6.3 hereof and prior to the Maturity Date, then upon the closing of such Change of Control, Holder shall be entitled to receive payment in an amount equal to the entire Balance then outstanding under this Note, prior to any payment to the holders of outstanding capital stock of the Company, but subordinate to any repayment of senior secured indebtedness for borrowed money of the Company, including in the manner and to the extent set forth in the Subordination Agreement.</w:t>
      </w:r>
    </w:p>
    <w:p>
      <w:pPr>
        <w:spacing w:after="0" w:line="71" w:lineRule="exact"/>
        <w:rPr>
          <w:sz w:val="20"/>
          <w:szCs w:val="20"/>
          <w:color w:val="auto"/>
        </w:rPr>
      </w:pPr>
    </w:p>
    <w:p>
      <w:pPr>
        <w:ind w:right="60" w:firstLine="436"/>
        <w:spacing w:after="0" w:line="286" w:lineRule="auto"/>
        <w:tabs>
          <w:tab w:leader="none" w:pos="62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PREPAYMENT</w:t>
      </w:r>
      <w:r>
        <w:rPr>
          <w:rFonts w:ascii="Times New Roman" w:cs="Times New Roman" w:eastAsia="Times New Roman" w:hAnsi="Times New Roman"/>
          <w:sz w:val="18"/>
          <w:szCs w:val="18"/>
          <w:color w:val="auto"/>
        </w:rPr>
        <w:t>. Except with regard to the conversion of this Note under Section 6, the Company may not pay any unpaid Balance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before it becomes due without the prior written consent of the Majority Holders.</w:t>
      </w:r>
    </w:p>
    <w:p>
      <w:pPr>
        <w:spacing w:after="0" w:line="46" w:lineRule="exact"/>
        <w:rPr>
          <w:rFonts w:ascii="Times New Roman" w:cs="Times New Roman" w:eastAsia="Times New Roman" w:hAnsi="Times New Roman"/>
          <w:sz w:val="18"/>
          <w:szCs w:val="18"/>
          <w:b w:val="1"/>
          <w:bCs w:val="1"/>
          <w:color w:val="auto"/>
        </w:rPr>
      </w:pPr>
    </w:p>
    <w:p>
      <w:pPr>
        <w:ind w:firstLine="436"/>
        <w:spacing w:after="0" w:line="255" w:lineRule="auto"/>
        <w:tabs>
          <w:tab w:leader="none" w:pos="62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NOTES PARI PASSU; APPLICATION OF PAYMENTS</w:t>
      </w:r>
      <w:r>
        <w:rPr>
          <w:rFonts w:ascii="Times New Roman" w:cs="Times New Roman" w:eastAsia="Times New Roman" w:hAnsi="Times New Roman"/>
          <w:sz w:val="18"/>
          <w:szCs w:val="18"/>
          <w:color w:val="auto"/>
        </w:rPr>
        <w:t>. Each of the Notes shall rank equally without preference or priority of any kind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over one another, and all payments and recoveries under any other Financing Document payable on account of principal and interest on the Notes shall be paid and applied ratably and proportionately on the Balances of all outstanding Notes on the basis of their original principal amount. Subject to Section 6 and the foregoing provisions of this Section, all payments will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repayment of accrued fees and expenses under this Note, </w:t>
      </w: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to accrued interest until all then outstanding accrued interest has been paid in full, and </w:t>
      </w: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to the repayment of principal until all principal has been paid in full. If after all applications of such payments have been made as provided in this Section, then the remaining amount of such payment that are in either case in excess of the aggregate Balance of all outstanding Notes, shall be returned to the Company. The Notes shall be subordinated to all indebtedness of the Company to banks, commercial financing lenders or other lending institutions regularly engaged in the business of lending money.</w:t>
      </w:r>
    </w:p>
    <w:p>
      <w:pPr>
        <w:spacing w:after="0" w:line="76"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 REMEDIES IN CONCERT</w:t>
      </w:r>
      <w:r>
        <w:rPr>
          <w:rFonts w:ascii="Times New Roman" w:cs="Times New Roman" w:eastAsia="Times New Roman" w:hAnsi="Times New Roman"/>
          <w:sz w:val="18"/>
          <w:szCs w:val="18"/>
          <w:color w:val="auto"/>
        </w:rPr>
        <w:t>. Each of the following events shall constitute an “</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hereunder:</w:t>
      </w:r>
    </w:p>
    <w:p>
      <w:pPr>
        <w:spacing w:after="0" w:line="121" w:lineRule="exact"/>
        <w:rPr>
          <w:rFonts w:ascii="Times New Roman" w:cs="Times New Roman" w:eastAsia="Times New Roman" w:hAnsi="Times New Roman"/>
          <w:sz w:val="18"/>
          <w:szCs w:val="18"/>
          <w:b w:val="1"/>
          <w:bCs w:val="1"/>
          <w:color w:val="auto"/>
        </w:rPr>
      </w:pPr>
    </w:p>
    <w:p>
      <w:pPr>
        <w:ind w:left="440" w:right="600" w:firstLine="419"/>
        <w:spacing w:after="0" w:line="282" w:lineRule="auto"/>
        <w:tabs>
          <w:tab w:leader="none" w:pos="1108"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or the stockholders of the Company adopt a resolution for the dissolution or termination of business of the Company;</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petition in bankruptcy being filed by or against Company or any proceedings in bankruptcy, insolvency or under any other laws relating to the relief of debtors, being commenced for the relief or readjustment of any indebtedness of the Company, either through reorganization, composition, extension or otherwise, and which, in the case of any involuntary proceedings shall be acquiesced to by Company or shall continue for a period of sixty (60) days undismissed, undischarged or unbounded;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352" w:name="page353"/>
    <w:bookmarkEnd w:id="352"/>
    <w:p>
      <w:pPr>
        <w:ind w:left="440" w:right="700" w:firstLine="419"/>
        <w:spacing w:after="0" w:line="282" w:lineRule="auto"/>
        <w:tabs>
          <w:tab w:leader="none" w:pos="110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making by the Company of an assignment for the benefit of creditors or the appointment of a receiver of any property of the Company which shall not be vacated or removed within sixty (60) days after appointment;</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pay timely any of the principal amount due under this Note on the date the same becomes due and payable or fails to pay timely any unpaid accrued interest or other amounts due under this Note on the date the same becomes due and payable; or</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0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Company of the provisions of this Note or the Purchase Agreement, and the Company does not cure such breach within twenty (20) days after written notice thereof has been given by or on behalf of such Holder to the Company.</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Upon the occurrence of any Event of Default, all accrued but unpaid expenses, accrued but unpaid interest, all principal and any other amounts outstanding under this Note shall (i) in the case of any Event of Default under Section 5(b) or 5(c), become immediately due and payable in full without further notice or demand by Holder and (ii) in the case of any Event of Default other than under Section 5(b) or 5(c), become immediately due and payable upon demand by the Holder. In the event of any Event of Default hereunder, the Company shall pay all reasonable attorneys’ fees and court costs incurred by the Holder in enforcing and collecting this Note.</w:t>
      </w:r>
    </w:p>
    <w:p>
      <w:pPr>
        <w:spacing w:after="0" w:line="71" w:lineRule="exact"/>
        <w:rPr>
          <w:sz w:val="20"/>
          <w:szCs w:val="20"/>
          <w:color w:val="auto"/>
        </w:rPr>
      </w:pPr>
    </w:p>
    <w:p>
      <w:pPr>
        <w:ind w:left="620" w:hanging="184"/>
        <w:spacing w:after="0"/>
        <w:tabs>
          <w:tab w:leader="none" w:pos="62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Mandatory Conversion in Next Financing</w:t>
      </w:r>
      <w:r>
        <w:rPr>
          <w:rFonts w:ascii="Times New Roman" w:cs="Times New Roman" w:eastAsia="Times New Roman" w:hAnsi="Times New Roman"/>
          <w:sz w:val="18"/>
          <w:szCs w:val="18"/>
          <w:color w:val="auto"/>
        </w:rPr>
        <w:t>. If the Company has not paid (or converted) the entire Balance before the Next 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then, at the Next Financing Closing, the entire Balance then outstanding shall automatically be cancelled and converted into that number of shares of Conversion Stock obtained by dividing (a) the entire Balance by (b) the Conversion Price then in effect. Such conversion shall be deemed to occur under this Section 6.1 as of immediately prior to the Next Financing Closing, without regard to whether Holder has then delivered to the Company this Note (or the Lost Note Documentation where applicable) and Holder will execute and deliver to the Company at the Next Financing Closing any other documents, including, if applicable, the investors’ rights, co-sale, voting or other agreements, required to be executed by the investors purchasing the Conversion Stock in the Next Financing (the “</w:t>
      </w:r>
      <w:r>
        <w:rPr>
          <w:rFonts w:ascii="Times New Roman" w:cs="Times New Roman" w:eastAsia="Times New Roman" w:hAnsi="Times New Roman"/>
          <w:sz w:val="18"/>
          <w:szCs w:val="18"/>
          <w:b w:val="1"/>
          <w:bCs w:val="1"/>
          <w:i w:val="1"/>
          <w:iCs w:val="1"/>
          <w:color w:val="auto"/>
        </w:rPr>
        <w:t>Next Financing Documents</w:t>
      </w:r>
      <w:r>
        <w:rPr>
          <w:rFonts w:ascii="Times New Roman" w:cs="Times New Roman" w:eastAsia="Times New Roman" w:hAnsi="Times New Roman"/>
          <w:sz w:val="18"/>
          <w:szCs w:val="18"/>
          <w:color w:val="auto"/>
        </w:rPr>
        <w:t>”). The Holder shall thereupon receive all of the rights, preferences and privileges granted to other investors generally in the Next Financing.</w:t>
      </w:r>
    </w:p>
    <w:p>
      <w:pPr>
        <w:spacing w:after="0" w:line="77" w:lineRule="exact"/>
        <w:rPr>
          <w:sz w:val="20"/>
          <w:szCs w:val="20"/>
          <w:color w:val="auto"/>
        </w:rPr>
      </w:pPr>
    </w:p>
    <w:p>
      <w:pPr>
        <w:ind w:right="60" w:firstLine="991"/>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6.2 </w:t>
      </w:r>
      <w:r>
        <w:rPr>
          <w:rFonts w:ascii="Times New Roman" w:cs="Times New Roman" w:eastAsia="Times New Roman" w:hAnsi="Times New Roman"/>
          <w:sz w:val="17"/>
          <w:szCs w:val="17"/>
          <w:b w:val="1"/>
          <w:bCs w:val="1"/>
          <w:u w:val="single" w:color="auto"/>
          <w:color w:val="auto"/>
        </w:rPr>
        <w:t>Optional Conversion</w:t>
      </w:r>
      <w:r>
        <w:rPr>
          <w:rFonts w:ascii="Times New Roman" w:cs="Times New Roman" w:eastAsia="Times New Roman" w:hAnsi="Times New Roman"/>
          <w:sz w:val="17"/>
          <w:szCs w:val="17"/>
          <w:color w:val="auto"/>
        </w:rPr>
        <w:t>. If the Company has not repaid or converted the entire Balance of this Note prior to the Maturity Date, then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time, including after the Maturity Date and prior to the repayment of the entire Balance, Holder shall have the right, at Holder’s option, to convert all of the Balance then outstanding into Conversion Stock at the Conversion Price then in effect by tendering this Note (or Lost Note Documentation, if applicable) for conversion at the chief executive offices of the Company, accompanied by written notice of Holder’s election to convert. Conversion shall be deemed to have occurred under this Section 6.2 at the close of business on the date immediately preceding the tender of the Note (or Lost Note Documentation) and the written notice of election to convert. In connection with a conversion pursuant to this Section 6.2 (the “</w:t>
      </w:r>
      <w:r>
        <w:rPr>
          <w:rFonts w:ascii="Times New Roman" w:cs="Times New Roman" w:eastAsia="Times New Roman" w:hAnsi="Times New Roman"/>
          <w:sz w:val="17"/>
          <w:szCs w:val="17"/>
          <w:b w:val="1"/>
          <w:bCs w:val="1"/>
          <w:i w:val="1"/>
          <w:iCs w:val="1"/>
          <w:color w:val="auto"/>
        </w:rPr>
        <w:t>Optional Conversion</w:t>
      </w:r>
      <w:r>
        <w:rPr>
          <w:rFonts w:ascii="Times New Roman" w:cs="Times New Roman" w:eastAsia="Times New Roman" w:hAnsi="Times New Roman"/>
          <w:sz w:val="17"/>
          <w:szCs w:val="17"/>
          <w:color w:val="auto"/>
        </w:rPr>
        <w:t>”), Holder shall execute and deliver to the Company a stock purchase agreement in the form provided by the Company and reasonably acceptable to the Majority Holders and the investors’ rights agreement, right of first refusal and co-sale agreement and voting agreement, in each case in substantially the same forms as previously entered into by the existing Series C Preferred Stock investors of the Company (the “</w:t>
      </w:r>
      <w:r>
        <w:rPr>
          <w:rFonts w:ascii="Times New Roman" w:cs="Times New Roman" w:eastAsia="Times New Roman" w:hAnsi="Times New Roman"/>
          <w:sz w:val="17"/>
          <w:szCs w:val="17"/>
          <w:b w:val="1"/>
          <w:bCs w:val="1"/>
          <w:i w:val="1"/>
          <w:iCs w:val="1"/>
          <w:color w:val="auto"/>
        </w:rPr>
        <w:t>Optional Conversion Documents</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53" w:name="page354"/>
    <w:bookmarkEnd w:id="353"/>
    <w:p>
      <w:pPr>
        <w:ind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Times New Roman" w:cs="Times New Roman" w:eastAsia="Times New Roman" w:hAnsi="Times New Roman"/>
          <w:sz w:val="18"/>
          <w:szCs w:val="18"/>
          <w:b w:val="1"/>
          <w:bCs w:val="1"/>
          <w:u w:val="single" w:color="auto"/>
          <w:color w:val="auto"/>
        </w:rPr>
        <w:t>Mandatory Conversion of Note Upon Closing of a Qualified Public Offering</w:t>
      </w:r>
      <w:r>
        <w:rPr>
          <w:rFonts w:ascii="Times New Roman" w:cs="Times New Roman" w:eastAsia="Times New Roman" w:hAnsi="Times New Roman"/>
          <w:sz w:val="18"/>
          <w:szCs w:val="18"/>
          <w:color w:val="auto"/>
        </w:rPr>
        <w:t>. If this Note has not been earlier repaid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Section 2 above or previously converted in accordance with this Section 6, then upon the closing of a firm commitment underwritten initial public offering of the Common Stock, pursuant to a registration statement on Form S-1 (as defined in the Securities Act) or any successor form thereto in connection with which all shares of the Company’s Preferred Stock are converted into Common Stock that results in aggregate gross proceeds to the Company of at least $50 million (a “</w:t>
      </w:r>
      <w:r>
        <w:rPr>
          <w:rFonts w:ascii="Times New Roman" w:cs="Times New Roman" w:eastAsia="Times New Roman" w:hAnsi="Times New Roman"/>
          <w:sz w:val="18"/>
          <w:szCs w:val="18"/>
          <w:b w:val="1"/>
          <w:bCs w:val="1"/>
          <w:i w:val="1"/>
          <w:iCs w:val="1"/>
          <w:color w:val="auto"/>
        </w:rPr>
        <w:t>Qualified IPO</w:t>
      </w:r>
      <w:r>
        <w:rPr>
          <w:rFonts w:ascii="Times New Roman" w:cs="Times New Roman" w:eastAsia="Times New Roman" w:hAnsi="Times New Roman"/>
          <w:sz w:val="18"/>
          <w:szCs w:val="18"/>
          <w:color w:val="auto"/>
        </w:rPr>
        <w:t>”), the entire Balance shall be converted automatically into that number of shares of Conversion Stock equal to (a) the entire Balance divided by (b) the Conversion Price then in effect, rounded down to the nearest whole number of shares. In connection with a conversion pursuant to this Section 6.3 (the “</w:t>
      </w:r>
      <w:r>
        <w:rPr>
          <w:rFonts w:ascii="Times New Roman" w:cs="Times New Roman" w:eastAsia="Times New Roman" w:hAnsi="Times New Roman"/>
          <w:sz w:val="18"/>
          <w:szCs w:val="18"/>
          <w:b w:val="1"/>
          <w:bCs w:val="1"/>
          <w:i w:val="1"/>
          <w:iCs w:val="1"/>
          <w:color w:val="auto"/>
        </w:rPr>
        <w:t>IPO Conversion</w:t>
      </w:r>
      <w:r>
        <w:rPr>
          <w:rFonts w:ascii="Times New Roman" w:cs="Times New Roman" w:eastAsia="Times New Roman" w:hAnsi="Times New Roman"/>
          <w:sz w:val="18"/>
          <w:szCs w:val="18"/>
          <w:color w:val="auto"/>
        </w:rPr>
        <w:t>”), Holder shall execute and deliver to the Company any documents including, if applicable, any stockholder agreements, market-standoff agreements or other agreements, required to be executed by the investors in the Qualified IPO (the “</w:t>
      </w:r>
      <w:r>
        <w:rPr>
          <w:rFonts w:ascii="Times New Roman" w:cs="Times New Roman" w:eastAsia="Times New Roman" w:hAnsi="Times New Roman"/>
          <w:sz w:val="18"/>
          <w:szCs w:val="18"/>
          <w:b w:val="1"/>
          <w:bCs w:val="1"/>
          <w:i w:val="1"/>
          <w:iCs w:val="1"/>
          <w:color w:val="auto"/>
        </w:rPr>
        <w:t>IPO Documents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right="220" w:firstLine="991"/>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u w:val="single" w:color="auto"/>
          <w:color w:val="auto"/>
        </w:rPr>
        <w:t>Termination of Rights</w:t>
      </w:r>
      <w:r>
        <w:rPr>
          <w:rFonts w:ascii="Times New Roman" w:cs="Times New Roman" w:eastAsia="Times New Roman" w:hAnsi="Times New Roman"/>
          <w:sz w:val="18"/>
          <w:szCs w:val="18"/>
          <w:color w:val="auto"/>
        </w:rPr>
        <w:t>. Except for the right to obtain certificates representing the Conversion Stock under Section 7, all rights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this Note shall terminate upon the effective conversion of the entire Balance of the Note as provided in Section 6.1, Section 6.2, or</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Section 6.3, whichever is applicable. Notwithstanding the foregoing, Holder agrees to surrender this Note to the Company (or Lost Note Documentation where applicable) as soon as practicable after conversion. In any event, Holder shall not be entitled to receive any stock certificates representing the shares of Conversion Stock issuable upon conversion of this Note unless and until Holder has (i) surrendered the original of this Note (or Lost Note Documentation where applicable) and (ii) executed and delivered to the Company the Next Financing Documents, Optional Conversion Documents, or IPO Documents, as applicable.</w:t>
      </w:r>
    </w:p>
    <w:p>
      <w:pPr>
        <w:spacing w:after="0" w:line="75" w:lineRule="exact"/>
        <w:rPr>
          <w:sz w:val="20"/>
          <w:szCs w:val="20"/>
          <w:color w:val="auto"/>
        </w:rPr>
      </w:pPr>
    </w:p>
    <w:p>
      <w:pPr>
        <w:ind w:right="20" w:firstLine="436"/>
        <w:spacing w:after="0" w:line="254" w:lineRule="auto"/>
        <w:tabs>
          <w:tab w:leader="none" w:pos="62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CERTIFICATES; NO FRACTIONAL SHARES</w:t>
      </w:r>
      <w:r>
        <w:rPr>
          <w:rFonts w:ascii="Times New Roman" w:cs="Times New Roman" w:eastAsia="Times New Roman" w:hAnsi="Times New Roman"/>
          <w:sz w:val="18"/>
          <w:szCs w:val="18"/>
          <w:color w:val="auto"/>
        </w:rPr>
        <w:t>. Subject to Section 6.4, as soon as practicable after conversion of this Note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6.1, Section 6.2, or Section 6.3, as applicable, the Company at its expense will cause to be issued in the name of Holder and to be delivered to Holder, a certificate or certificates for the number of shares of Conversion Stock to which Holder shall be entitled upon such conversion (bearing such legends as may be required by applicable state and federal securities laws in the opinion of legal counsel of the Company, by the Company’s Certificate of Incorporation and Bylaws and by any agreement between the Company and Holder), together with any other securities and property to which Holder is entitled upon such conversion under the terms of this Note. No fractional shares shall be issued upon conversion of this Note. If upon any conversion of this Note (and after aggregating the amounts of all other Notes held by the same Holder which are converted at the same time as this Note), a fraction of a share would otherwise be issued, then in lieu of such fractional share, the Company shall pay to Holder an amount in cash equal to such fraction of a share multiplied by the applicable Conversion Price.</w:t>
      </w:r>
    </w:p>
    <w:p>
      <w:pPr>
        <w:spacing w:after="0" w:line="80" w:lineRule="exact"/>
        <w:rPr>
          <w:rFonts w:ascii="Times New Roman" w:cs="Times New Roman" w:eastAsia="Times New Roman" w:hAnsi="Times New Roman"/>
          <w:sz w:val="18"/>
          <w:szCs w:val="18"/>
          <w:b w:val="1"/>
          <w:bCs w:val="1"/>
          <w:color w:val="auto"/>
        </w:rPr>
      </w:pPr>
    </w:p>
    <w:p>
      <w:pPr>
        <w:jc w:val="both"/>
        <w:ind w:right="140" w:firstLine="436"/>
        <w:spacing w:after="0" w:line="262" w:lineRule="auto"/>
        <w:tabs>
          <w:tab w:leader="none" w:pos="62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PROVISIONS</w:t>
      </w:r>
      <w:r>
        <w:rPr>
          <w:rFonts w:ascii="Times New Roman" w:cs="Times New Roman" w:eastAsia="Times New Roman" w:hAnsi="Times New Roman"/>
          <w:sz w:val="18"/>
          <w:szCs w:val="18"/>
          <w:color w:val="auto"/>
        </w:rPr>
        <w:t>. So long as any of the Balance of this Note remains outstanding and the conversion rights under Section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not terminated, the number and character of shares of Conversion Stock issuable upon conversion of this Note upon an Actual Conversion Date and, to the extent set forth in this Section 8, the Conversion Price therefor, are each subject to adjustment upon each occurrence of an adjustment event described in Sections 8.1 through 8.4 occurring between the date this Note is issued and such Actual Conversion Date:</w:t>
      </w:r>
    </w:p>
    <w:p>
      <w:pPr>
        <w:spacing w:after="0" w:line="68" w:lineRule="exact"/>
        <w:rPr>
          <w:sz w:val="20"/>
          <w:szCs w:val="20"/>
          <w:color w:val="auto"/>
        </w:rPr>
      </w:pPr>
    </w:p>
    <w:p>
      <w:pPr>
        <w:jc w:val="both"/>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Adjustment for Stock Splits and Stock Dividends</w:t>
      </w:r>
      <w:r>
        <w:rPr>
          <w:rFonts w:ascii="Times New Roman" w:cs="Times New Roman" w:eastAsia="Times New Roman" w:hAnsi="Times New Roman"/>
          <w:sz w:val="18"/>
          <w:szCs w:val="18"/>
          <w:color w:val="auto"/>
        </w:rPr>
        <w:t>. The Conversion Price and the number of shares of Conversion Stock shall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proportionally adjusted to reflect any stock dividend, stock split, reverse stock split or other similar event affecting the number of outstanding shares of Conversion Stock without the payment of consideration to the Company therefor at any time before an Actual Conversion Date.</w:t>
      </w:r>
    </w:p>
    <w:p>
      <w:pPr>
        <w:spacing w:after="0" w:line="63"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Adjustment for Other Dividends and Distributions</w:t>
      </w:r>
      <w:r>
        <w:rPr>
          <w:rFonts w:ascii="Times New Roman" w:cs="Times New Roman" w:eastAsia="Times New Roman" w:hAnsi="Times New Roman"/>
          <w:sz w:val="18"/>
          <w:szCs w:val="18"/>
          <w:color w:val="auto"/>
        </w:rPr>
        <w:t>. If the Company shall make or issue, or shall fix a record date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eligible holders of its capital stock entitled to receive, a dividend or other distribution payable with respect to the Conversion Stock that is payable in securities of the Company (other than issuances with respect to which adjustment is made under Sections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354" w:name="page355"/>
    <w:bookmarkEnd w:id="354"/>
    <w:p>
      <w:pPr>
        <w:ind w:right="28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8.1 or 8.3), or in assets (other than cash dividends) (each, a “</w:t>
      </w:r>
      <w:r>
        <w:rPr>
          <w:rFonts w:ascii="Times New Roman" w:cs="Times New Roman" w:eastAsia="Times New Roman" w:hAnsi="Times New Roman"/>
          <w:sz w:val="18"/>
          <w:szCs w:val="18"/>
          <w:b w:val="1"/>
          <w:bCs w:val="1"/>
          <w:i w:val="1"/>
          <w:iCs w:val="1"/>
          <w:color w:val="auto"/>
        </w:rPr>
        <w:t>Dividend Event</w:t>
      </w:r>
      <w:r>
        <w:rPr>
          <w:rFonts w:ascii="Times New Roman" w:cs="Times New Roman" w:eastAsia="Times New Roman" w:hAnsi="Times New Roman"/>
          <w:sz w:val="18"/>
          <w:szCs w:val="18"/>
          <w:color w:val="auto"/>
        </w:rPr>
        <w:t>”), and such dividend or other distribution is actually made, then, and in each such case, Holder, upon conversion of an Actual Conversion Amount at any time after such Dividend Event, shall receive, in addition to the Conversion Stock issuable upon such conversion of the Note, the securities or other assets that would have been issuable to Holder had Holder, immediately prior to such Dividend Event, converted such Actual Conversion Amount into Conversion Stock.</w:t>
      </w:r>
    </w:p>
    <w:p>
      <w:pPr>
        <w:spacing w:after="0" w:line="68"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u w:val="single" w:color="auto"/>
          <w:color w:val="auto"/>
        </w:rPr>
        <w:t>Adjustment for Consolidation or Merger</w:t>
      </w:r>
      <w:r>
        <w:rPr>
          <w:rFonts w:ascii="Times New Roman" w:cs="Times New Roman" w:eastAsia="Times New Roman" w:hAnsi="Times New Roman"/>
          <w:sz w:val="18"/>
          <w:szCs w:val="18"/>
          <w:color w:val="auto"/>
        </w:rPr>
        <w:t>. If the Company shall consolidate with or merge into one or more other corporations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entities, and pursuant to such consolidation or merger stock, other securities or other property is issued or paid to holders of Conversion Stock (each, 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then, and in each such case, Holder, upon conversion of an Actual Conversion Amount after the consummation of such Reorganization Event, shall be entitled to receive (in lieu of the stock or other securities and property that Holder would have been entitled to receive under the terms of this Note upon such conversion but for such Reorganization Event), the stock or other securities or property that Holder would have been entitled to receive upon the consummation of such Reorganization Event if, immediately prior to such Reorganization Event, Holder had converted such Actual Conversion Amount into Conversion Stock, all subject to further adjustment as provided in this Note, and the successor corporation or other successor entity in such Reorganization Event shall duly execute and deliver to Holder a supplement to this Note acknowledging such corporation’s or other entity’s obligations under this Note; and in each such case, the terms of the Note shall be applicable to the shares of stock or other securities or property receivable upon the conversion of this Note after the consummation of such Reorganization Event. The Company shall give written notice of any Change of Control or Reorganization Event no less than five (5) Business Days in advance of the consummation of such transaction and describe in reasonable detail the material terms of such transaction to provide the Holder sufficient information to determine whether to elect to convert this Note pursuant to Section 6.2.</w:t>
      </w:r>
    </w:p>
    <w:p>
      <w:pPr>
        <w:spacing w:after="0" w:line="79"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b w:val="1"/>
          <w:bCs w:val="1"/>
          <w:u w:val="single" w:color="auto"/>
          <w:color w:val="auto"/>
        </w:rPr>
        <w:t>Conversion of Stock</w:t>
      </w:r>
      <w:r>
        <w:rPr>
          <w:rFonts w:ascii="Times New Roman" w:cs="Times New Roman" w:eastAsia="Times New Roman" w:hAnsi="Times New Roman"/>
          <w:sz w:val="18"/>
          <w:szCs w:val="18"/>
          <w:color w:val="auto"/>
        </w:rPr>
        <w:t>. In each case not otherwise covered in Section 8.3 where (a) all the outstanding Conversion Stock is converted,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of the Company’s Certificate of Incorporation, into Common Stock or other securities or property, or (b) the Conversion Stock otherwise ceases to exist or to be authorized under the Company’s Certificate of Incorporation (each a “</w:t>
      </w:r>
      <w:r>
        <w:rPr>
          <w:rFonts w:ascii="Times New Roman" w:cs="Times New Roman" w:eastAsia="Times New Roman" w:hAnsi="Times New Roman"/>
          <w:sz w:val="18"/>
          <w:szCs w:val="18"/>
          <w:b w:val="1"/>
          <w:bCs w:val="1"/>
          <w:i w:val="1"/>
          <w:iCs w:val="1"/>
          <w:color w:val="auto"/>
        </w:rPr>
        <w:t>Stock Event</w:t>
      </w:r>
      <w:r>
        <w:rPr>
          <w:rFonts w:ascii="Times New Roman" w:cs="Times New Roman" w:eastAsia="Times New Roman" w:hAnsi="Times New Roman"/>
          <w:sz w:val="18"/>
          <w:szCs w:val="18"/>
          <w:color w:val="auto"/>
        </w:rPr>
        <w:t>”), then Holder, upon conversion of this Note at any time after such Stock Event, shall receive, in lieu of the number of shares of Conversion Stock that would have been issuable upon conversion of this Note immediately prior to such Stock Event, the stock and other securities and property that Holder would have been entitled to receive upon the Stock Event, if immediately prior to such Stock Event, Holder had converted the Actual Conversion Amount into Conversion Stock.</w:t>
      </w:r>
    </w:p>
    <w:p>
      <w:pPr>
        <w:spacing w:after="0" w:line="74"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b w:val="1"/>
          <w:bCs w:val="1"/>
          <w:u w:val="single" w:color="auto"/>
          <w:color w:val="auto"/>
        </w:rPr>
        <w:t>Notice of Adjustments</w:t>
      </w:r>
      <w:r>
        <w:rPr>
          <w:rFonts w:ascii="Times New Roman" w:cs="Times New Roman" w:eastAsia="Times New Roman" w:hAnsi="Times New Roman"/>
          <w:sz w:val="18"/>
          <w:szCs w:val="18"/>
          <w:color w:val="auto"/>
        </w:rPr>
        <w:t>. The Company shall promptly give written notice of each adjustment of the Conversion Price or the number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type of shares of Conversion Stock or other securities or property issuable upon conversion of this Note that is required under this Section 8. The notice shall describe the adjustment or readjustment and show in reasonable detail the facts on which the adjustment or readjustment is based.</w:t>
      </w:r>
    </w:p>
    <w:p>
      <w:pPr>
        <w:spacing w:after="0" w:line="63"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8.6 </w:t>
      </w:r>
      <w:r>
        <w:rPr>
          <w:rFonts w:ascii="Times New Roman" w:cs="Times New Roman" w:eastAsia="Times New Roman" w:hAnsi="Times New Roman"/>
          <w:sz w:val="18"/>
          <w:szCs w:val="18"/>
          <w:b w:val="1"/>
          <w:bCs w:val="1"/>
          <w:u w:val="single" w:color="auto"/>
          <w:color w:val="auto"/>
        </w:rPr>
        <w:t>No Change Necessary</w:t>
      </w:r>
      <w:r>
        <w:rPr>
          <w:rFonts w:ascii="Times New Roman" w:cs="Times New Roman" w:eastAsia="Times New Roman" w:hAnsi="Times New Roman"/>
          <w:sz w:val="18"/>
          <w:szCs w:val="18"/>
          <w:color w:val="auto"/>
        </w:rPr>
        <w:t>. The form of this Note may, but need not, be changed because of any adjustment in the Conversion Price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or type of shares of Conversion Stock issuable upon its conversion.</w:t>
      </w:r>
    </w:p>
    <w:p>
      <w:pPr>
        <w:spacing w:after="0" w:line="47"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8.7 </w:t>
      </w:r>
      <w:r>
        <w:rPr>
          <w:rFonts w:ascii="Times New Roman" w:cs="Times New Roman" w:eastAsia="Times New Roman" w:hAnsi="Times New Roman"/>
          <w:sz w:val="18"/>
          <w:szCs w:val="18"/>
          <w:b w:val="1"/>
          <w:bCs w:val="1"/>
          <w:u w:val="single" w:color="auto"/>
          <w:color w:val="auto"/>
        </w:rPr>
        <w:t>Reservation of Stock</w:t>
      </w:r>
      <w:r>
        <w:rPr>
          <w:rFonts w:ascii="Times New Roman" w:cs="Times New Roman" w:eastAsia="Times New Roman" w:hAnsi="Times New Roman"/>
          <w:sz w:val="18"/>
          <w:szCs w:val="18"/>
          <w:color w:val="auto"/>
        </w:rPr>
        <w:t>. If the number of shares of Conversion Stock or other securities authorized and reserved for issuance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of this Note shall not be sufficient to effect the conversion of the Balance of this Note, then the Company shall take such corporate action as may, in the opinion of its counsel, be necessary to increase its authorized but unissued shares of Conversion Stock or other securities issuable upon conversion of this Note as shall be sufficient for such purpose.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6" w:right="499" w:bottom="1440" w:gutter="0" w:footer="0" w:header="0"/>
        </w:sectPr>
      </w:pPr>
    </w:p>
    <w:bookmarkStart w:id="355" w:name="page356"/>
    <w:bookmarkEnd w:id="355"/>
    <w:p>
      <w:pPr>
        <w:ind w:left="620" w:hanging="184"/>
        <w:spacing w:after="0"/>
        <w:tabs>
          <w:tab w:leader="none" w:pos="62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RELATING TO STOCKHOLDERS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Rights as Investor</w:t>
      </w:r>
      <w:r>
        <w:rPr>
          <w:rFonts w:ascii="Times New Roman" w:cs="Times New Roman" w:eastAsia="Times New Roman" w:hAnsi="Times New Roman"/>
          <w:sz w:val="18"/>
          <w:szCs w:val="18"/>
          <w:color w:val="auto"/>
        </w:rPr>
        <w:t>. Upon conversion of the Balance in connection with (a) a Next Financing and execution and delivery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the Next Financing Documents, Holder shall be entitled to the rights and be subject to all other obligations of the investors in the Conversion Stock issued in the Next Financing, (b) the Optional Conversion and execution and delivery to the Company of the Optional Conversion Documents, Holder shall be entitled to the rights and be subject to all other obligations of the investors holding shares of Conversion Stock issued in such Optional Conversion, or (c) a Qualified IPO and execution and delivery to the Company of the IPO Documents, Holder shall be entitled to the rights and be subject to all other obligations of the stockholders in connection with the Conversion Stock issued in the Qualified IPO.</w:t>
      </w:r>
    </w:p>
    <w:p>
      <w:pPr>
        <w:spacing w:after="0" w:line="74" w:lineRule="exact"/>
        <w:rPr>
          <w:sz w:val="20"/>
          <w:szCs w:val="20"/>
          <w:color w:val="auto"/>
        </w:rPr>
      </w:pPr>
    </w:p>
    <w:p>
      <w:pPr>
        <w:jc w:val="both"/>
        <w:ind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“Market Stand-Off” Agreement</w:t>
      </w:r>
      <w:r>
        <w:rPr>
          <w:rFonts w:ascii="Times New Roman" w:cs="Times New Roman" w:eastAsia="Times New Roman" w:hAnsi="Times New Roman"/>
          <w:sz w:val="18"/>
          <w:szCs w:val="18"/>
          <w:color w:val="auto"/>
        </w:rPr>
        <w:t>. Holder hereby agrees that upon conversion of the Balance into Conversion Stock, Holder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bound by the market standoff provision set forth in that certain Amended and Restated Investors’ Rights Agreement, dated as of December 8, 2021, as amended from time to time.</w:t>
      </w:r>
    </w:p>
    <w:p>
      <w:pPr>
        <w:spacing w:after="0" w:line="63"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No Voting or Other Rights</w:t>
      </w:r>
      <w:r>
        <w:rPr>
          <w:rFonts w:ascii="Times New Roman" w:cs="Times New Roman" w:eastAsia="Times New Roman" w:hAnsi="Times New Roman"/>
          <w:sz w:val="18"/>
          <w:szCs w:val="18"/>
          <w:color w:val="auto"/>
        </w:rPr>
        <w:t>. This Note does not entitle Holder to any voting rights or other rights as a stockholder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and until (and only to the extent that) this Note is actually converted into shares of the Company’s capital stock in accordance with its terms. In the absence of conversion of this Note into Conversion Stock, no provisions of this Note and no enumeration herein of the rights or privileges of Holder, shall cause Holder to be a stockholder of the Company for any purpose.</w:t>
      </w:r>
    </w:p>
    <w:p>
      <w:pPr>
        <w:spacing w:after="0" w:line="68" w:lineRule="exact"/>
        <w:rPr>
          <w:sz w:val="20"/>
          <w:szCs w:val="20"/>
          <w:color w:val="auto"/>
        </w:rPr>
      </w:pPr>
    </w:p>
    <w:p>
      <w:pPr>
        <w:ind w:right="220" w:firstLine="436"/>
        <w:spacing w:after="0" w:line="268" w:lineRule="auto"/>
        <w:tabs>
          <w:tab w:leader="none" w:pos="71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HOLDER</w:t>
      </w:r>
      <w:r>
        <w:rPr>
          <w:rFonts w:ascii="Times New Roman" w:cs="Times New Roman" w:eastAsia="Times New Roman" w:hAnsi="Times New Roman"/>
          <w:sz w:val="18"/>
          <w:szCs w:val="18"/>
          <w:color w:val="auto"/>
        </w:rPr>
        <w:t>. In order to induce the Company to enter into the Financing Documents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 this Note to the original Holder, the original Holder has made representations and warranties to the Company as set forth in the Purchase Agreement.</w:t>
      </w:r>
    </w:p>
    <w:p>
      <w:pPr>
        <w:spacing w:after="0" w:line="62"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b w:val="1"/>
          <w:bCs w:val="1"/>
          <w:u w:val="single" w:color="auto"/>
          <w:color w:val="auto"/>
        </w:rPr>
        <w:t>Waivers</w:t>
      </w:r>
      <w:r>
        <w:rPr>
          <w:rFonts w:ascii="Times New Roman" w:cs="Times New Roman" w:eastAsia="Times New Roman" w:hAnsi="Times New Roman"/>
          <w:sz w:val="18"/>
          <w:szCs w:val="18"/>
          <w:color w:val="auto"/>
        </w:rPr>
        <w:t>. The Company and all endorsers of this Note hereby waive notice, presentment, protest and notice of dishonor.</w:t>
      </w:r>
    </w:p>
    <w:p>
      <w:pPr>
        <w:spacing w:after="0" w:line="117"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In the event any party is required to engage the services of an attorney for the purpose of enforcing this Note,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thereof, the prevailing party shall be entitled to recover its reasonable expenses and costs in enforcing this Note, including reasonable and documented attorneys’ fees.</w:t>
      </w:r>
    </w:p>
    <w:p>
      <w:pPr>
        <w:spacing w:after="0" w:line="63" w:lineRule="exact"/>
        <w:rPr>
          <w:sz w:val="20"/>
          <w:szCs w:val="20"/>
          <w:color w:val="auto"/>
        </w:rPr>
      </w:pPr>
    </w:p>
    <w:p>
      <w:pPr>
        <w:ind w:right="2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Notwithstanding anything to the contrary in the Bylaws or Certificate of Incorporation of the Company or the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neither this Note nor any rights hereunder may be assigned, conveyed or transferred, in whole or in part, without the Company’s prior written consent, which the Company may withhold in its sole discretion;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Holder shall be permitted to transfer this Note to its Affiliates.</w:t>
      </w:r>
    </w:p>
    <w:p>
      <w:pPr>
        <w:spacing w:after="0" w:line="68"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Note shall be governed by and construed under the internal laws of the State of Delaware as applied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among Delaware residents entered into and to be performed entirely within the State of Delaware, without reference to principles of conflict of laws or choice of laws.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6" w:right="479" w:bottom="1440" w:gutter="0" w:footer="0" w:header="0"/>
        </w:sectPr>
      </w:pPr>
    </w:p>
    <w:bookmarkStart w:id="356" w:name="page357"/>
    <w:bookmarkEnd w:id="356"/>
    <w:p>
      <w:pPr>
        <w:ind w:right="1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 </w:t>
      </w:r>
      <w:r>
        <w:rPr>
          <w:rFonts w:ascii="Times New Roman" w:cs="Times New Roman" w:eastAsia="Times New Roman" w:hAnsi="Times New Roman"/>
          <w:sz w:val="18"/>
          <w:szCs w:val="18"/>
          <w:b w:val="1"/>
          <w:bCs w:val="1"/>
          <w:u w:val="single" w:color="auto"/>
          <w:color w:val="auto"/>
        </w:rPr>
        <w:t>Counterparts; Facsimile</w:t>
      </w:r>
      <w:r>
        <w:rPr>
          <w:rFonts w:ascii="Times New Roman" w:cs="Times New Roman" w:eastAsia="Times New Roman" w:hAnsi="Times New Roman"/>
          <w:sz w:val="18"/>
          <w:szCs w:val="18"/>
          <w:color w:val="auto"/>
        </w:rPr>
        <w:t>. This Note may be executed and delivered by facsimile or electronic signature and in two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w:t>
      </w:r>
    </w:p>
    <w:p>
      <w:pPr>
        <w:spacing w:after="0" w:line="71"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and captions used in this Note are used only for convenience and are not to be considered in construing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interpreting this Note. All references in this Note to sections and exhibits shall, unless otherwise provided, refer to sections hereof and exhibits attached hereto, all of which exhibits are incorporated herein by this reference.</w:t>
      </w:r>
    </w:p>
    <w:p>
      <w:pPr>
        <w:spacing w:after="0" w:line="6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Unless otherwise provided herein, any notice and other communications required or permitted under this Note shall be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and shall be deemed effectively given (a) at the time of delivery, if delivery is in person or by electronic mail; (b) one (1) Business Day after deposit with an express overnight courier for United States deliveries, or three (3) Business Days after deposit with an international express overnight air courier for deliveries outside of the United States, in each case with proof of delivery from the courier requested; or (c) four (4) Business Days after deposit in the United States mail by certified mail (return receipt requested) for United States deliveries, when addressed to the party to be notified at the address indicated for such party in Section 7.6 of the Purchase Agreement, or at such other address as any party hereto may designate for itself to receive notices by giving ten (10) days’ advance written notice to all other parties in accordance with the provisions of this Section.</w:t>
      </w:r>
    </w:p>
    <w:p>
      <w:pPr>
        <w:spacing w:after="0" w:line="75"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This Note and all other Notes issued under the Purchase Agreement may be amended and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waived by the Note holders and the Company as provided in Section 7.8 of the Purchase Agreement; provided, however, that no such amendment, waiver or consent shall (i) reduce the principal amount or accrued interest of this Note without the Holder’s consent (ii) reduce the rate of interest without the Holder’s consent, or (iii) adversely change the conversion terms of this Note without the Holder’s consent; and provided, further, that no such amendment, waiver or consent shall be effected if it would adversely affect the Holder in a manner disproportionate to any adverse effect such amendment, waiver or consent would have on the rights of other holders of Notes issued pursuant to the Purchase Agreement. Any amendment or waiver effected in accordance with Section 7.8 of the Purchase Agreement shall be binding upon each holder of any Notes at the time outstanding, each future holder of the Notes and the Company.</w:t>
      </w:r>
    </w:p>
    <w:p>
      <w:pPr>
        <w:spacing w:after="0" w:line="77"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one or more provisions of this Note are held to be unenforceable under applicable law, then such provision(s)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excluded from this Note to the extent they are held to be unenforceable and the remainder of the Note shall be interpreted as if such provision(s) were so excluded and shall be enforceable in accordance with its terms.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357" w:name="page358"/>
    <w:bookmarkEnd w:id="35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Company has caused this Subordinated Convertible Promissory Note to be signed in its name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Coloma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ACKNOWLEDGED: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SIGNATURE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UBORDINATED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ONVERTIBLE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ROMISSORY</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ectPr>
          <w:pgSz w:w="11900" w:h="16838" w:orient="portrait"/>
          <w:cols w:equalWidth="0" w:num="1">
            <w:col w:w="10900"/>
          </w:cols>
          <w:pgMar w:left="440" w:top="266" w:right="55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ind w:left="3784"/>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117"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The name of the plan is the Maze Therapeutics, Inc. 2018 Stock Option and Grant Plan (the “Plan”). The purpose of the Plan is to encourage and enable the officers, employees, directors, Consultants and other key persons of Maze Therapeutics, Inc. (formerly known as Modulus Therapeutics, Inc.), a Delaware corporation (including any successor entity, the “Company”) and its Subsidiaries, upon whose judgment, initiative and efforts the Company largely depends for the successful conduct of its business, to acquire a proprietary interest in the Company.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23"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80" w:lineRule="exact"/>
        <w:rPr>
          <w:sz w:val="20"/>
          <w:szCs w:val="20"/>
          <w:color w:val="auto"/>
        </w:rPr>
      </w:pPr>
    </w:p>
    <w:p>
      <w:pPr>
        <w:jc w:val="center"/>
        <w:ind w:right="61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except where referring to a particular category of grant under the Plan, shall include Incentive Stock Options, Non-Qualified Stock Options, Restricted Stock Awards, Unrestricted Stock Awards, Restricted Stock Units or any combination of the foregoing.</w:t>
      </w:r>
    </w:p>
    <w:p>
      <w:pPr>
        <w:spacing w:after="0" w:line="158" w:lineRule="exact"/>
        <w:rPr>
          <w:sz w:val="20"/>
          <w:szCs w:val="20"/>
          <w:color w:val="auto"/>
        </w:rPr>
      </w:pPr>
    </w:p>
    <w:p>
      <w:pPr>
        <w:jc w:val="both"/>
        <w:ind w:left="4"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means a written or electronic agreement setting forth the terms and provisions applicable to an Award granted under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Award Agreement may contain terms and conditions in addition to those set forth in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in the event of any conflict in the terms of the Plan and the Award Agreement, the terms of the Plan shall govern</w:t>
      </w:r>
      <w:r>
        <w:rPr>
          <w:rFonts w:ascii="Times New Roman" w:cs="Times New Roman" w:eastAsia="Times New Roman" w:hAnsi="Times New Roman"/>
          <w:sz w:val="18"/>
          <w:szCs w:val="18"/>
          <w:b w:val="1"/>
          <w:bCs w:val="1"/>
          <w:color w:val="auto"/>
        </w:rPr>
        <w:t>.</w:t>
      </w:r>
    </w:p>
    <w:p>
      <w:pPr>
        <w:spacing w:after="0" w:line="1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 w:right="30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Cause</w:t>
      </w:r>
      <w:r>
        <w:rPr>
          <w:rFonts w:ascii="Times New Roman" w:cs="Times New Roman" w:eastAsia="Times New Roman" w:hAnsi="Times New Roman"/>
          <w:sz w:val="17"/>
          <w:szCs w:val="17"/>
          <w:color w:val="auto"/>
        </w:rPr>
        <w:t>” shall have the meaning as set forth in the Award Agreement(s). In the case that any Award Agreement does not contain a definition of “Cause,” it shall mean (i) the grantee’s dishonest statements or acts with respect to the Company or any Affiliate of the Company, or any current or prospective customers, suppliers vendors or other third parties with which such entity does business; (ii) the grantee’s commission of (A) a felony or</w:t>
      </w:r>
    </w:p>
    <w:p>
      <w:pPr>
        <w:spacing w:after="0" w:line="1" w:lineRule="exact"/>
        <w:rPr>
          <w:sz w:val="20"/>
          <w:szCs w:val="20"/>
          <w:color w:val="auto"/>
        </w:rPr>
      </w:pPr>
    </w:p>
    <w:p>
      <w:pPr>
        <w:ind w:left="4" w:right="40" w:hanging="4"/>
        <w:spacing w:after="0" w:line="253" w:lineRule="auto"/>
        <w:tabs>
          <w:tab w:leader="none" w:pos="28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or (v) the grantee’s material violation of any provision of any agreement(s) between the grantee and the Company relating to noncompetition, nonsolicitation, nondisclosure and/or assignment of inventions.</w:t>
      </w:r>
    </w:p>
    <w:p>
      <w:pPr>
        <w:sectPr>
          <w:pgSz w:w="11900" w:h="16838" w:orient="portrait"/>
          <w:cols w:equalWidth="0" w:num="1">
            <w:col w:w="11024"/>
          </w:cols>
          <w:pgMar w:left="436" w:top="117" w:right="439" w:bottom="1440" w:gutter="0" w:footer="0" w:header="0"/>
        </w:sectPr>
      </w:pPr>
    </w:p>
    <w:bookmarkStart w:id="359" w:name="page360"/>
    <w:bookmarkEnd w:id="359"/>
    <w:p>
      <w:pPr>
        <w:ind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“Chief Executive Officer” </w:t>
      </w:r>
      <w:r>
        <w:rPr>
          <w:rFonts w:ascii="Times New Roman" w:cs="Times New Roman" w:eastAsia="Times New Roman" w:hAnsi="Times New Roman"/>
          <w:sz w:val="18"/>
          <w:szCs w:val="18"/>
          <w:color w:val="auto"/>
        </w:rPr>
        <w:t>means the Chief Executive Officer of the Company or, if there is no Chief Executive Officer, then the President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 and any successor Code, and related rules, regulations and interpretations.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means the Committee of the Board referred to in Section 2.</w:t>
      </w:r>
    </w:p>
    <w:p>
      <w:pPr>
        <w:spacing w:after="0" w:line="225" w:lineRule="exact"/>
        <w:rPr>
          <w:sz w:val="20"/>
          <w:szCs w:val="20"/>
          <w:color w:val="auto"/>
        </w:rPr>
      </w:pPr>
    </w:p>
    <w:p>
      <w:pPr>
        <w:ind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any natural person that provides bona fide services to the Company (including a Subsidiary), and such services are not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offer or sale of securities in a capital-raising transaction and do not directly or indirectly promote or maintain a market for the Company’s securities.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means “disability” as defined in Section 422(c)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means the date on which the Plan is adopted as set forth on the final page of the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of the Stock on any given date means the fair market value of the Stock determined in good faith by the Committee based on the reasonable application of a reasonable valuation method not inconsistent with Section 409A of the Code. If the Stock is admitted to trade on a national securities exchange, the determination shall be made by reference to the closing price reported on such exchange. If there is no closing price for such date, the determination shall be made by reference to the last date preceding such date for which there is a closing price.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8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 Reason” </w:t>
      </w:r>
      <w:r>
        <w:rPr>
          <w:rFonts w:ascii="Times New Roman" w:cs="Times New Roman" w:eastAsia="Times New Roman" w:hAnsi="Times New Roman"/>
          <w:sz w:val="18"/>
          <w:szCs w:val="18"/>
          <w:color w:val="auto"/>
        </w:rPr>
        <w:t>shall have the meaning as set forth in the Award Agreement(s). In the case that any Award Agreement does not contain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of “Good Reason,” it shall mean (i) a material diminution in the grantee’s base salary except for across-the-board salary reductions similarly affecting all or substantially all similarly situated employees of the Company or (ii) a change of more than 50 miles in the geographic location at which the grantee provides services to the Company, so long as the grantee provides at least 90 days notice to the Company following the initial occurrence of any such event and the Company fails to cure such event within 30 days thereafter.</w:t>
      </w:r>
    </w:p>
    <w:p>
      <w:pPr>
        <w:spacing w:after="0" w:line="183"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xml:space="preserve"> means the date that the Committee designates in its approval of an Award in accordance with applicable law as the date on which the Award is granted, which date may not precede the date of such Committee approval.</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8" w:right="499" w:bottom="1440" w:gutter="0" w:footer="0" w:header="0"/>
        </w:sectPr>
      </w:pPr>
    </w:p>
    <w:bookmarkStart w:id="360" w:name="page361"/>
    <w:bookmarkEnd w:id="360"/>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“Holder” </w:t>
      </w:r>
      <w:r>
        <w:rPr>
          <w:rFonts w:ascii="Times New Roman" w:cs="Times New Roman" w:eastAsia="Times New Roman" w:hAnsi="Times New Roman"/>
          <w:sz w:val="18"/>
          <w:szCs w:val="18"/>
          <w:color w:val="auto"/>
        </w:rPr>
        <w:t>means, with respect to an Award or any Shares, the Person holding such Award or Shares, including the initial recipient of the Award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Permitted Transferee.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means any Stock Option designated and qualified as an “incentive stock option” as defined in Section 422 of the Code.</w:t>
      </w:r>
    </w:p>
    <w:p>
      <w:pPr>
        <w:spacing w:after="0" w:line="225"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Public Offering</w:t>
      </w:r>
      <w:r>
        <w:rPr>
          <w:rFonts w:ascii="Times New Roman" w:cs="Times New Roman" w:eastAsia="Times New Roman" w:hAnsi="Times New Roman"/>
          <w:sz w:val="18"/>
          <w:szCs w:val="18"/>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Stock shall be publicly held.</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means any Stock Option that is not an Incentive Stock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Stock Option</w:t>
      </w:r>
      <w:r>
        <w:rPr>
          <w:rFonts w:ascii="Times New Roman" w:cs="Times New Roman" w:eastAsia="Times New Roman" w:hAnsi="Times New Roman"/>
          <w:sz w:val="18"/>
          <w:szCs w:val="18"/>
          <w:color w:val="auto"/>
        </w:rPr>
        <w:t>” means any option to purchase shares of Stock granted pursuant to Section 5.</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Transferees</w:t>
      </w:r>
      <w:r>
        <w:rPr>
          <w:rFonts w:ascii="Times New Roman" w:cs="Times New Roman" w:eastAsia="Times New Roman" w:hAnsi="Times New Roman"/>
          <w:sz w:val="18"/>
          <w:szCs w:val="18"/>
          <w:color w:val="auto"/>
        </w:rPr>
        <w:t>” shall mean any of the following to whom a Holder may transfer Shares hereunder (as set forth in Section 9(a)(ii)(A)): the Holder’s child, stepchild, grandchild, parent, stepparent, grandparent, spouse, former spouse, sibling, niece, nephew, mother-in-law, father-in-law, son-in-law, daughter-in-law, brother-in-law, or sister-in-law, including adoptive relationships, any person sharing the Holder’s household (other than a tenant or employee), a trust in which these persons have more than fifty percent of the beneficial interest, a foundation in which these persons control the management of assets, and any other entity in which these persons own more than fifty percent of the voting interests</w:t>
      </w:r>
      <w:r>
        <w:rPr>
          <w:rFonts w:ascii="Times New Roman" w:cs="Times New Roman" w:eastAsia="Times New Roman" w:hAnsi="Times New Roman"/>
          <w:sz w:val="18"/>
          <w:szCs w:val="18"/>
          <w:i w:val="1"/>
          <w:iCs w:val="1"/>
          <w:color w:val="auto"/>
        </w:rPr>
        <w:t>; provided, however,</w:t>
      </w:r>
      <w:r>
        <w:rPr>
          <w:rFonts w:ascii="Times New Roman" w:cs="Times New Roman" w:eastAsia="Times New Roman" w:hAnsi="Times New Roman"/>
          <w:sz w:val="18"/>
          <w:szCs w:val="18"/>
          <w:color w:val="auto"/>
        </w:rPr>
        <w:t xml:space="preserve"> that any such trust does not require or permit distribution of any Shares during the term of the Award Agreement unless subject to its terms. Upon the death of the Holder, the term Permitted Transferees shall also include such deceased Holder’s estate, executors, administrators, personal representatives, heirs, legatees and distributees, as the case may be.</w:t>
      </w:r>
    </w:p>
    <w:p>
      <w:pPr>
        <w:spacing w:after="0" w:line="185" w:lineRule="exact"/>
        <w:rPr>
          <w:sz w:val="20"/>
          <w:szCs w:val="20"/>
          <w:color w:val="auto"/>
        </w:rPr>
      </w:pPr>
    </w:p>
    <w:p>
      <w:pPr>
        <w:ind w:right="7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mean any individual, corporation, partnership (limited or general), limited liability company, limited liability partnership, association, trust, joint venture, unincorporated organization or any similar entity.</w:t>
      </w:r>
    </w:p>
    <w:p>
      <w:pPr>
        <w:spacing w:after="0" w:line="158"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Awards granted pursuant to Section 6 and</w:t>
      </w:r>
      <w:r>
        <w:rPr>
          <w:rFonts w:ascii="Times New Roman" w:cs="Times New Roman" w:eastAsia="Times New Roman" w:hAnsi="Times New Roman"/>
          <w:sz w:val="18"/>
          <w:szCs w:val="18"/>
          <w:i w:val="1"/>
          <w:iCs w:val="1"/>
          <w:color w:val="auto"/>
        </w:rPr>
        <w:t xml:space="preserve"> “Restricted Stock” </w:t>
      </w:r>
      <w:r>
        <w:rPr>
          <w:rFonts w:ascii="Times New Roman" w:cs="Times New Roman" w:eastAsia="Times New Roman" w:hAnsi="Times New Roman"/>
          <w:sz w:val="18"/>
          <w:szCs w:val="18"/>
          <w:color w:val="auto"/>
        </w:rPr>
        <w:t>means Shares issued pursuant to such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remain subject to a substantial risk of forfeiture pursuant to the terms of this Plan or the applicable Award Agreement.</w:t>
      </w:r>
    </w:p>
    <w:p>
      <w:pPr>
        <w:spacing w:after="0" w:line="158" w:lineRule="exact"/>
        <w:rPr>
          <w:sz w:val="20"/>
          <w:szCs w:val="20"/>
          <w:color w:val="auto"/>
        </w:rPr>
      </w:pPr>
    </w:p>
    <w:p>
      <w:pPr>
        <w:ind w:right="5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w:t>
      </w:r>
      <w:r>
        <w:rPr>
          <w:rFonts w:ascii="Times New Roman" w:cs="Times New Roman" w:eastAsia="Times New Roman" w:hAnsi="Times New Roman"/>
          <w:sz w:val="18"/>
          <w:szCs w:val="18"/>
          <w:color w:val="auto"/>
        </w:rPr>
        <w:t>means an Award of phantom stock units to a grantee, which may be settled in cash or Shares as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pursuant to Section 8.</w:t>
      </w:r>
    </w:p>
    <w:p>
      <w:pPr>
        <w:spacing w:after="0" w:line="15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Event”</w:t>
      </w:r>
      <w:r>
        <w:rPr>
          <w:rFonts w:ascii="Times New Roman" w:cs="Times New Roman" w:eastAsia="Times New Roman" w:hAnsi="Times New Roman"/>
          <w:sz w:val="18"/>
          <w:szCs w:val="18"/>
          <w:color w:val="auto"/>
        </w:rPr>
        <w:t xml:space="preserve"> means the consummation of (i) the dissolution or liquidation of the Company, (ii) the sale of all or substantially all of the assets of the Company on a consolidated basis to an unrelated person or entity, (iii)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(iv) the acquisition of all or a majority of the outstanding voting stock of the Company in a single transaction or a series of related transactions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8" w:right="499" w:bottom="1440" w:gutter="0" w:footer="0" w:header="0"/>
        </w:sectPr>
      </w:pPr>
    </w:p>
    <w:bookmarkStart w:id="361" w:name="page362"/>
    <w:bookmarkEnd w:id="361"/>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a Person or group of Persons, (v) a Deemed Liquidation Event (as defined in the Company’s Certificate of Incorporation (as may be amended, restated or otherwise modified from time to time)), or (vi) any other acquisition of the business of the Company, as determined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the Company’s Initial Public Offering, any subsequent public offering or another capital raising event, or a merger effected solely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the Company’s domicile shall not constitute a “Sale Event.”</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sz w:val="20"/>
          <w:szCs w:val="20"/>
          <w:color w:val="auto"/>
        </w:rPr>
      </w:pPr>
    </w:p>
    <w:p>
      <w:pPr>
        <w:jc w:val="both"/>
        <w:ind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 full-time employee, part-time employee, director or other key person (including Consultants)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or any Subsidiary or any successor entity (e.g., a Service Relationship shall be deemed to continue without interruption in the event an individual’s status changes from full-time employee to part-time employee or Consultant).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means shares of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means the Common Stock, par value $0.001 per share, of the Company.</w:t>
      </w:r>
    </w:p>
    <w:p>
      <w:pPr>
        <w:spacing w:after="0" w:line="225"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or other entity (other than the Company) in which the Company has more than a 50 percent interest, either directly or indirectly.</w:t>
      </w:r>
    </w:p>
    <w:p>
      <w:pPr>
        <w:spacing w:after="0" w:line="158"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 percent of the combined voting power of all classes of stock of the Company or any parent of the Company or any Subsidiary.</w:t>
      </w:r>
    </w:p>
    <w:p>
      <w:pPr>
        <w:spacing w:after="0" w:line="15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“Termination Event” </w:t>
      </w:r>
      <w:r>
        <w:rPr>
          <w:rFonts w:ascii="Times New Roman" w:cs="Times New Roman" w:eastAsia="Times New Roman" w:hAnsi="Times New Roman"/>
          <w:sz w:val="18"/>
          <w:szCs w:val="18"/>
          <w:color w:val="auto"/>
        </w:rPr>
        <w:t>means the termination of the Award recipient’s Service Relationship with the Company and its Subsidiaries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whatsoever, regardless of the circumstances thereof, and including, without limitation, upon death, disability, retirement, discharge or resignation for any reason, whether voluntarily or involuntarily. The following shall not constitute a Termination Event: (i) a transfer to the service of the Company from a Subsidiary or from the Company to a Subsidiary, or from one Subsidiary to another Subsidiary or (ii) an approved leave of absence for military service or sickness, or for any other purpose approved by the Committee, if the individual’s right to re-employment is guaranteed either by a statute or by contract or under the policy pursuant to which the leave of absence was granted or if the Committee otherwise so provides in writing.</w:t>
      </w:r>
    </w:p>
    <w:p>
      <w:pPr>
        <w:spacing w:after="0" w:line="182" w:lineRule="exact"/>
        <w:rPr>
          <w:sz w:val="20"/>
          <w:szCs w:val="20"/>
          <w:color w:val="auto"/>
        </w:rPr>
      </w:pPr>
    </w:p>
    <w:p>
      <w:pPr>
        <w:ind w:right="4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Stock Award”</w:t>
      </w:r>
      <w:r>
        <w:rPr>
          <w:rFonts w:ascii="Times New Roman" w:cs="Times New Roman" w:eastAsia="Times New Roman" w:hAnsi="Times New Roman"/>
          <w:sz w:val="18"/>
          <w:szCs w:val="18"/>
          <w:color w:val="auto"/>
        </w:rPr>
        <w:t xml:space="preserve"> means any Award granted pursuant to Section 7 and </w:t>
      </w:r>
      <w:r>
        <w:rPr>
          <w:rFonts w:ascii="Times New Roman" w:cs="Times New Roman" w:eastAsia="Times New Roman" w:hAnsi="Times New Roman"/>
          <w:sz w:val="18"/>
          <w:szCs w:val="18"/>
          <w:i w:val="1"/>
          <w:iCs w:val="1"/>
          <w:color w:val="auto"/>
        </w:rPr>
        <w:t>“Unrestricted Stock”</w:t>
      </w:r>
      <w:r>
        <w:rPr>
          <w:rFonts w:ascii="Times New Roman" w:cs="Times New Roman" w:eastAsia="Times New Roman" w:hAnsi="Times New Roman"/>
          <w:sz w:val="18"/>
          <w:szCs w:val="18"/>
          <w:color w:val="auto"/>
        </w:rPr>
        <w:t xml:space="preserve"> means Shares issued pursuant to such Awards.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ADMINISTRATION OF PLAN; COMMITTEE AUTHORITY TO SELECT GRANTEES AND DETERMINE AWARDS</w:t>
      </w:r>
    </w:p>
    <w:p>
      <w:pPr>
        <w:spacing w:after="0" w:line="117" w:lineRule="exact"/>
        <w:rPr>
          <w:sz w:val="20"/>
          <w:szCs w:val="20"/>
          <w:color w:val="auto"/>
        </w:rPr>
      </w:pPr>
    </w:p>
    <w:p>
      <w:pPr>
        <w:ind w:right="20" w:firstLine="436"/>
        <w:spacing w:after="0" w:line="266" w:lineRule="auto"/>
        <w:tabs>
          <w:tab w:leader="none" w:pos="68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Board, or at the discretion of the Board, by a committee of the Board, comprised of not less than two directors. All references herein to the “Committee” shall be deemed to refer to the group then responsible for administration of the Plan at the relevant time (i.e., either the Board or a committee or committees of the Board, as applicable).</w:t>
      </w:r>
    </w:p>
    <w:p>
      <w:pPr>
        <w:spacing w:after="0" w:line="67"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Committee</w:t>
      </w:r>
      <w:r>
        <w:rPr>
          <w:rFonts w:ascii="Times New Roman" w:cs="Times New Roman" w:eastAsia="Times New Roman" w:hAnsi="Times New Roman"/>
          <w:sz w:val="18"/>
          <w:szCs w:val="18"/>
          <w:color w:val="auto"/>
        </w:rPr>
        <w:t>. The Committee shall have the power and authority to grant Awards consistent with the terms of the Plan, including the power and authority:</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17" w:lineRule="exact"/>
        <w:rPr>
          <w:rFonts w:ascii="Times New Roman" w:cs="Times New Roman" w:eastAsia="Times New Roman" w:hAnsi="Times New Roman"/>
          <w:sz w:val="18"/>
          <w:szCs w:val="18"/>
          <w:color w:val="auto"/>
        </w:rPr>
      </w:pPr>
    </w:p>
    <w:p>
      <w:pPr>
        <w:ind w:right="240" w:firstLine="987"/>
        <w:spacing w:after="0" w:line="312" w:lineRule="auto"/>
        <w:tabs>
          <w:tab w:leader="none" w:pos="1256"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time or times of grant, and the amount, if any, of Incentive Stock Options, Non-Qualified Stock Options, Restricted Stock Awards, Unrestricted Stock Awards, Restricted Stock Units, or any combination of the foregoing, granted to any one or more grantees;</w:t>
      </w:r>
    </w:p>
    <w:p>
      <w:pPr>
        <w:spacing w:after="0" w:line="31" w:lineRule="exact"/>
        <w:rPr>
          <w:rFonts w:ascii="Times New Roman" w:cs="Times New Roman" w:eastAsia="Times New Roman" w:hAnsi="Times New Roman"/>
          <w:sz w:val="17"/>
          <w:szCs w:val="17"/>
          <w:color w:val="auto"/>
        </w:rPr>
      </w:pPr>
    </w:p>
    <w:p>
      <w:pPr>
        <w:ind w:right="340" w:firstLine="987"/>
        <w:spacing w:after="0" w:line="282" w:lineRule="auto"/>
        <w:tabs>
          <w:tab w:leader="none" w:pos="130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any Award and, subject to the provisions of the Plan, the price, exercise price, conversion ratio or other price relating thereto;</w:t>
      </w:r>
    </w:p>
    <w:p>
      <w:pPr>
        <w:spacing w:after="0" w:line="53" w:lineRule="exact"/>
        <w:rPr>
          <w:rFonts w:ascii="Times New Roman" w:cs="Times New Roman" w:eastAsia="Times New Roman" w:hAnsi="Times New Roman"/>
          <w:sz w:val="18"/>
          <w:szCs w:val="18"/>
          <w:color w:val="auto"/>
        </w:rPr>
      </w:pPr>
    </w:p>
    <w:p>
      <w:pPr>
        <w:ind w:right="160" w:firstLine="987"/>
        <w:spacing w:after="0" w:line="266" w:lineRule="auto"/>
        <w:tabs>
          <w:tab w:leader="none" w:pos="129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subject to Section 12, to modify from time to time the terms and conditions, including restrictions, not inconsistent with the terms of the Plan, of any Award, which terms and conditions may differ among individual Awards and grantees, and to approve the form of Award Agreements;</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17" w:lineRule="exact"/>
        <w:rPr>
          <w:rFonts w:ascii="Times New Roman" w:cs="Times New Roman" w:eastAsia="Times New Roman" w:hAnsi="Times New Roman"/>
          <w:sz w:val="18"/>
          <w:szCs w:val="18"/>
          <w:color w:val="auto"/>
        </w:rPr>
      </w:pPr>
    </w:p>
    <w:p>
      <w:pPr>
        <w:ind w:right="60" w:firstLine="987"/>
        <w:spacing w:after="0" w:line="282" w:lineRule="auto"/>
        <w:tabs>
          <w:tab w:leader="none" w:pos="129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any limitations on Awards, including limitations on transfers, repurchase provisions and the like, and to exercise repurchase rights or obligations;</w:t>
      </w:r>
    </w:p>
    <w:p>
      <w:pPr>
        <w:spacing w:after="0" w:line="53"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5(a)(ii) and any restrictions imposed by Section 409A, to extend at any time the period in which Stock Options may</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 exercised; and</w:t>
      </w:r>
    </w:p>
    <w:p>
      <w:pPr>
        <w:spacing w:after="0" w:line="98" w:lineRule="exact"/>
        <w:rPr>
          <w:rFonts w:ascii="Times New Roman" w:cs="Times New Roman" w:eastAsia="Times New Roman" w:hAnsi="Times New Roman"/>
          <w:sz w:val="17"/>
          <w:szCs w:val="17"/>
          <w:color w:val="auto"/>
        </w:rPr>
      </w:pPr>
    </w:p>
    <w:p>
      <w:pPr>
        <w:jc w:val="both"/>
        <w:ind w:right="420" w:firstLine="987"/>
        <w:spacing w:after="0" w:line="261" w:lineRule="auto"/>
        <w:tabs>
          <w:tab w:leader="none" w:pos="139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Award Agreements);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decisions and interpretations of the Committee shall be binding on all persons, including the Company and all Holders.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63" w:name="page364"/>
    <w:bookmarkEnd w:id="363"/>
    <w:p>
      <w:pPr>
        <w:ind w:firstLine="436"/>
        <w:spacing w:after="0" w:line="255" w:lineRule="auto"/>
        <w:tabs>
          <w:tab w:leader="none" w:pos="68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Delegation of Authority to Grant Options</w:t>
      </w:r>
      <w:r>
        <w:rPr>
          <w:rFonts w:ascii="Times New Roman" w:cs="Times New Roman" w:eastAsia="Times New Roman" w:hAnsi="Times New Roman"/>
          <w:sz w:val="18"/>
          <w:szCs w:val="18"/>
          <w:color w:val="auto"/>
        </w:rPr>
        <w:t>. Subject to applicable law, the Committee, in its discretion, may delegate to the Chief Executive Officer of the Company the power to designate non-officer employees to be recipients of Options, and to determine the number of such Options to be received by such employees; provided, however, that the resolution so authorizing the Chief Executive Officer shall specify the total number of Options the Chief Executive Officer may so award and may not delegate to the Chief Executive Officer the authority to set the exercise price or the vesting terms of such Options. Any such delegation by the Committee shall also provide that the Chief Executive Officer may not grant Awards to himself or herself (or other officers) without the approval of the Committee. The Committee may revoke or amend the terms of a delegation at any time but such action shall not invalidate any prior actions of the Committee’s delegate or delegates that were consistent with the terms of the Plan.</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Awards under the Plan shall be evidenced by Award Agreements that set forth the terms, conditions and limitations for each</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Award.</w:t>
      </w:r>
    </w:p>
    <w:p>
      <w:pPr>
        <w:spacing w:after="0" w:line="98" w:lineRule="exact"/>
        <w:rPr>
          <w:rFonts w:ascii="Times New Roman" w:cs="Times New Roman" w:eastAsia="Times New Roman" w:hAnsi="Times New Roman"/>
          <w:sz w:val="17"/>
          <w:szCs w:val="17"/>
          <w:color w:val="auto"/>
        </w:rPr>
      </w:pPr>
    </w:p>
    <w:p>
      <w:pPr>
        <w:ind w:right="20" w:firstLine="436"/>
        <w:spacing w:after="0" w:line="255" w:lineRule="auto"/>
        <w:tabs>
          <w:tab w:leader="none" w:pos="68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Committee, nor any member of either or any delegate thereof, shall be liable for any act, omission, interpretation, construction or determination made in good faith in connection with the Plan, and the members of the Board and the Committee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governing documents, including its certificate of incorporation or bylaws (each, as may be amended, restated, or otherwise modified from time to time), or any directors’ and officers’ liability insurance coverage which may be in effect from time to time and/or any indemnification agreement between such individual and the Company.</w:t>
      </w:r>
    </w:p>
    <w:p>
      <w:pPr>
        <w:spacing w:after="0" w:line="80" w:lineRule="exact"/>
        <w:rPr>
          <w:rFonts w:ascii="Times New Roman" w:cs="Times New Roman" w:eastAsia="Times New Roman" w:hAnsi="Times New Roman"/>
          <w:sz w:val="18"/>
          <w:szCs w:val="18"/>
          <w:color w:val="auto"/>
        </w:rPr>
      </w:pPr>
    </w:p>
    <w:p>
      <w:pPr>
        <w:ind w:right="120" w:firstLine="436"/>
        <w:spacing w:after="0" w:line="254" w:lineRule="auto"/>
        <w:tabs>
          <w:tab w:leader="none" w:pos="66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xml:space="preserve">. Notwithstanding any provision of the Plan to the contrary, in order to comply with the laws in other countries in which the Company and any Subsidiary operate or have employees or other individuals eligible for Awards, the Committee, in its sole discretion, shall have the power and authority to: (i) determine which Subsidiaries, if any, shall be covered by the Plan; (ii) determine which individuals, if any,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Committee determines such actions to be necessary or advisable (and such subplans and/or modifications shall be attached to the Plan as appendices);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subplans and/or modifications shall increase the share limitation contained in Section 3(a) hereof; and (v) take any action, before or after an Award is made, that the Committee determines to be necessary or advisable to obtain approval or comply with any local governmental regulatory exemptions or approvals.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64" w:name="page365"/>
    <w:bookmarkEnd w:id="36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STOCK ISSUABLE UNDER THE PLAN; MERGERS AND OTHER TRANSACTIONS; SUBSTITUTION</w:t>
      </w:r>
    </w:p>
    <w:p>
      <w:pPr>
        <w:spacing w:after="0" w:line="117" w:lineRule="exact"/>
        <w:rPr>
          <w:sz w:val="20"/>
          <w:szCs w:val="20"/>
          <w:color w:val="auto"/>
        </w:rPr>
      </w:pPr>
    </w:p>
    <w:p>
      <w:pPr>
        <w:ind w:left="4" w:right="120" w:firstLine="436"/>
        <w:spacing w:after="0" w:line="254" w:lineRule="auto"/>
        <w:tabs>
          <w:tab w:leader="none" w:pos="689"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reserved and available for issuance under the Plan shall be 17,000,000 Shares, subject to adjustment as provided in Section 3(b). For purposes of this limitation, the Shares underlying any Awards that are forfeited, canceled, reacquired by the Company prior to vesting, satisfied without the issuance of Stock or otherwise terminated (other than by exercise) and Shares that are withheld upon exercise of an Option or settlement of an Award to cover the exercise price or tax withholding shall be added back to the Shares available for issuance under the Plan. Subject to such overall limitations, Shares may be issued up to such maximum number pursuant to any type or types of Award, and no more than 170,000,000 Shares may be issued pursuant to Incentive Stock Options. The Shares available for issuance under the Plan may be authorized but unissued Shares or Shares reacquired by the Company. Beginning on the date that the Company becomes subject to Section 162(m) of the Code, Options with respect to no more than 17,000,000 Shares shall be granted to any one individual in any calendar year period.</w:t>
      </w:r>
    </w:p>
    <w:p>
      <w:pPr>
        <w:spacing w:after="0" w:line="83" w:lineRule="exact"/>
        <w:rPr>
          <w:rFonts w:ascii="Times New Roman" w:cs="Times New Roman" w:eastAsia="Times New Roman" w:hAnsi="Times New Roman"/>
          <w:sz w:val="18"/>
          <w:szCs w:val="18"/>
          <w:color w:val="auto"/>
        </w:rPr>
      </w:pPr>
    </w:p>
    <w:p>
      <w:pPr>
        <w:ind w:left="4" w:firstLine="436"/>
        <w:spacing w:after="0" w:line="268" w:lineRule="auto"/>
        <w:tabs>
          <w:tab w:leader="none" w:pos="699" w:val="left"/>
        </w:tabs>
        <w:numPr>
          <w:ilvl w:val="1"/>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Changes in Stock</w:t>
      </w:r>
      <w:r>
        <w:rPr>
          <w:rFonts w:ascii="Times New Roman" w:cs="Times New Roman" w:eastAsia="Times New Roman" w:hAnsi="Times New Roman"/>
          <w:sz w:val="17"/>
          <w:szCs w:val="17"/>
          <w:color w:val="auto"/>
        </w:rPr>
        <w:t>. Subject to Section 3(c)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in each case, without the receipt of consideration by the Company, or, if, as a result of any merger or consolidation, or sale of all or substantially all of the assets of the Company, the outstanding Shares are converted into or exchanged for other securities of the Company or any successor entity (or a parent or subsidiary thereof), the Committee shall make an appropriate and proportionate adjustment in (i) the maximum number of Shares reserved for issuance under the Plan, (ii) the number and kind of Shares or other securities subject to any then outstanding Awards under the Plan, (iii) the repurchase price, if any, per Share subject to each outstanding Award, and</w:t>
      </w:r>
    </w:p>
    <w:p>
      <w:pPr>
        <w:ind w:left="4" w:right="80" w:hanging="4"/>
        <w:spacing w:after="0" w:line="253" w:lineRule="auto"/>
        <w:tabs>
          <w:tab w:leader="none" w:pos="30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each Share subject to any then outstanding Stock Options under the Plan, without changing the aggregate exercise price (i.e., the per share exercise price multiplied by the number of Shares underlying such Stock Options) as to which such Stock Options remain exercisable. The Committee shall in any event make such adjustments as may be required by Section 25102(o) of the California Corporation Code and the rules and regulations promulgated thereunder. The adjustment by the Committee shall be final, binding and conclusive. No fractional Shares shall be issued under the Plan resulting from any such adjustment, but the Committee in its discretion may make a cash payment in lieu of fractional shares.</w:t>
      </w:r>
    </w:p>
    <w:p>
      <w:pPr>
        <w:spacing w:after="0" w:line="78"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20" w:firstLine="948"/>
        <w:spacing w:after="0" w:line="258" w:lineRule="auto"/>
        <w:tabs>
          <w:tab w:leader="none" w:pos="1691" w:val="left"/>
        </w:tabs>
        <w:numPr>
          <w:ilvl w:val="3"/>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and subject to the consummation of a Sale Event, the Plan and all outstanding Options issued hereunder shall terminate upon the effective time of any such Sale Event unless assumed or continued by the successor entity, or new stock options or other awards of the successor entity or parent thereof are substituted therefor, with an equitable or proportionate adjustment as to the number and kind of shares and, if appropriate, the per share exercise prices, as such parties shall agree (after taking into account any acceleration hereunder and/or pursuant to the terms of any Award Agreement).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365" w:name="page366"/>
    <w:bookmarkEnd w:id="365"/>
    <w:p>
      <w:pPr>
        <w:ind w:firstLine="948"/>
        <w:spacing w:after="0" w:line="261" w:lineRule="auto"/>
        <w:tabs>
          <w:tab w:leader="none" w:pos="123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of the termination of the Plan and all outstanding Options issued hereunder pursuant to Section 3(c), each Holder of Options shall be permitted, within a period of time prior to the consummation of the Sale Event as specified by the Committee, to exercise all such Options which are then exercisable or will become exercisable as of the effective time of the Sale Event;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exercise of Options not exercisable prior to the Sale Event shall be subject to the consummation of the Sale Event.</w:t>
      </w:r>
    </w:p>
    <w:p>
      <w:pPr>
        <w:spacing w:after="0" w:line="71" w:lineRule="exact"/>
        <w:rPr>
          <w:rFonts w:ascii="Times New Roman" w:cs="Times New Roman" w:eastAsia="Times New Roman" w:hAnsi="Times New Roman"/>
          <w:sz w:val="18"/>
          <w:szCs w:val="18"/>
          <w:color w:val="auto"/>
        </w:rPr>
      </w:pPr>
    </w:p>
    <w:p>
      <w:pPr>
        <w:ind w:right="80" w:firstLine="948"/>
        <w:spacing w:after="0" w:line="256" w:lineRule="auto"/>
        <w:tabs>
          <w:tab w:leader="none" w:pos="1237"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3(c)(i)(A), in the event of a Sale Event, the Company shall have the right, but not the obligation, to make or provide for a cash payment to the Holders of Options, without any consent of the Holders, in exchange for the cancellation thereof, in an amount equal to the difference between (A) the value as determined by the Committee of the consideration payable per share of Stock pursuant to the Sale Event (the “Sale Price”) times the number of Shares subject to outstanding Options being cancelled (to the extent then vested and exercisable, including by reason of acceleration in connection with such Sale Event, at prices not in excess of the Sale Price) and (B) the aggregate exercise price of all such outstanding vested and exercisable Options.</w:t>
      </w:r>
    </w:p>
    <w:p>
      <w:pPr>
        <w:spacing w:after="0" w:line="79" w:lineRule="exact"/>
        <w:rPr>
          <w:rFonts w:ascii="Times New Roman" w:cs="Times New Roman" w:eastAsia="Times New Roman" w:hAnsi="Times New Roman"/>
          <w:sz w:val="18"/>
          <w:szCs w:val="18"/>
          <w:color w:val="auto"/>
        </w:rPr>
      </w:pPr>
    </w:p>
    <w:p>
      <w:pPr>
        <w:ind w:left="820" w:hanging="273"/>
        <w:spacing w:after="0"/>
        <w:tabs>
          <w:tab w:leader="none" w:pos="8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and Restricted Stock Unit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48"/>
        <w:spacing w:after="0" w:line="258" w:lineRule="auto"/>
        <w:tabs>
          <w:tab w:leader="none" w:pos="1247"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and subject to the consummation of a Sale Event, all unvested Restricted Stock and unvested Restricted Stock Unit Awards (other than those becoming vested as a result of the Sale Event) issued hereunder shall be forfeited immediately prior to the effective time of any such Sale Event unless assumed or continued by the successor entity, or awards of the successor entity or parent thereof are substituted therefor, with an equitable or proportionate adjustment as to the number and kind of shares subject to such awards as such parties shall agree (after taking into account any acceleration hereunder and/or pursuant to the terms of any Award Agreement).</w:t>
      </w:r>
    </w:p>
    <w:p>
      <w:pPr>
        <w:spacing w:after="0" w:line="75" w:lineRule="exact"/>
        <w:rPr>
          <w:rFonts w:ascii="Times New Roman" w:cs="Times New Roman" w:eastAsia="Times New Roman" w:hAnsi="Times New Roman"/>
          <w:sz w:val="18"/>
          <w:szCs w:val="18"/>
          <w:color w:val="auto"/>
        </w:rPr>
      </w:pPr>
    </w:p>
    <w:p>
      <w:pPr>
        <w:ind w:right="80" w:firstLine="948"/>
        <w:spacing w:after="0" w:line="289" w:lineRule="auto"/>
        <w:tabs>
          <w:tab w:leader="none" w:pos="1237"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the forfeiture of Restricted Stock pursuant to Section 3(c)(ii)(A), such Restricted Stock shall be repurchased from the Holder thereof at a price per share equal to the lower of the original per share purchase price paid by the Holder (subject to adjustment as provided in Section 3(b)) or the current Fair Market Value of such Shares, determined immediately prior to the effective time of the Sale Event.</w:t>
      </w:r>
    </w:p>
    <w:p>
      <w:pPr>
        <w:spacing w:after="0" w:line="49" w:lineRule="exact"/>
        <w:rPr>
          <w:rFonts w:ascii="Times New Roman" w:cs="Times New Roman" w:eastAsia="Times New Roman" w:hAnsi="Times New Roman"/>
          <w:sz w:val="17"/>
          <w:szCs w:val="17"/>
          <w:color w:val="auto"/>
        </w:rPr>
      </w:pPr>
    </w:p>
    <w:p>
      <w:pPr>
        <w:ind w:right="60" w:firstLine="948"/>
        <w:spacing w:after="0" w:line="261" w:lineRule="auto"/>
        <w:tabs>
          <w:tab w:leader="none" w:pos="1237"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3(c)(ii)(A), in the event of a Sale Event, the Company shall have the right, but not the obligation, to make or provide for a cash payment to the Holders of Restricted Stock or Restricted Stock Unit Awards, without consent of the Holders, in exchange for the cancellation thereof, in an amount equal to the Sale Price times the number of Shares subject to such Awards, to be paid at the time of such Sale Event or upon the later vesting of such Awards.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ELIGIBILITY</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Grantees under the Plan will be such full or part-time officers and other employees, directors, Consultants and key persons of the Company and any Subsidiary who are selected from time to time by the Committee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Awards shall be granted only to those individuals described in Rule 701(c)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11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Upon the grant of a Stock Option, the Company and the grantee shall enter into an Award Agreement. The terms and conditions of each such Award Agreement shall be determined by the Committee, and such terms and conditions may differ among individual Awards and grantees.</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68" w:lineRule="exact"/>
        <w:rPr>
          <w:sz w:val="20"/>
          <w:szCs w:val="20"/>
          <w:color w:val="auto"/>
        </w:rPr>
      </w:pPr>
    </w:p>
    <w:p>
      <w:pPr>
        <w:ind w:firstLine="436"/>
        <w:spacing w:after="0" w:line="266" w:lineRule="auto"/>
        <w:tabs>
          <w:tab w:leader="none" w:pos="68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Stock Options</w:t>
      </w:r>
      <w:r>
        <w:rPr>
          <w:rFonts w:ascii="Times New Roman" w:cs="Times New Roman" w:eastAsia="Times New Roman" w:hAnsi="Times New Roman"/>
          <w:sz w:val="18"/>
          <w:szCs w:val="18"/>
          <w:color w:val="auto"/>
        </w:rPr>
        <w:t>. The Committee in its discretion may grant Stock Options to those individuals who meet the eligibility requirements of Section 4. Stock Options shall be subject to the following terms and conditions and shall contain such additional terms and conditions, not inconsistent with the terms of the Plan, as the Committee shall deem desirable.</w:t>
      </w:r>
    </w:p>
    <w:p>
      <w:pPr>
        <w:spacing w:after="0" w:line="67" w:lineRule="exact"/>
        <w:rPr>
          <w:rFonts w:ascii="Times New Roman" w:cs="Times New Roman" w:eastAsia="Times New Roman" w:hAnsi="Times New Roman"/>
          <w:sz w:val="18"/>
          <w:szCs w:val="18"/>
          <w:color w:val="auto"/>
        </w:rPr>
      </w:pPr>
    </w:p>
    <w:p>
      <w:pPr>
        <w:ind w:right="60" w:firstLine="987"/>
        <w:spacing w:after="0" w:line="261" w:lineRule="auto"/>
        <w:tabs>
          <w:tab w:leader="none" w:pos="120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Shares covered by a Stock Option shall be determined by the Committee at the time of grant but shall not be less than 100 percent of the Fair Market Value on the Grant Date. In the case of an Incentive Stock Option that is granted to a Ten Percent Owner, the exercise price per share for the Shares covered by such Incentive Stock Option shall not be less than 110 percent of the Fair Market Value on the Grant Date.</w:t>
      </w:r>
    </w:p>
    <w:p>
      <w:pPr>
        <w:spacing w:after="0" w:line="71" w:lineRule="exact"/>
        <w:rPr>
          <w:rFonts w:ascii="Times New Roman" w:cs="Times New Roman" w:eastAsia="Times New Roman" w:hAnsi="Times New Roman"/>
          <w:sz w:val="18"/>
          <w:szCs w:val="18"/>
          <w:color w:val="auto"/>
        </w:rPr>
      </w:pPr>
    </w:p>
    <w:p>
      <w:pPr>
        <w:ind w:right="140" w:firstLine="987"/>
        <w:spacing w:after="0" w:line="266" w:lineRule="auto"/>
        <w:tabs>
          <w:tab w:leader="none" w:pos="125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Committee, but no Stock Option shall be exercisable more than ten years from the Grant Date. In the case of an Incentive Stock Option that is granted to a Ten Percent Owner, the term of such Stock Option shall be no more than five years from the Grant Date.</w:t>
      </w:r>
    </w:p>
    <w:p>
      <w:pPr>
        <w:spacing w:after="0" w:line="67" w:lineRule="exact"/>
        <w:rPr>
          <w:rFonts w:ascii="Times New Roman" w:cs="Times New Roman" w:eastAsia="Times New Roman" w:hAnsi="Times New Roman"/>
          <w:sz w:val="18"/>
          <w:szCs w:val="18"/>
          <w:color w:val="auto"/>
        </w:rPr>
      </w:pPr>
    </w:p>
    <w:p>
      <w:pPr>
        <w:ind w:firstLine="987"/>
        <w:spacing w:after="0" w:line="254" w:lineRule="auto"/>
        <w:tabs>
          <w:tab w:leader="none" w:pos="130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and/or vested at such time or times, whether or not in installments, as shall be determined by the Committee at or after the Grant Date. The Award Agreement may permit a grantee to exercise all or a portion of a Stock Option immediately at grant; provided that the Shares issued upon such exercise shall be subject to restrictions and a vesting schedule identical to the vesting schedule of the related Stock Option, such Shares shall be deemed to be Restricted Stock for purposes of the Plan, and the optionee may be required to enter into an additional or new Award Agreement as a condition to exercise of such Stock Option. An optionee shall have the rights of a stockholder only as to Shares acquired upon the exercise of a Stock Option and not as to unexercised Stock Options. An optionee shall not be deemed to have acquired any Shares unless and until a Stock Option shall have been exercised pursuant to the terms of the Award Agreement and this Plan and the optionee’s name has been entered on the books of the Company as a stockholder.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67" w:name="page368"/>
    <w:bookmarkEnd w:id="367"/>
    <w:p>
      <w:pPr>
        <w:ind w:left="-20" w:right="60" w:firstLine="987"/>
        <w:spacing w:after="0" w:line="266" w:lineRule="auto"/>
        <w:tabs>
          <w:tab w:leader="none" w:pos="127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Method of Exercise</w:t>
      </w:r>
      <w:r>
        <w:rPr>
          <w:rFonts w:ascii="Times New Roman" w:cs="Times New Roman" w:eastAsia="Times New Roman" w:hAnsi="Times New Roman"/>
          <w:sz w:val="18"/>
          <w:szCs w:val="18"/>
          <w:color w:val="auto"/>
        </w:rPr>
        <w:t>. Stock Options may be exercised by an optionee in whole or in part, by the optionee giving written or electronic notice of exercise to the Company, specifying the number of Shares to be purchased. Payment of the purchase price may be made by one or more of the following methods (or any combination thereof) to the extent provided in the Award Agreement:</w:t>
      </w:r>
    </w:p>
    <w:p>
      <w:pPr>
        <w:spacing w:after="0" w:line="67" w:lineRule="exact"/>
        <w:rPr>
          <w:rFonts w:ascii="Times New Roman" w:cs="Times New Roman" w:eastAsia="Times New Roman" w:hAnsi="Times New Roman"/>
          <w:sz w:val="18"/>
          <w:szCs w:val="18"/>
          <w:color w:val="auto"/>
        </w:rPr>
      </w:pPr>
    </w:p>
    <w:p>
      <w:pPr>
        <w:ind w:left="1660" w:hanging="292"/>
        <w:spacing w:after="0"/>
        <w:tabs>
          <w:tab w:leader="none" w:pos="166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by wire transfer of immediately available funds, or other instrument acceptable to the</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w:t>
      </w:r>
    </w:p>
    <w:p>
      <w:pPr>
        <w:spacing w:after="0" w:line="98" w:lineRule="exact"/>
        <w:rPr>
          <w:rFonts w:ascii="Times New Roman" w:cs="Times New Roman" w:eastAsia="Times New Roman" w:hAnsi="Times New Roman"/>
          <w:sz w:val="18"/>
          <w:szCs w:val="18"/>
          <w:color w:val="auto"/>
        </w:rPr>
      </w:pPr>
    </w:p>
    <w:p>
      <w:pPr>
        <w:ind w:left="420" w:right="120" w:firstLine="948"/>
        <w:spacing w:after="0" w:line="266" w:lineRule="auto"/>
        <w:tabs>
          <w:tab w:leader="none" w:pos="1657"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permitted by the Committee, by the optionee delivering to the Company a promissory note, if the Board has expressly authorized the loan of funds to the optionee for the purpose of enabling or assisting the optionee to effect the exercise of his or her Stock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least so much of the exercise price as represents the par value of the Stock shall be paid in cash if required by state law;</w:t>
      </w:r>
    </w:p>
    <w:p>
      <w:pPr>
        <w:spacing w:after="0" w:line="67" w:lineRule="exact"/>
        <w:rPr>
          <w:rFonts w:ascii="Times New Roman" w:cs="Times New Roman" w:eastAsia="Times New Roman" w:hAnsi="Times New Roman"/>
          <w:sz w:val="18"/>
          <w:szCs w:val="18"/>
          <w:color w:val="auto"/>
        </w:rPr>
      </w:pPr>
    </w:p>
    <w:p>
      <w:pPr>
        <w:ind w:left="420" w:right="80" w:firstLine="948"/>
        <w:spacing w:after="0" w:line="277" w:lineRule="auto"/>
        <w:tabs>
          <w:tab w:leader="none" w:pos="1657"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permitted by the Committee and the Initial Public Offering has occurred (or the Stock otherwise becomes publicly-traded), through the delivery (or attestation to the ownership) of Shares that have been purchased by the optionee on the open market or that are beneficially owned by the optionee and are not then subject to restrictions under any Company plan. To the extent required to avoid variable accounting treatment under ASC 718 or other applicable accounting rules, such surrendered Shares if originally purchased from the Company shall have been owned by the optionee for at least six months. Such surrendered Shares shall be valued at Fair Market Value on the exercise date;</w:t>
      </w:r>
    </w:p>
    <w:p>
      <w:pPr>
        <w:spacing w:after="0" w:line="59" w:lineRule="exact"/>
        <w:rPr>
          <w:rFonts w:ascii="Times New Roman" w:cs="Times New Roman" w:eastAsia="Times New Roman" w:hAnsi="Times New Roman"/>
          <w:sz w:val="17"/>
          <w:szCs w:val="17"/>
          <w:color w:val="auto"/>
        </w:rPr>
      </w:pPr>
    </w:p>
    <w:p>
      <w:pPr>
        <w:ind w:left="420" w:firstLine="948"/>
        <w:spacing w:after="0" w:line="258" w:lineRule="auto"/>
        <w:tabs>
          <w:tab w:leader="none" w:pos="1667"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permitted by the Committee and the Initial Public Offering has occurred (or the Stock otherwise becomes publicly-traded), by the optionee delivering to the Company a properly executed exercise notice together with irrevocable instructions to a broker to promptly deliver to the Company cash or a check payable and acceptable to the Company for the purchase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or</w:t>
      </w:r>
    </w:p>
    <w:p>
      <w:pPr>
        <w:spacing w:after="0" w:line="75" w:lineRule="exact"/>
        <w:rPr>
          <w:rFonts w:ascii="Times New Roman" w:cs="Times New Roman" w:eastAsia="Times New Roman" w:hAnsi="Times New Roman"/>
          <w:sz w:val="18"/>
          <w:szCs w:val="18"/>
          <w:color w:val="auto"/>
        </w:rPr>
      </w:pPr>
    </w:p>
    <w:p>
      <w:pPr>
        <w:ind w:left="420" w:right="40" w:firstLine="948"/>
        <w:spacing w:after="0" w:line="266" w:lineRule="auto"/>
        <w:tabs>
          <w:tab w:leader="none" w:pos="1647"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by the Committee, and only with respect to Stock Options that are not Incentive Stock Options, by a “net exercise” arrangement pursuant to which the Company will reduce the number of Shares issuable upon exercise by the largest whole number of Shares with a Fair Market Value that does not exceed the aggregate exercise price.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60" w:top="270" w:right="479" w:bottom="1440" w:gutter="0" w:footer="0" w:header="0"/>
        </w:sectPr>
      </w:pPr>
    </w:p>
    <w:bookmarkStart w:id="368" w:name="page369"/>
    <w:bookmarkEnd w:id="368"/>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instruments will be received subject to collection. No certificates for Shares so purchased will be issued to the optionee or, with respect to uncertificated Stock, no transfer to the optionee on the records of the Company will take place, until the Company has completed all steps it has deemed necessary to satisfy legal requirements relating to the issuance and sale of the Shares, which steps may include, without limitation, (i) receipt of a representation from the optionee at the time of exercise of the Option that the optionee is purchasing the Shares for the optionee’s own account and not with a view to any sale or distribution of the Shares or other representations relating to compliance with applicable law governing the issuance of securities, (ii) the legending of the certificate (or notation on any book entry) representing the Shares to evidence the foregoing restrictions,</w:t>
      </w:r>
    </w:p>
    <w:p>
      <w:pPr>
        <w:spacing w:after="0" w:line="5" w:lineRule="exact"/>
        <w:rPr>
          <w:sz w:val="20"/>
          <w:szCs w:val="20"/>
          <w:color w:val="auto"/>
        </w:rPr>
      </w:pPr>
    </w:p>
    <w:p>
      <w:pPr>
        <w:ind w:left="4" w:right="100" w:hanging="4"/>
        <w:spacing w:after="0" w:line="265" w:lineRule="auto"/>
        <w:tabs>
          <w:tab w:leader="none" w:pos="319"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from optionee payment or provision for all withholding taxes due as a result of the exercise of the Option and (iv) if required by the Company, the optionee’s execution and delivery of any stockholders’ agreements or other agreements with the Company and/or certain other stockholders of the Company relating to shares of the Stock. The delivery of certificates representing the shares of Stock (or the transfer to the optionee on the records of the Company with respect to uncertificated Stock) to be purchased pursuant to the exercise of a Stock Option will be contingent upon</w:t>
      </w:r>
    </w:p>
    <w:p>
      <w:pPr>
        <w:ind w:left="4"/>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receipt from the optionee (or a purchaser acting in his or her stead in accordance with the provisions of the Stock Option) by the Company of the full purchase price for such Shares and the fulfillment of any other requirements contained in the Award Agreement or applicable provisions of laws and</w:t>
      </w:r>
    </w:p>
    <w:p>
      <w:pPr>
        <w:ind w:left="4"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if required by the Company, the optionee shall have entered into any stockholders agreements or other agreements with the Company and/or certain other of the Company’s stockholders relating to the Stock. In the event an optionee chooses to pay the purchase price by previously-owned Shares through the attestation method, the number of Shares transferred to the optionee upon the exercise of the Stock Option shall be net of the number of Shares attested to.</w:t>
      </w:r>
    </w:p>
    <w:p>
      <w:pPr>
        <w:spacing w:after="0" w:line="80" w:lineRule="exact"/>
        <w:rPr>
          <w:rFonts w:ascii="Times New Roman" w:cs="Times New Roman" w:eastAsia="Times New Roman" w:hAnsi="Times New Roman"/>
          <w:sz w:val="17"/>
          <w:szCs w:val="17"/>
          <w:color w:val="auto"/>
        </w:rPr>
      </w:pPr>
    </w:p>
    <w:p>
      <w:pPr>
        <w:ind w:left="4" w:right="140" w:firstLine="436"/>
        <w:spacing w:after="0" w:line="258" w:lineRule="auto"/>
        <w:tabs>
          <w:tab w:leader="none" w:pos="699"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Grant Date) of the Shares with respect to which Incentive Stock Options granted under the Plan and any other plan of the Company or its parent and any Subsidiary that become exercisable for the first time by an optionee during any calendar year shall not exceed $100,000 or such other limit as may be in effect from time to time under Section 422 of the Code. To the extent that any Stock Option exceeds this limit, it shall constitute a Non-Qualified Stock Option.</w:t>
      </w:r>
    </w:p>
    <w:p>
      <w:pPr>
        <w:spacing w:after="0" w:line="75" w:lineRule="exact"/>
        <w:rPr>
          <w:rFonts w:ascii="Times New Roman" w:cs="Times New Roman" w:eastAsia="Times New Roman" w:hAnsi="Times New Roman"/>
          <w:sz w:val="18"/>
          <w:szCs w:val="18"/>
          <w:color w:val="auto"/>
        </w:rPr>
      </w:pPr>
    </w:p>
    <w:p>
      <w:pPr>
        <w:ind w:left="4" w:right="60" w:firstLine="436"/>
        <w:spacing w:after="0" w:line="253" w:lineRule="auto"/>
        <w:tabs>
          <w:tab w:leader="none" w:pos="689"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Any portion of a Stock Option that is not vested and exercisable on the date of termination of an optionee’s Service Relationship shall immediately expire and be null and void. Once any portion of the Stock Option becomes vested and exercisable, the optionee’s right to exercise such portion of the Stock Option (or the optionee’s representatives and legatees as applicable) in the event of a termination of the optionee’s Service Relationship shall continue until the earliest of: (i) the date which is: (A) 12 months following the date on which the optionee’s Service Relationship terminates due to death or Disability (or such longer period of time as determined by the Committee and set forth in the applicable Award Agreement), or (B) three months following the date on which the optionee’s Service Relationship terminates if the termination is due to any reason other than death or Disability (or such longer period of time as determined by the Committee and set forth in the applicable Award Agreement), or (ii) the Expiration Date set forth in the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an Award Agreement may provide that if the optionee’s Service Relationship is terminated for Cause, the Stock Option shall terminate immediately and be null and void upon the date of the optionee’s termination and shall not thereafter be exercisable.</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RESTRICTED STOCK AWARDS</w:t>
      </w:r>
    </w:p>
    <w:p>
      <w:pPr>
        <w:spacing w:after="0" w:line="117" w:lineRule="exact"/>
        <w:rPr>
          <w:sz w:val="20"/>
          <w:szCs w:val="20"/>
          <w:color w:val="auto"/>
        </w:rPr>
      </w:pPr>
    </w:p>
    <w:p>
      <w:pPr>
        <w:ind w:left="680" w:hanging="244"/>
        <w:spacing w:after="0"/>
        <w:tabs>
          <w:tab w:leader="none" w:pos="6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Committee may, in its sole discretion, grant (or sell at par value or such other purchase price</w:t>
      </w:r>
    </w:p>
    <w:p>
      <w:pPr>
        <w:spacing w:after="0" w:line="27" w:lineRule="exact"/>
        <w:rPr>
          <w:rFonts w:ascii="Times New Roman" w:cs="Times New Roman" w:eastAsia="Times New Roman" w:hAnsi="Times New Roman"/>
          <w:sz w:val="18"/>
          <w:szCs w:val="18"/>
          <w:color w:val="auto"/>
        </w:rPr>
      </w:pPr>
    </w:p>
    <w:p>
      <w:pPr>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determined by the Committee) to an eligible individual under Section 4 hereof a Restricted Stock Award under the Plan. The Committee shall determine the restrictions and conditions applicable to each Restricted Stock Award at the time of grant. Conditions may be based on continuing employment (or other Service Relationship), achievement of pre-established performance goals and objectives and/or such other criteria as the Committee may determine. Upon the grant of a Restricted Stock Award, the Company and the grantee shall enter into an Award Agreement. The terms and conditions of each such Award Agreement shall be determined by the Committee, and such terms and conditions may differ among individual Awards and grantees.</w:t>
      </w:r>
    </w:p>
    <w:p>
      <w:pPr>
        <w:spacing w:after="0" w:line="65"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Upon the grant of the Restricted Stock Award and payment of any applicable purchase price, a grantee of Restricted Stock shall be considered the record owner of and shall be entitled to vote the Restricted Stock if, and to the extent, such Shares are entitled to voting rights, subject to such conditions contained in the Award Agreement. The grantee shall be entitled to receive all dividends and any other distributions declared on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is under no duty to declare any such dividends or to make any such distribution. Unless the Committee shall otherwise determine, certificates evidencing the Restricted Stock shall remain in the possession of the Company until such Restricted Stock is vested as provided in subsection (d) below of this Section, and the grantee shall be required, as a condition of the grant, to deliver to the Company a stock power endorsed in blank and such other instruments of transfer as the Committee may prescribe.</w:t>
      </w:r>
    </w:p>
    <w:p>
      <w:pPr>
        <w:spacing w:after="0" w:line="80" w:lineRule="exact"/>
        <w:rPr>
          <w:rFonts w:ascii="Times New Roman" w:cs="Times New Roman" w:eastAsia="Times New Roman" w:hAnsi="Times New Roman"/>
          <w:sz w:val="18"/>
          <w:szCs w:val="18"/>
          <w:color w:val="auto"/>
        </w:rPr>
      </w:pPr>
    </w:p>
    <w:p>
      <w:pPr>
        <w:ind w:right="80" w:firstLine="436"/>
        <w:spacing w:after="0" w:line="258" w:lineRule="auto"/>
        <w:tabs>
          <w:tab w:leader="none" w:pos="68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Stock may not be sold, assigned, transferred, pledged or otherwise encumbered or disposed of except as specifically provided herein or in the Award Agreement. Except as may otherwise be provided by the Committee either in the Award Agreement or, subject to Section 12 below, in writing after the Award Agreement is issued, if a grantee’s Service Relationship with the Company and any Subsidiary terminates, the Company or its assigns shall have the right, as may be specified in the relevant instrument, to repurchase some or all of the Shares subject to the Award at such purchase price as is set forth in the Award Agreement.</w:t>
      </w:r>
    </w:p>
    <w:p>
      <w:pPr>
        <w:spacing w:after="0" w:line="75"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9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w:t>
      </w:r>
      <w:r>
        <w:rPr>
          <w:rFonts w:ascii="Times New Roman" w:cs="Times New Roman" w:eastAsia="Times New Roman" w:hAnsi="Times New Roman"/>
          <w:sz w:val="18"/>
          <w:szCs w:val="18"/>
          <w:color w:val="auto"/>
        </w:rPr>
        <w:t>. The Committee at the time of grant shall specify in the Award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Award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UNRESTRICTED STOCK AWARDS</w:t>
      </w:r>
    </w:p>
    <w:p>
      <w:pPr>
        <w:spacing w:after="0" w:line="117"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Committee may, in its sole discretion, grant (or sell at par value or such other purchase price determined by the Committee) to an eligible person under Section 4 hereof an Unrestricted Stock Award under the Plan. Unrestricted Stock Awards may be granted in respect of past services or other valid consideration, or in lieu of cash compensation due to such grantee.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RESTRICTED STOCK UNITS</w:t>
      </w:r>
    </w:p>
    <w:p>
      <w:pPr>
        <w:spacing w:after="0" w:line="117" w:lineRule="exact"/>
        <w:rPr>
          <w:sz w:val="20"/>
          <w:szCs w:val="20"/>
          <w:color w:val="auto"/>
        </w:rPr>
      </w:pPr>
    </w:p>
    <w:p>
      <w:pPr>
        <w:ind w:firstLine="436"/>
        <w:spacing w:after="0" w:line="254" w:lineRule="auto"/>
        <w:tabs>
          <w:tab w:leader="none" w:pos="68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Committee may, in its sole discretion, grant to an eligible person under Section 4 hereof Restricted Stock Units under the Plan. The Committee shall determine the restrictions and conditions applicable to each Restricted Stock Unit at the time of grant. Vesting conditions may be based on continuing employment (or other Service Relationship), achievement of pre-established performance goals and objectives and/or other such criteria as the Committee may determine. Upon the grant of Restricted Stock Units, the grantee and the Company shall enter into an Award Agreement. The terms and conditions of each such Award Agreement shall be determined by the Committee and may differ among individual Awards and grantees. On or promptly following the vesting date or dates applicable to any Restricted Stock Unit, but in no event later than March 15 of the year following the year in which such vesting occurs, such Restricted Stock Unit(s) shall be settled in the form of cash or shares of Stock, as specified in the Award Agreement. Restricted Stock Units may not be sold, assigned, transferred, pledged, or otherwise encumbered or disposed of.</w:t>
      </w:r>
    </w:p>
    <w:p>
      <w:pPr>
        <w:spacing w:after="0" w:line="80"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of a stockholder only as to Shares, if any, acquired upon settlement of Restricted Stock Units. A grantee shall not be deemed to have acquired any such Shares unless and until the Restricted Stock Units shall have been settled in Shares pursuant to the terms of the Plan and the Award Agreement, the Company shall have issued and delivered a certificate representing the Shares to the grantee (or transferred on the records of the Company with respect to uncertificated stock), and the grantee’s name has been entered in the books of the Company as a stockholder.</w:t>
      </w:r>
    </w:p>
    <w:p>
      <w:pPr>
        <w:spacing w:after="0" w:line="75" w:lineRule="exact"/>
        <w:rPr>
          <w:rFonts w:ascii="Times New Roman" w:cs="Times New Roman" w:eastAsia="Times New Roman" w:hAnsi="Times New Roman"/>
          <w:sz w:val="18"/>
          <w:szCs w:val="18"/>
          <w:color w:val="auto"/>
        </w:rPr>
      </w:pPr>
    </w:p>
    <w:p>
      <w:pPr>
        <w:ind w:right="120" w:firstLine="436"/>
        <w:spacing w:after="0" w:line="266" w:lineRule="auto"/>
        <w:tabs>
          <w:tab w:leader="none" w:pos="68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Committee either in the Award Agreement or in writing after the Award Agreement is issued, a grantee’s right in all Restricted Stock Units that have not vested shall automatically terminate upon the grantee’s cessation of Service Relationship with the Company and any Subsidiary for any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TRANSFER RESTRICTIONS; COMPANY RIGHT OF FIRST REFUSAL; COMPANY REPURCHASE RIGHTS</w:t>
      </w:r>
    </w:p>
    <w:p>
      <w:pPr>
        <w:spacing w:after="0" w:line="117" w:lineRule="exact"/>
        <w:rPr>
          <w:sz w:val="20"/>
          <w:szCs w:val="20"/>
          <w:color w:val="auto"/>
        </w:rPr>
      </w:pPr>
    </w:p>
    <w:p>
      <w:pPr>
        <w:ind w:left="680" w:hanging="244"/>
        <w:spacing w:after="0"/>
        <w:tabs>
          <w:tab w:leader="none" w:pos="6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280" w:firstLine="987"/>
        <w:spacing w:after="0" w:line="272" w:lineRule="auto"/>
        <w:tabs>
          <w:tab w:leader="none" w:pos="1206"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 of Stock Options</w:t>
      </w:r>
      <w:r>
        <w:rPr>
          <w:rFonts w:ascii="Times New Roman" w:cs="Times New Roman" w:eastAsia="Times New Roman" w:hAnsi="Times New Roman"/>
          <w:sz w:val="17"/>
          <w:szCs w:val="17"/>
          <w:color w:val="auto"/>
        </w:rPr>
        <w:t>. Stock Options and, prior to exercise, the Shares issuable upon exercise of such Stock Option, shall not be transferable by the optionee otherwise than by will, or by the laws of descent and distribution, and all Stock Options shall be exercisable, during the optionee’s lifetime, only by the optionee, or by the optionee’s legal representative or guardian in the event of the optionee’s incapacity.</w:t>
      </w:r>
    </w:p>
    <w:p>
      <w:pPr>
        <w:spacing w:after="0" w:line="1" w:lineRule="exact"/>
        <w:rPr>
          <w:rFonts w:ascii="Times New Roman" w:cs="Times New Roman" w:eastAsia="Times New Roman" w:hAnsi="Times New Roman"/>
          <w:sz w:val="17"/>
          <w:szCs w:val="17"/>
          <w:color w:val="auto"/>
        </w:rPr>
      </w:pPr>
    </w:p>
    <w:p>
      <w:pPr>
        <w:ind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the foregoing, the Committee, in its sole discretion, may provide in the Award Agreement regarding a given Stock Option that the optionee may transfer by gift, without consideration for the transfer, his or her Non-Qualified Stock Options to his or her family members (as defined in Rule 701 of the Securities Act), to trusts for the benefit of such family members, or to partnerships in which such family members are the only partners (to the extent such trusts or partnerships are considered “family members” for purposes of Rule 701 of the Securities Act), provided that the transferee agrees in writing with the Company to be bound by all of the terms and conditions of this Plan and the applicable Award Agreement, including the execution of a stock power upon the issuance of Shares. Stock Options, and the Shares issuable upon exercise of such Stock Options, shall be restricted as to any pledge, hypothecation, or other transfer, including any short position, any “put equivalent position” (as defined in the Exchange Act) or any “call equivalent position” (as defined in the Exchange Act) prior to exercise.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71" w:name="page372"/>
    <w:bookmarkEnd w:id="371"/>
    <w:p>
      <w:pPr>
        <w:ind w:left="-20" w:firstLine="987"/>
        <w:spacing w:after="0" w:line="252" w:lineRule="auto"/>
        <w:tabs>
          <w:tab w:leader="none" w:pos="12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w:t>
      </w:r>
      <w:r>
        <w:rPr>
          <w:rFonts w:ascii="Times New Roman" w:cs="Times New Roman" w:eastAsia="Times New Roman" w:hAnsi="Times New Roman"/>
          <w:sz w:val="18"/>
          <w:szCs w:val="18"/>
          <w:color w:val="auto"/>
        </w:rPr>
        <w:t>. No Shares shall be sold, assigned, transferred, pledged, hypothecated, given away or in any other manner disposed of or encumbered, whether voluntarily or by operation of law, unless (i) the transfer is in compliance with the terms of the applicable Award Agreement, all applicable securities laws (including, without limitation, the Securities Act), and with the terms and conditions of this Section 9, (ii) the transfer does not cause the Company to become subject to the reporting requirements of the Exchange Act, and (iii) the transferee consents in writing to be bound by the provisions of the Plan and the Award Agreement, including this Section 9. In connection with any proposed transfer, the Committee may require the transferor to provide at the transferor’s own expense an opinion of counsel to the transferor, satisfactory to the Committee, that such transfer is in compliance with all foreign, federal and state securities laws (including, without limitation, the Securities Act). Any attempted transfer of Shares not in accordance with the terms and conditions of this Section 9 shall be null and void, and the Company shall not reflect on its records any change in record ownership of any Shares as a result of any such transfer, shall otherwise refuse to recognize any such transfer and shall not in any way give effect to any such transfer of Shares. The Company shall be entitled to seek protective orders, injunctive relief and other remedies available at law or in equity including, without limitation, seeking specific performance or the rescission of any transfer not made in strict compliance with the provisions of this Section 9. Subject to the foregoing general provisions, and unless otherwise provided in the applicable Award Agreement, Shares may be transferred pursuant to the following specific terms and conditions (provided that with respect to any transfer of Restricted Stock, all vesting and forfeiture provisions shall continue to apply with respect to the original recipient):</w:t>
      </w:r>
    </w:p>
    <w:p>
      <w:pPr>
        <w:spacing w:after="0" w:line="89" w:lineRule="exact"/>
        <w:rPr>
          <w:rFonts w:ascii="Times New Roman" w:cs="Times New Roman" w:eastAsia="Times New Roman" w:hAnsi="Times New Roman"/>
          <w:sz w:val="18"/>
          <w:szCs w:val="18"/>
          <w:color w:val="auto"/>
        </w:rPr>
      </w:pPr>
    </w:p>
    <w:p>
      <w:pPr>
        <w:ind w:left="420" w:right="80" w:firstLine="948"/>
        <w:spacing w:after="0" w:line="258" w:lineRule="auto"/>
        <w:tabs>
          <w:tab w:leader="none" w:pos="1666"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to Permitted Transferees</w:t>
      </w:r>
      <w:r>
        <w:rPr>
          <w:rFonts w:ascii="Times New Roman" w:cs="Times New Roman" w:eastAsia="Times New Roman" w:hAnsi="Times New Roman"/>
          <w:sz w:val="18"/>
          <w:szCs w:val="18"/>
          <w:color w:val="auto"/>
        </w:rPr>
        <w:t xml:space="preserve">. The Holder may transfer any or all of the Shares to one or more Permitted Transferees;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following such transfer, such Shares shall continue to be subject to the terms of this Plan (including this Section 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Permitted Transferee(s) shall, as a condition to any such transfer, deliver a written acknowledgment to that effect to the Company and shall deliver a stock power to the Company with respect to the Shares. Notwithstanding the foregoing, the Holder may not transfer any of the Shares to a Person whom the Company reasonably determines is a direct competitor or a potential competitor of the Company or any of its Subsidiaries.</w:t>
      </w:r>
    </w:p>
    <w:p>
      <w:pPr>
        <w:spacing w:after="0" w:line="75" w:lineRule="exact"/>
        <w:rPr>
          <w:rFonts w:ascii="Times New Roman" w:cs="Times New Roman" w:eastAsia="Times New Roman" w:hAnsi="Times New Roman"/>
          <w:sz w:val="18"/>
          <w:szCs w:val="18"/>
          <w:color w:val="auto"/>
        </w:rPr>
      </w:pPr>
    </w:p>
    <w:p>
      <w:pPr>
        <w:ind w:left="420" w:right="20" w:firstLine="948"/>
        <w:spacing w:after="0" w:line="261" w:lineRule="auto"/>
        <w:tabs>
          <w:tab w:leader="none" w:pos="1657"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Upon Death</w:t>
      </w:r>
      <w:r>
        <w:rPr>
          <w:rFonts w:ascii="Times New Roman" w:cs="Times New Roman" w:eastAsia="Times New Roman" w:hAnsi="Times New Roman"/>
          <w:sz w:val="18"/>
          <w:szCs w:val="18"/>
          <w:color w:val="auto"/>
        </w:rPr>
        <w:t>. Upon the death of the Holder, any Shares then held by the Holder at the time of such death and any Shares acquired after the Holder’s death by the Holder’s legal representative shall be subject to the provisions of this Plan, and the Holder’s estate, executors, administrators, personal representatives, heirs, legatees and distributees shall be obligated to convey such Shares to the Company or its assigns under the terms contemplated by the Plan and the Award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60" w:top="270" w:right="459" w:bottom="1440" w:gutter="0" w:footer="0" w:header="0"/>
        </w:sectPr>
      </w:pPr>
    </w:p>
    <w:bookmarkStart w:id="372" w:name="page373"/>
    <w:bookmarkEnd w:id="372"/>
    <w:p>
      <w:pPr>
        <w:ind w:right="40" w:firstLine="436"/>
        <w:spacing w:after="0" w:line="252" w:lineRule="auto"/>
        <w:tabs>
          <w:tab w:leader="none" w:pos="69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of First Refusal</w:t>
      </w:r>
      <w:r>
        <w:rPr>
          <w:rFonts w:ascii="Times New Roman" w:cs="Times New Roman" w:eastAsia="Times New Roman" w:hAnsi="Times New Roman"/>
          <w:sz w:val="18"/>
          <w:szCs w:val="18"/>
          <w:color w:val="auto"/>
        </w:rPr>
        <w:t>. In the event that a Holder desires at any time to sell or otherwise transfer all or any part of his or her Shares (other than shares of Restricted Stock which by their terms are not transferrable), the Holder first shall give written notice to the Company of the Holder’s intention to make such transfer. Such notice shall state the number of Shares that the Holder proposes to sell (the “Offered Shares”), the price and the terms at which the proposed sale is to be made and the name and address of the proposed transferee. At any time within 30 days after the receipt of such notice by the Company, the Company or its assigns may elect to purchase all or any portion of the Offered Shares at the price and on the terms offered by the proposed transferee and specified in the notice. The Company or its assigns shall exercise this right by mailing or delivering written notice to the Holder within the foregoing 30-day period. If the Company or its assigns elect to exercise its purchase rights under this Section 9(b), the closing for such purchase shall, in any event, take place within 45 days after the receipt by the Company of the initial notice from the Holder. In the event that the Company or its assigns do not elect to exercise such purchase right, or in the event that the Company or its assigns do not pay the full purchase price within such 45-day period, the Holder may, within 60 days thereafter, sell the Offered Shares to the proposed transferee and at the same price and on the same terms as specified in the Holder’s notice. Any Shares not sold to the proposed transferee shall remain subject to the Plan. If the Holder is a party to any stockholders agreements or other agreements with the Company and/or certain other of the Company’s stockholders relating to the Shares, (i) the transferring Holder shall comply with the requirements of such stockholders agreements or other agreements relating to any proposed transfer of the Offered Shares, and (ii) any proposed transferee that purchases Offered Shares shall enter into such stockholders agreements or other agreements with the Company and/or certain of the Company’s stockholders relating to the Offered Shares on the same terms and in the same capacity as the transferring Holder.</w:t>
      </w:r>
    </w:p>
    <w:p>
      <w:pPr>
        <w:spacing w:after="0" w:line="86"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Right of Repurchase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Repurchase for Unvested Shares Issued Upon the Exercise of an Option</w:t>
      </w:r>
      <w:r>
        <w:rPr>
          <w:rFonts w:ascii="Times New Roman" w:cs="Times New Roman" w:eastAsia="Times New Roman" w:hAnsi="Times New Roman"/>
          <w:sz w:val="18"/>
          <w:szCs w:val="18"/>
          <w:color w:val="auto"/>
        </w:rPr>
        <w:t>. Upon a Termination Event, the Company or its assigns shall have the right and option to repurchase from a Holder of Shares acquired upon exercise of a Stock Option which are still subject to a risk of forfeiture as of the Termination Event. Such repurchase rights may be exercised by the Company within the later of (A) six months following the date of such Termination Event or (B) seven months after the acquisition of Shares upon exercise of a Stock Option. The repurchase price shall be equal to the lower of the original per share price paid by the Holder, subject to adjustment as provided in Section 3(b) of the Plan, or the current Fair Market Value of such Shares as of the date the Company elects to exercise its repurchase rights.</w:t>
      </w:r>
    </w:p>
    <w:p>
      <w:pPr>
        <w:spacing w:after="0" w:line="79" w:lineRule="exact"/>
        <w:rPr>
          <w:rFonts w:ascii="Times New Roman" w:cs="Times New Roman" w:eastAsia="Times New Roman" w:hAnsi="Times New Roman"/>
          <w:sz w:val="18"/>
          <w:szCs w:val="18"/>
          <w:color w:val="auto"/>
        </w:rPr>
      </w:pPr>
    </w:p>
    <w:p>
      <w:pPr>
        <w:ind w:right="80" w:firstLine="987"/>
        <w:spacing w:after="0" w:line="258" w:lineRule="auto"/>
        <w:tabs>
          <w:tab w:leader="none" w:pos="125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Repurchase With Respect to Restricted Stock</w:t>
      </w:r>
      <w:r>
        <w:rPr>
          <w:rFonts w:ascii="Times New Roman" w:cs="Times New Roman" w:eastAsia="Times New Roman" w:hAnsi="Times New Roman"/>
          <w:sz w:val="18"/>
          <w:szCs w:val="18"/>
          <w:color w:val="auto"/>
        </w:rPr>
        <w:t>. Upon a Termination Event, the Company or its assigns shall have the right and option to repurchase from a Holder of Shares received pursuant to a Restricted Stock Award any Shares that are still subject to a risk of forfeiture as of the Termination Event. Such repurchase right may be exercised by the Company within six months following the date of such Termination Event. The repurchase price shall be the lower of the original per share purchase price paid by the Holder, subject to adjustment as provided in Section 3(b) of the Plan, or the current Fair Market Value of such Shares as of the date the Company elects to exercise its repurchase rights.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373" w:name="page374"/>
    <w:bookmarkEnd w:id="373"/>
    <w:p>
      <w:pPr>
        <w:ind w:right="40" w:firstLine="987"/>
        <w:spacing w:after="0" w:line="255" w:lineRule="auto"/>
        <w:tabs>
          <w:tab w:leader="none" w:pos="1306"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Procedure</w:t>
      </w:r>
      <w:r>
        <w:rPr>
          <w:rFonts w:ascii="Times New Roman" w:cs="Times New Roman" w:eastAsia="Times New Roman" w:hAnsi="Times New Roman"/>
          <w:sz w:val="18"/>
          <w:szCs w:val="18"/>
          <w:color w:val="auto"/>
        </w:rPr>
        <w:t xml:space="preserve">. Any repurchase right of the Company shall be exercised by the Company or its assigns by giving the Holder written notice on or before the last day of the repurchase period of its intention to exercise such repurchase right. Upon such notification, the Holder shall promptly surrender to the Company, free and clear of any liens or encumbrances, any certificates representing the Shares being purchased, together with a duly executed stock power for the transfer of such Shares to the Company or the Company’s assignee or assignees. Upon the Company’s or its assignee’s receipt of the certificates from the Holder, the Company or its assignee or assignees shall deliver to him, her or them a check for the applicable repurchase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pay the repurchase price by offsetting and canceling any indebtedness then owed by the Holder to the Company.</w:t>
      </w:r>
    </w:p>
    <w:p>
      <w:pPr>
        <w:spacing w:after="0" w:line="78" w:lineRule="exact"/>
        <w:rPr>
          <w:rFonts w:ascii="Times New Roman" w:cs="Times New Roman" w:eastAsia="Times New Roman" w:hAnsi="Times New Roman"/>
          <w:sz w:val="18"/>
          <w:szCs w:val="18"/>
          <w:color w:val="auto"/>
        </w:rPr>
      </w:pPr>
    </w:p>
    <w:p>
      <w:pPr>
        <w:ind w:right="80" w:firstLine="436"/>
        <w:spacing w:after="0" w:line="253" w:lineRule="auto"/>
        <w:tabs>
          <w:tab w:leader="none" w:pos="69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Drag Along Right</w:t>
      </w:r>
      <w:r>
        <w:rPr>
          <w:rFonts w:ascii="Times New Roman" w:cs="Times New Roman" w:eastAsia="Times New Roman" w:hAnsi="Times New Roman"/>
          <w:sz w:val="18"/>
          <w:szCs w:val="18"/>
          <w:color w:val="auto"/>
        </w:rPr>
        <w:t>. In the event the holders of a majority of the Company’s equity securities then outstanding (the “</w:t>
      </w:r>
      <w:r>
        <w:rPr>
          <w:rFonts w:ascii="Times New Roman" w:cs="Times New Roman" w:eastAsia="Times New Roman" w:hAnsi="Times New Roman"/>
          <w:sz w:val="18"/>
          <w:szCs w:val="18"/>
          <w:i w:val="1"/>
          <w:iCs w:val="1"/>
          <w:color w:val="auto"/>
        </w:rPr>
        <w:t>Majority Shareholders</w:t>
      </w:r>
      <w:r>
        <w:rPr>
          <w:rFonts w:ascii="Times New Roman" w:cs="Times New Roman" w:eastAsia="Times New Roman" w:hAnsi="Times New Roman"/>
          <w:sz w:val="18"/>
          <w:szCs w:val="18"/>
          <w:color w:val="auto"/>
        </w:rPr>
        <w:t>”) determine to enter into a Sale Event in a bona fide negotiated transaction (a “</w:t>
      </w:r>
      <w:r>
        <w:rPr>
          <w:rFonts w:ascii="Times New Roman" w:cs="Times New Roman" w:eastAsia="Times New Roman" w:hAnsi="Times New Roman"/>
          <w:sz w:val="18"/>
          <w:szCs w:val="18"/>
          <w:i w:val="1"/>
          <w:iCs w:val="1"/>
          <w:color w:val="auto"/>
        </w:rPr>
        <w:t>Sale</w:t>
      </w:r>
      <w:r>
        <w:rPr>
          <w:rFonts w:ascii="Times New Roman" w:cs="Times New Roman" w:eastAsia="Times New Roman" w:hAnsi="Times New Roman"/>
          <w:sz w:val="18"/>
          <w:szCs w:val="18"/>
          <w:color w:val="auto"/>
        </w:rPr>
        <w:t>”), with any non-Affiliate of the Company or any majority shareholder (in each case, the “</w:t>
      </w:r>
      <w:r>
        <w:rPr>
          <w:rFonts w:ascii="Times New Roman" w:cs="Times New Roman" w:eastAsia="Times New Roman" w:hAnsi="Times New Roman"/>
          <w:sz w:val="18"/>
          <w:szCs w:val="18"/>
          <w:i w:val="1"/>
          <w:iCs w:val="1"/>
          <w:color w:val="auto"/>
        </w:rPr>
        <w:t>Buyer</w:t>
      </w:r>
      <w:r>
        <w:rPr>
          <w:rFonts w:ascii="Times New Roman" w:cs="Times New Roman" w:eastAsia="Times New Roman" w:hAnsi="Times New Roman"/>
          <w:sz w:val="18"/>
          <w:szCs w:val="18"/>
          <w:color w:val="auto"/>
        </w:rPr>
        <w:t>”), a Holder of Shares, including any Permitted Transferee, shall be obligated to and shall upon the written request of the Majority Shareholders: (a) sell, transfer and deliver, or cause to be sold, transferred and delivered, to the Buyer, his or her Shares (including for this purpose all of such Holder’s Shares that presently or as a result of any such transaction may be acquired upon the exercise of an Option (following the payment of the exercise price therefor)) on substantially the same terms applicable to the Majority Shareholders (with appropriate adjustments to reflect the conversion of convertible securities, the redemption of redeemable securities and the exercise of exercisable securities as well as the relative preferences and priorities of preferred stock); and (b) execute and deliver such instruments of conveyance and transfer and take such other action, including voting such Shares in favor of any Sale proposed by the Majority Shareholders and executing any purchase agreements, merger agreements, indemnity agreements, escrow agreements or related documents as the Majority Shareholders or the Buyer may reasonably require in order to carry out the terms and provisions of this Section 9(d).</w:t>
      </w:r>
    </w:p>
    <w:p>
      <w:pPr>
        <w:spacing w:after="0" w:line="8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 Arrangement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40" w:firstLine="987"/>
        <w:spacing w:after="0" w:line="255" w:lineRule="auto"/>
        <w:tabs>
          <w:tab w:leader="none" w:pos="1206"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In order to carry out the provisions of this Section 9 of this Plan more effectively, the Company shall hold any Shares issued pursuant to Awards granted under the Plan in escrow together with separate stock powers executed by the Holder in blank for transfer. The Company shall not dispose of the Shares except as otherwise provided in this Plan. In the event of any repurchase by the Company (or any of its assigns), the Company is hereby authorized by the Holder, as the Holder’s attorney-in-fact, to date and complete the stock powers necessary for the transfer of the Shares being purchased and to transfer such Shares in accordance with the terms hereof. At such time as any Shares are no longer subject to the Company’s repurchase and first refusal rights, the Company shall, at the written request of the Holder, deliver to the Holder a certificate representing such Shares with the balance of the Shares to be held in escrow pursuant to this Section.</w:t>
      </w:r>
    </w:p>
    <w:p>
      <w:pPr>
        <w:spacing w:after="0" w:line="81" w:lineRule="exact"/>
        <w:rPr>
          <w:sz w:val="20"/>
          <w:szCs w:val="20"/>
          <w:color w:val="auto"/>
        </w:rPr>
      </w:pPr>
    </w:p>
    <w:p>
      <w:pPr>
        <w:ind w:firstLine="987"/>
        <w:spacing w:after="0" w:line="261" w:lineRule="auto"/>
        <w:tabs>
          <w:tab w:leader="none" w:pos="125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Remedy</w:t>
      </w:r>
      <w:r>
        <w:rPr>
          <w:rFonts w:ascii="Times New Roman" w:cs="Times New Roman" w:eastAsia="Times New Roman" w:hAnsi="Times New Roman"/>
          <w:sz w:val="18"/>
          <w:szCs w:val="18"/>
          <w:color w:val="auto"/>
        </w:rPr>
        <w:t>. Without limitation of any other provision of this Plan or other rights, in the event that a Holder or any other Person is required to sell a Holder’s Shares pursuant to the provisions of Sections 9(b) or (c) hereof and in the further event that he or she refuses or for any reason fails to deliver to the Company or its designated purchaser of such Shares the certificate or certificates evidencing such Shares together with a related stock power, the Company or such designated purchaser may deposit the applicable purchase price for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74" w:name="page375"/>
    <w:bookmarkEnd w:id="37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with a bank designated by the Company, or with the Company’s independent public accounting firm, as agent or trustee, or in escrow, for such Holder or other Person, to be held by such bank or accounting firm for the benefit of and for delivery to him, her, them or it, and/or, in its discretion, pay such purchase price by offsetting any indebtedness then owed by such Holder as provided above. Upon any such deposit and/or offset by the Company or its designated purchaser of such amount and upon notice to the Person who was required to sell the Shares to be sold pursuant to the provisions of Sections 9(b) or (c), such Shares shall at such time be deemed to have been sold, assigned, transferred and conveyed to such purchaser, such Holder shall have no further rights thereto (other than the right to withdraw the payment thereof held in escrow, if applicable), and the Company shall record such transfer in its stock transfer book or in any appropriate manner.</w:t>
      </w:r>
    </w:p>
    <w:p>
      <w:pPr>
        <w:spacing w:after="0" w:line="81" w:lineRule="exact"/>
        <w:rPr>
          <w:sz w:val="20"/>
          <w:szCs w:val="20"/>
          <w:color w:val="auto"/>
        </w:rPr>
      </w:pPr>
    </w:p>
    <w:p>
      <w:pPr>
        <w:jc w:val="both"/>
        <w:ind w:right="40" w:firstLine="436"/>
        <w:spacing w:after="0" w:line="281" w:lineRule="auto"/>
        <w:tabs>
          <w:tab w:leader="none" w:pos="665"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Lockup Provision</w:t>
      </w:r>
      <w:r>
        <w:rPr>
          <w:rFonts w:ascii="Times New Roman" w:cs="Times New Roman" w:eastAsia="Times New Roman" w:hAnsi="Times New Roman"/>
          <w:sz w:val="17"/>
          <w:szCs w:val="17"/>
          <w:color w:val="auto"/>
        </w:rPr>
        <w:t>. If requested by the Company, a Holder shall not sell or otherwise transfer or dispose of any Shares (including, without limitation, pursuant to Rule 144 under the Securities Act) held by him or her for such period following consummation of, or the effective date of a registration statement pertaining to, a public offering by the Company of Shares as the Company shall specify reasonably and in good faith. If requested by the underwriter engaged by the Company, each Holder shall execute a separate letter confirming his or her agreement to comply with this Section.</w:t>
      </w:r>
    </w:p>
    <w:p>
      <w:pPr>
        <w:spacing w:after="0" w:line="56" w:lineRule="exact"/>
        <w:rPr>
          <w:rFonts w:ascii="Times New Roman" w:cs="Times New Roman" w:eastAsia="Times New Roman" w:hAnsi="Times New Roman"/>
          <w:sz w:val="17"/>
          <w:szCs w:val="17"/>
          <w:color w:val="auto"/>
        </w:rPr>
      </w:pPr>
    </w:p>
    <w:p>
      <w:pPr>
        <w:ind w:right="20" w:firstLine="436"/>
        <w:spacing w:after="0" w:line="261" w:lineRule="auto"/>
        <w:tabs>
          <w:tab w:leader="none" w:pos="69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Capital Structure</w:t>
      </w:r>
      <w:r>
        <w:rPr>
          <w:rFonts w:ascii="Times New Roman" w:cs="Times New Roman" w:eastAsia="Times New Roman" w:hAnsi="Times New Roman"/>
          <w:sz w:val="18"/>
          <w:szCs w:val="18"/>
          <w:color w:val="auto"/>
        </w:rPr>
        <w:t>. If, as a result of any reorganization, recapitalization, reclassification, stock dividend, stock split, reverse stock split or other similar change in the Common Stock, the outstanding Shares are increased or decreased or are exchanged for a different number or kind of securities of the Company, the restrictions contained in this Section 9 shall apply with equal force to additional and/or substitute securities, if any, received by Holder in exchange for, or by virtue of his or her ownership of, Shares.</w:t>
      </w:r>
    </w:p>
    <w:p>
      <w:pPr>
        <w:spacing w:after="0" w:line="71"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terms and provisions of Section 9(b) and Section 9(c) (except for the Company’s right to repurchase Shares still subject to a risk of forfeiture upon a Termination Event) shall terminate upon the closing of the Company’s Initial Public Offering or upon consummation of any Sale Event, in either case as a result of which Shares are registered under Section 12 of the Exchange Act and publicly-traded on any national security exchange.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TAX WITHHOLDING</w:t>
      </w:r>
    </w:p>
    <w:p>
      <w:pPr>
        <w:spacing w:after="0" w:line="117" w:lineRule="exact"/>
        <w:rPr>
          <w:sz w:val="20"/>
          <w:szCs w:val="20"/>
          <w:color w:val="auto"/>
        </w:rPr>
      </w:pPr>
    </w:p>
    <w:p>
      <w:pPr>
        <w:ind w:right="60" w:firstLine="436"/>
        <w:spacing w:after="0" w:line="256" w:lineRule="auto"/>
        <w:tabs>
          <w:tab w:leader="none" w:pos="6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Committee regarding payment of, any Federal, state, or local taxes of any kind required by law to be withheld by the Company with respect to such income. The Company and any Subsidiary shall, to the extent permitted by law, have the right to deduct any such taxes from any payment of any kind otherwise due to the grantee. The Company’s obligation to deliver stock certificates (or evidence of book entry) to any grantee is subject to and conditioned on any such tax withholding obligations being satisfied by the grantee.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75" w:name="page376"/>
    <w:bookmarkEnd w:id="375"/>
    <w:p>
      <w:pPr>
        <w:ind w:right="40" w:firstLine="436"/>
        <w:spacing w:after="0" w:line="266" w:lineRule="auto"/>
        <w:tabs>
          <w:tab w:leader="none" w:pos="69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in Stock</w:t>
      </w:r>
      <w:r>
        <w:rPr>
          <w:rFonts w:ascii="Times New Roman" w:cs="Times New Roman" w:eastAsia="Times New Roman" w:hAnsi="Times New Roman"/>
          <w:sz w:val="18"/>
          <w:szCs w:val="18"/>
          <w:color w:val="auto"/>
        </w:rPr>
        <w:t>. The Company’s minimum required tax withholding obligation may be satisfied, in whole or in part, by the Company withholding from Shares to be issued pursuant to an Award a number of Shares having an aggregate Fair Market Value (as of the date the withholding is effected) that would satisfy the minimum withholding amount due.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SECTION 409A AWARDS.</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To the extent that any Award is determined to constitute “nonqualified deferred compensation” within the meaning of Section 409A (a “409A Award”), the Award shall be subject to such additional rules and requirements as may be specified by the Committee from time to time. In this regard, if any amount under a 409A Award is payable upon a “separation from service” (within the meaning of Section 409A) to a grantee who is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The Company makes no representation or warranty and shall have no liability to any grantee under the Plan or any other Person with respect to any penalties or taxes under Section 409A that are, or may be, imposed with respect to any Award.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AMENDMENTS AND TERMINATION</w:t>
      </w:r>
    </w:p>
    <w:p>
      <w:pPr>
        <w:spacing w:after="0" w:line="11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Committee may, at any time, amend or cancel any outstanding Award for the purpose of satisfying changes in law or for any other lawful purpose, but no such action shall adversely affect rights under any outstanding Award without the consent of the holder of the Award. The Committee may exercise its discretion to reduce the exercise price of outstanding Stock Options or effect repricing through cancellation of outstanding Stock Options and by granting such holders new Awards in replacement of the cancelled Stock Options. To the extent determined by the Committee to be required either by the Code to ensure that Incentive Stock Options granted under the Plan are qualified under Section 422 of the Code or otherwise, Plan amendments shall be subject to approval by the Company stockholders entitled to vote at a meeting of stockholders. Nothing in this Section 12 shall limit the Board’s or Committee’s authority to take any action permitted pursuant to</w:t>
      </w:r>
    </w:p>
    <w:p>
      <w:pPr>
        <w:spacing w:after="0" w:line="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Section 3(c). The Board reserves the right to amend the Plan and/or the terms of any outstanding Stock Options to the extent reasonably necessary to comply with the requirements of the exemption pursuant to paragraph (f)(4) of Rule 12h-1 of the Exchange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STATUS OF PLAN</w:t>
      </w:r>
    </w:p>
    <w:p>
      <w:pPr>
        <w:spacing w:after="0" w:line="11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Committee shall otherwise expressly so determine in connection with any Award.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GENERAL PROVISIONS</w:t>
      </w:r>
    </w:p>
    <w:p>
      <w:pPr>
        <w:spacing w:after="0" w:line="117" w:lineRule="exact"/>
        <w:rPr>
          <w:sz w:val="20"/>
          <w:szCs w:val="20"/>
          <w:color w:val="auto"/>
        </w:rPr>
      </w:pPr>
    </w:p>
    <w:p>
      <w:pPr>
        <w:ind w:right="200" w:firstLine="436"/>
        <w:spacing w:after="0" w:line="261" w:lineRule="auto"/>
        <w:tabs>
          <w:tab w:leader="none" w:pos="68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 Compliance with Legal Requirements</w:t>
      </w:r>
      <w:r>
        <w:rPr>
          <w:rFonts w:ascii="Times New Roman" w:cs="Times New Roman" w:eastAsia="Times New Roman" w:hAnsi="Times New Roman"/>
          <w:sz w:val="18"/>
          <w:szCs w:val="18"/>
          <w:color w:val="auto"/>
        </w:rPr>
        <w:t>. The Committee may require each person acquiring Shares pursuant to an Award to represent to and agree with the Company in writing that such person is acquiring the Shares without a view to distribution thereof. No Shares shall be issued pursuant to an Award until all applicable securities law and other legal and stock exchange or similar requirements have been satisfied. The Committee may require the placing of such stop-orders and restrictive legends on certificates for Stock and Awards as it deems appropriate.</w:t>
      </w:r>
    </w:p>
    <w:p>
      <w:pPr>
        <w:spacing w:after="0" w:line="7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Stock Certificates</w:t>
      </w:r>
      <w:r>
        <w:rPr>
          <w:rFonts w:ascii="Times New Roman" w:cs="Times New Roman" w:eastAsia="Times New Roman" w:hAnsi="Times New Roman"/>
          <w:sz w:val="18"/>
          <w:szCs w:val="18"/>
          <w:color w:val="auto"/>
        </w:rPr>
        <w:t>. Stock certificates to grantees under the Plan shall be deemed delivered for all purposes when the Company or a stock transfer agent of the Company shall have mailed such certificates in the United States mail, addressed to the grantee, at the grantee’s last known address on file with the Company; provided that stock certificates to be held in escrow pursuant to Section 9 of the Plan shall be deemed delivered when the Company shall have recorded the issuance in its records.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w:t>
      </w:r>
    </w:p>
    <w:p>
      <w:pPr>
        <w:spacing w:after="0" w:line="76" w:lineRule="exact"/>
        <w:rPr>
          <w:rFonts w:ascii="Times New Roman" w:cs="Times New Roman" w:eastAsia="Times New Roman" w:hAnsi="Times New Roman"/>
          <w:sz w:val="18"/>
          <w:szCs w:val="18"/>
          <w:color w:val="auto"/>
        </w:rPr>
      </w:pPr>
    </w:p>
    <w:p>
      <w:pPr>
        <w:ind w:right="120" w:firstLine="436"/>
        <w:spacing w:after="0" w:line="286" w:lineRule="auto"/>
        <w:tabs>
          <w:tab w:leader="none" w:pos="68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adoption of the Plan and the grant of Awards do not confer upon any Person any right to continued employment or Service Relationship with the Company or any Subsidiary.</w:t>
      </w:r>
    </w:p>
    <w:p>
      <w:pPr>
        <w:spacing w:after="0" w:line="50" w:lineRule="exact"/>
        <w:rPr>
          <w:rFonts w:ascii="Times New Roman" w:cs="Times New Roman" w:eastAsia="Times New Roman" w:hAnsi="Times New Roman"/>
          <w:sz w:val="18"/>
          <w:szCs w:val="18"/>
          <w:color w:val="auto"/>
        </w:rPr>
      </w:pPr>
    </w:p>
    <w:p>
      <w:pPr>
        <w:ind w:firstLine="436"/>
        <w:spacing w:after="0" w:line="312" w:lineRule="auto"/>
        <w:tabs>
          <w:tab w:leader="none" w:pos="695"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Trading Policy Restrictions</w:t>
      </w:r>
      <w:r>
        <w:rPr>
          <w:rFonts w:ascii="Times New Roman" w:cs="Times New Roman" w:eastAsia="Times New Roman" w:hAnsi="Times New Roman"/>
          <w:sz w:val="17"/>
          <w:szCs w:val="17"/>
          <w:color w:val="auto"/>
        </w:rPr>
        <w:t>. Option exercises and other Awards under the Plan shall be subject to the Company’s insider trading policy-related restrictions, terms and conditions as may be established by the Committee, or in accordance with policies set by the Committee, from time to time.</w:t>
      </w:r>
    </w:p>
    <w:p>
      <w:pPr>
        <w:spacing w:after="0" w:line="31" w:lineRule="exact"/>
        <w:rPr>
          <w:rFonts w:ascii="Times New Roman" w:cs="Times New Roman" w:eastAsia="Times New Roman" w:hAnsi="Times New Roman"/>
          <w:sz w:val="17"/>
          <w:szCs w:val="17"/>
          <w:color w:val="auto"/>
        </w:rPr>
      </w:pPr>
    </w:p>
    <w:p>
      <w:pPr>
        <w:ind w:right="80" w:firstLine="436"/>
        <w:spacing w:after="0" w:line="281" w:lineRule="auto"/>
        <w:tabs>
          <w:tab w:leader="none" w:pos="685"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Beneficiary</w:t>
      </w:r>
      <w:r>
        <w:rPr>
          <w:rFonts w:ascii="Times New Roman" w:cs="Times New Roman" w:eastAsia="Times New Roman" w:hAnsi="Times New Roman"/>
          <w:sz w:val="17"/>
          <w:szCs w:val="17"/>
          <w:color w:val="auto"/>
        </w:rPr>
        <w:t>. Each grantee to whom an Award has been made under the Plan may designate a beneficiary or beneficiaries to exercise any Award on or after the grantee’s death or receive any payment under any Award payable on or after the grantee’s death. Any such designation shall be on a form provided for that purpose by the Committee and shall not be effective until received by the Committee. If no beneficiary has been designated by a deceased grantee, or if the designated beneficiaries have predeceased the grantee, the beneficiary shall be the grantee’s estate.</w:t>
      </w:r>
    </w:p>
    <w:p>
      <w:pPr>
        <w:spacing w:after="0" w:line="56" w:lineRule="exact"/>
        <w:rPr>
          <w:rFonts w:ascii="Times New Roman" w:cs="Times New Roman" w:eastAsia="Times New Roman" w:hAnsi="Times New Roman"/>
          <w:sz w:val="17"/>
          <w:szCs w:val="17"/>
          <w:color w:val="auto"/>
        </w:rPr>
      </w:pPr>
    </w:p>
    <w:p>
      <w:pPr>
        <w:ind w:right="120" w:firstLine="436"/>
        <w:spacing w:after="0" w:line="282" w:lineRule="auto"/>
        <w:tabs>
          <w:tab w:leader="none" w:pos="66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Any certificate(s) representing the Shares shall carry substantially the following legend (and with respect to uncertificated Stock, the book entries evidencing such shares shall contain the following notation):</w:t>
      </w:r>
    </w:p>
    <w:p>
      <w:pPr>
        <w:spacing w:after="0" w:line="54" w:lineRule="exact"/>
        <w:rPr>
          <w:sz w:val="20"/>
          <w:szCs w:val="20"/>
          <w:color w:val="auto"/>
        </w:rPr>
      </w:pPr>
    </w:p>
    <w:p>
      <w:pPr>
        <w:ind w:left="1420" w:right="40"/>
        <w:spacing w:after="0" w:line="261" w:lineRule="auto"/>
        <w:rPr>
          <w:sz w:val="20"/>
          <w:szCs w:val="20"/>
          <w:color w:val="auto"/>
        </w:rPr>
      </w:pPr>
      <w:r>
        <w:rPr>
          <w:rFonts w:ascii="Times New Roman" w:cs="Times New Roman" w:eastAsia="Times New Roman" w:hAnsi="Times New Roman"/>
          <w:sz w:val="18"/>
          <w:szCs w:val="18"/>
          <w:color w:val="auto"/>
        </w:rPr>
        <w:t>The transferability of this certificate and the shares of stock represented hereby are subject to the restrictions, terms and conditions (including repurchase and restrictions against transfers) contained in the Maze Therapeutics, Inc. 2018 Stock Option and Grant Plan and any agreements entered into thereunder by and between the company and the holder of this certificate (a copy of which is available at the offices of the company for examination).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377" w:name="page378"/>
    <w:bookmarkEnd w:id="377"/>
    <w:p>
      <w:pPr>
        <w:ind w:right="40" w:firstLine="436"/>
        <w:spacing w:after="0" w:line="258" w:lineRule="auto"/>
        <w:tabs>
          <w:tab w:leader="none" w:pos="69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to Holders of Options</w:t>
      </w:r>
      <w:r>
        <w:rPr>
          <w:rFonts w:ascii="Times New Roman" w:cs="Times New Roman" w:eastAsia="Times New Roman" w:hAnsi="Times New Roman"/>
          <w:sz w:val="18"/>
          <w:szCs w:val="18"/>
          <w:color w:val="auto"/>
        </w:rPr>
        <w:t>. In the event the Company is relying on the exemption from the registration requirements of Section 12(g) of the Exchange Act contained in paragraph (f)(1) of Rule 12h-1 of the Exchange Act, the Company shall provide the information described in Rule 701(e)(3), (4) and (5) of the Securities Act to all holders of Options in accordance with the requirements thereunder. The foregoing notwithstanding, the Company shall not be required to provide such information unless the optionholder has agreed in writing, on a form prescribed by the Company, to keep such information confidential.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EFFECTIVE DATE OF PLAN</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Plan shall become effective upon adoption by the Board and shall be approved by stockholders in accordance with applicable state law and the Company’s certificate of incorporation and bylaws within 12 months thereafter. If the stockholders fail to approve the Plan within 12 months after its adoption by the Board of Directors, then any Awards granted or sold under the Plan shall be rescinded and no additional grants or sales shall thereafter be made under the Plan. Subject to such approval by stockholders and to the requirement that no Shares may be issued hereunder prior to such approval, Stock Options and other Awards may be granted hereunder on and after adoption of the Plan by the Board. No grants of Stock Options and other Awards may be made hereunder after the tenth anniversary of the date the Plan is adopted by the Board or the date the Plan is approved by the Company’s stockholders, whichever is earlier.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GOVERNING LAW</w:t>
      </w:r>
    </w:p>
    <w:p>
      <w:pPr>
        <w:spacing w:after="0" w:line="117"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This Plan, all Awards and any controversy arising out of or relating to this Plan and all Awards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ectPr>
          <w:pgSz w:w="11900" w:h="16838" w:orient="portrait"/>
          <w:cols w:equalWidth="0" w:num="1">
            <w:col w:w="11000"/>
          </w:cols>
          <w:pgMar w:left="440" w:top="270" w:right="4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ADOPTED BY THE BOARD OF DIRECTORS: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 2018</w:t>
      </w:r>
    </w:p>
    <w:p>
      <w:pPr>
        <w:spacing w:after="0" w:line="1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 APPROVED BY THE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November 1, 2018</w:t>
      </w:r>
    </w:p>
    <w:p>
      <w:pPr>
        <w:spacing w:after="0" w:line="1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 AMENDED BY THE 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December 3, 2018</w:t>
      </w:r>
    </w:p>
    <w:p>
      <w:pPr>
        <w:spacing w:after="0" w:line="1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 AMENDED BY THE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December 3, 2018</w:t>
      </w:r>
    </w:p>
    <w:p>
      <w:pPr>
        <w:spacing w:after="0" w:line="16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type w:val="continuous"/>
        </w:sectPr>
      </w:pPr>
    </w:p>
    <w:bookmarkStart w:id="378" w:name="page379"/>
    <w:bookmarkEnd w:id="378"/>
    <w:p>
      <w:pPr>
        <w:ind w:left="35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INCENTIVE STOCK OPTION GRANT NOTICE</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Pursuant to the Maze Therapeutics, Inc. 2018 Stock Option and Grant Plan (the “Plan”), Maze Therapeutics, Inc., a Delaware corporation (together with any successor thereto, the “Company”), has granted to the individual named below, an option (the “Stock Option”) to purchase on or prior to the Expiration Date, or such earlier date as is specified herein, all or any part of the number of shares of Common Stock, par value $0.001 per share (“Common Stock”), of the Company indicated below (the “Shares”), at the Option Exercise Price per share, subject to the terms and conditions set forth in this Incentive Stock Option Grant Notice (the “Grant Notice”), the attached Incentive Stock Option Agreement (the “Agreement”) and the Plan. This Stock Option is intended to qualify as an “incentive stock option” as defined in Section 422(b) of the Internal Revenue Code of 1986, as amended from time to time (the “Code”). To the extent that any portion of the Stock Option does not so qualify, it shall be deemed a non-qualified stock option.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56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“Optionee”)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 of Shares:</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 Shares of Common Stock</w:t>
            </w:r>
          </w:p>
        </w:tc>
      </w:tr>
      <w:tr>
        <w:trPr>
          <w:trHeight w:val="28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83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2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4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“Vesting Commencement Date”)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“Expiration Date”)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Price/Share: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 (the “Option Exercise Price”)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of the Shares shall vest and become exercisable on the first anniversary of the Vesting</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Commencement Date, provided that the Optionee continues to have a Service Relationship with the</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Company at such time. Thereafter, the remaining 75% of the Shares shall vest and become exercisable in 36</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monthly installments following the first anniversary of the Vesting Commencement Date, provided</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Optionee continues to have a Service Relationship with the Company on each vesting date.]</w:t>
            </w:r>
          </w:p>
        </w:tc>
      </w:tr>
      <w:tr>
        <w:trPr>
          <w:trHeight w:val="212"/>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Notwithstanding anything in the Agreement to the contrary, in the case of a Sale Event, this Stock Option</w:t>
            </w:r>
          </w:p>
        </w:tc>
      </w:tr>
      <w:tr>
        <w:trPr>
          <w:trHeight w:val="238"/>
        </w:trPr>
        <w:tc>
          <w:tcPr>
            <w:tcW w:w="2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the Shares shall be treated as provided in Section 3(c) of the Plan</w:t>
            </w:r>
            <w:r>
              <w:rPr>
                <w:rFonts w:ascii="Times New Roman" w:cs="Times New Roman" w:eastAsia="Times New Roman" w:hAnsi="Times New Roman"/>
                <w:sz w:val="18"/>
                <w:szCs w:val="18"/>
                <w:b w:val="1"/>
                <w:bCs w:val="1"/>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 Incentive Stock Option Agreement, 2018 Stock Option and Grant Plan</w:t>
      </w:r>
    </w:p>
    <w:p>
      <w:pPr>
        <w:sectPr>
          <w:pgSz w:w="11900" w:h="16838" w:orient="portrait"/>
          <w:cols w:equalWidth="0" w:num="1">
            <w:col w:w="11000"/>
          </w:cols>
          <w:pgMar w:left="440" w:top="266" w:right="459" w:bottom="1440" w:gutter="0" w:footer="0" w:header="0"/>
        </w:sectPr>
      </w:pPr>
    </w:p>
    <w:bookmarkStart w:id="379" w:name="page380"/>
    <w:bookmarkEnd w:id="379"/>
    <w:p>
      <w:pPr>
        <w:ind w:left="3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INCENTIVE STOCK OPTION AGREEMENT</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capitalized terms used herein and not otherwise defined shall have the respective meanings set forth in the Grant Notice and the Plan.</w:t>
      </w:r>
    </w:p>
    <w:p>
      <w:pPr>
        <w:spacing w:after="0" w:line="117" w:lineRule="exact"/>
        <w:rPr>
          <w:sz w:val="20"/>
          <w:szCs w:val="20"/>
          <w:color w:val="auto"/>
        </w:rPr>
      </w:pPr>
    </w:p>
    <w:p>
      <w:pPr>
        <w:ind w:left="620" w:hanging="184"/>
        <w:spacing w:after="0"/>
        <w:tabs>
          <w:tab w:leader="none" w:pos="6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Exercisability and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this Stock Option may be exercised until such portion shall have vested and become exercisable.</w:t>
      </w:r>
    </w:p>
    <w:p>
      <w:pPr>
        <w:spacing w:after="0" w:line="117"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shall initially be unvested and unexercisable.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shall vest and become exercisable in accordance with the Vesting Schedule set forth in the Grant Notice.</w:t>
      </w:r>
    </w:p>
    <w:p>
      <w:pPr>
        <w:spacing w:after="0" w:line="117"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67"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07"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Disability</w:t>
      </w:r>
      <w:r>
        <w:rPr>
          <w:rFonts w:ascii="Times New Roman" w:cs="Times New Roman" w:eastAsia="Times New Roman" w:hAnsi="Times New Roman"/>
          <w:sz w:val="18"/>
          <w:szCs w:val="18"/>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67" w:lineRule="exact"/>
        <w:rPr>
          <w:rFonts w:ascii="Times New Roman" w:cs="Times New Roman" w:eastAsia="Times New Roman" w:hAnsi="Times New Roman"/>
          <w:sz w:val="18"/>
          <w:szCs w:val="18"/>
          <w:color w:val="auto"/>
        </w:rPr>
      </w:pPr>
    </w:p>
    <w:p>
      <w:pPr>
        <w:ind w:left="440" w:right="20" w:firstLine="948"/>
        <w:spacing w:after="0" w:line="261" w:lineRule="auto"/>
        <w:tabs>
          <w:tab w:leader="none" w:pos="1657" w:val="left"/>
        </w:tabs>
        <w:numPr>
          <w:ilvl w:val="2"/>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three (3) months from the date of termination or until the Expiration Date, if earlier;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if the Optionee’s Service Relationship is terminated for Cause, this Stock Option shall terminate immediately upon the date of such termination.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purposes hereof, the Committee’s determination of the reason for termination of the Optionee’s Service Relationship shall be conclusive and binding on the Optionee and his or her representatives or legatees. Any portion of this Stock Option that is not vested and exercisable on the date of termination of the Service Relationship shall terminate immediately and be null and void.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440" w:top="266" w:right="619" w:bottom="1440" w:gutter="0" w:footer="0" w:header="0"/>
        </w:sectPr>
      </w:pPr>
    </w:p>
    <w:bookmarkStart w:id="380" w:name="page381"/>
    <w:bookmarkEnd w:id="380"/>
    <w:p>
      <w:pPr>
        <w:ind w:firstLine="987"/>
        <w:spacing w:after="0" w:line="253" w:lineRule="auto"/>
        <w:tabs>
          <w:tab w:leader="none" w:pos="1246"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is understood and intended that this Stock Option is intended to qualify as an “incentive stock option” as defined in Section 422 of the Code to the extent permitted under applicable law. Accordingly, the Optionee understands that in order to obtain the benefits of an incentive stock option under Section 422 of the Code, no sale or other disposition may be made of Shares for which incentive stock option treatment is desired within the one-year period beginning on the day after the day of the transfer of such Shares to him or her, nor within the two-year period beginning on the day after Grant Date of this Stock Option and further that this Stock Option must be exercised within three months after termination of employment as an employee (or 12 months in the case of death or disability) to qualify as an incentive stock option. If the Optionee disposes (whether by sale, gift, transfer or otherwise) of any such Shares within either of these periods, he or she will notify the Company within 30 days after such disposition. The Optionee also agrees to provide the Company with any information concerning any such dispositions required by the Company for tax purposes. Further, to the extent this Stock Option and any other incentive stock options of the Optionee having an aggregate Fair Market Value in excess of $100,000 (determined as of the Grant Date) first become exercisable in any year, such options will not qualify as incentive stock options.</w:t>
      </w:r>
    </w:p>
    <w:p>
      <w:pPr>
        <w:spacing w:after="0" w:line="86"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Stock 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98" w:lineRule="exact"/>
        <w:rPr>
          <w:rFonts w:ascii="Times New Roman" w:cs="Times New Roman" w:eastAsia="Times New Roman" w:hAnsi="Times New Roman"/>
          <w:sz w:val="18"/>
          <w:szCs w:val="18"/>
          <w:color w:val="auto"/>
        </w:rPr>
      </w:pPr>
    </w:p>
    <w:p>
      <w:pPr>
        <w:ind w:right="140" w:firstLine="436"/>
        <w:spacing w:after="0" w:line="282" w:lineRule="auto"/>
        <w:tabs>
          <w:tab w:leader="none" w:pos="62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w:t>
      </w:r>
    </w:p>
    <w:p>
      <w:pPr>
        <w:spacing w:after="0" w:line="53" w:lineRule="exact"/>
        <w:rPr>
          <w:rFonts w:ascii="Times New Roman" w:cs="Times New Roman" w:eastAsia="Times New Roman" w:hAnsi="Times New Roman"/>
          <w:sz w:val="18"/>
          <w:szCs w:val="18"/>
          <w:color w:val="auto"/>
        </w:rPr>
      </w:pPr>
    </w:p>
    <w:p>
      <w:pPr>
        <w:ind w:right="40" w:firstLine="436"/>
        <w:spacing w:after="0" w:line="255" w:lineRule="auto"/>
        <w:tabs>
          <w:tab w:leader="none" w:pos="62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Stock Option</w:t>
      </w:r>
      <w:r>
        <w:rPr>
          <w:rFonts w:ascii="Times New Roman" w:cs="Times New Roman" w:eastAsia="Times New Roman" w:hAnsi="Times New Roman"/>
          <w:sz w:val="18"/>
          <w:szCs w:val="18"/>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81" w:name="page382"/>
    <w:bookmarkEnd w:id="381"/>
    <w:p>
      <w:pPr>
        <w:ind w:left="-100" w:right="180" w:firstLine="436"/>
        <w:spacing w:after="0" w:line="282" w:lineRule="auto"/>
        <w:tabs>
          <w:tab w:leader="none" w:pos="52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Restrictions on Transfer of Shares</w:t>
      </w:r>
      <w:r>
        <w:rPr>
          <w:rFonts w:ascii="Times New Roman" w:cs="Times New Roman" w:eastAsia="Times New Roman" w:hAnsi="Times New Roman"/>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53" w:lineRule="exact"/>
        <w:rPr>
          <w:rFonts w:ascii="Times New Roman" w:cs="Times New Roman" w:eastAsia="Times New Roman" w:hAnsi="Times New Roman"/>
          <w:sz w:val="18"/>
          <w:szCs w:val="18"/>
          <w:color w:val="auto"/>
        </w:rPr>
      </w:pPr>
    </w:p>
    <w:p>
      <w:pPr>
        <w:ind w:left="520" w:hanging="184"/>
        <w:spacing w:after="0"/>
        <w:tabs>
          <w:tab w:leader="none" w:pos="52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 w:right="340" w:firstLine="987"/>
        <w:spacing w:after="0" w:line="312" w:lineRule="auto"/>
        <w:tabs>
          <w:tab w:leader="none" w:pos="1136"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Equitable Relief</w:t>
      </w:r>
      <w:r>
        <w:rPr>
          <w:rFonts w:ascii="Times New Roman" w:cs="Times New Roman" w:eastAsia="Times New Roman" w:hAnsi="Times New Roman"/>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1" w:lineRule="exact"/>
        <w:rPr>
          <w:rFonts w:ascii="Times New Roman" w:cs="Times New Roman" w:eastAsia="Times New Roman" w:hAnsi="Times New Roman"/>
          <w:sz w:val="17"/>
          <w:szCs w:val="17"/>
          <w:color w:val="auto"/>
        </w:rPr>
      </w:pPr>
    </w:p>
    <w:p>
      <w:pPr>
        <w:ind w:left="-100" w:right="20" w:firstLine="987"/>
        <w:spacing w:after="0" w:line="258" w:lineRule="auto"/>
        <w:tabs>
          <w:tab w:leader="none" w:pos="114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Capital Structure</w:t>
      </w:r>
      <w:r>
        <w:rPr>
          <w:rFonts w:ascii="Times New Roman" w:cs="Times New Roman" w:eastAsia="Times New Roman" w:hAnsi="Times New Roman"/>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75" w:lineRule="exact"/>
        <w:rPr>
          <w:rFonts w:ascii="Times New Roman" w:cs="Times New Roman" w:eastAsia="Times New Roman" w:hAnsi="Times New Roman"/>
          <w:sz w:val="18"/>
          <w:szCs w:val="18"/>
          <w:color w:val="auto"/>
        </w:rPr>
      </w:pPr>
    </w:p>
    <w:p>
      <w:pPr>
        <w:jc w:val="both"/>
        <w:ind w:left="-100" w:firstLine="987"/>
        <w:spacing w:after="0" w:line="312" w:lineRule="auto"/>
        <w:tabs>
          <w:tab w:leader="none" w:pos="1136"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and Modifications</w:t>
      </w:r>
      <w:r>
        <w:rPr>
          <w:rFonts w:ascii="Times New Roman" w:cs="Times New Roman" w:eastAsia="Times New Roman" w:hAnsi="Times New Roman"/>
          <w:sz w:val="17"/>
          <w:szCs w:val="17"/>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31" w:lineRule="exact"/>
        <w:rPr>
          <w:rFonts w:ascii="Times New Roman" w:cs="Times New Roman" w:eastAsia="Times New Roman" w:hAnsi="Times New Roman"/>
          <w:sz w:val="17"/>
          <w:szCs w:val="17"/>
          <w:color w:val="auto"/>
        </w:rPr>
      </w:pPr>
    </w:p>
    <w:p>
      <w:pPr>
        <w:jc w:val="both"/>
        <w:ind w:left="-100" w:right="80" w:firstLine="987"/>
        <w:spacing w:after="0" w:line="266" w:lineRule="auto"/>
        <w:tabs>
          <w:tab w:leader="none" w:pos="114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pacing w:after="0" w:line="67" w:lineRule="exact"/>
        <w:rPr>
          <w:rFonts w:ascii="Times New Roman" w:cs="Times New Roman" w:eastAsia="Times New Roman" w:hAnsi="Times New Roman"/>
          <w:sz w:val="18"/>
          <w:szCs w:val="18"/>
          <w:color w:val="auto"/>
        </w:rPr>
      </w:pPr>
    </w:p>
    <w:p>
      <w:pPr>
        <w:ind w:left="-100" w:right="240" w:firstLine="987"/>
        <w:spacing w:after="0" w:line="282" w:lineRule="auto"/>
        <w:tabs>
          <w:tab w:leader="none" w:pos="113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53" w:lineRule="exact"/>
        <w:rPr>
          <w:rFonts w:ascii="Times New Roman" w:cs="Times New Roman" w:eastAsia="Times New Roman" w:hAnsi="Times New Roman"/>
          <w:sz w:val="18"/>
          <w:szCs w:val="18"/>
          <w:color w:val="auto"/>
        </w:rPr>
      </w:pPr>
    </w:p>
    <w:p>
      <w:pPr>
        <w:ind w:left="-100" w:right="40" w:firstLine="987"/>
        <w:spacing w:after="0" w:line="282" w:lineRule="auto"/>
        <w:tabs>
          <w:tab w:leader="none" w:pos="111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 Clause</w:t>
      </w:r>
      <w:r>
        <w:rPr>
          <w:rFonts w:ascii="Times New Roman" w:cs="Times New Roman" w:eastAsia="Times New Roman" w:hAnsi="Times New Roman"/>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53" w:lineRule="exact"/>
        <w:rPr>
          <w:rFonts w:ascii="Times New Roman" w:cs="Times New Roman" w:eastAsia="Times New Roman" w:hAnsi="Times New Roman"/>
          <w:sz w:val="18"/>
          <w:szCs w:val="18"/>
          <w:color w:val="auto"/>
        </w:rPr>
      </w:pPr>
    </w:p>
    <w:p>
      <w:pPr>
        <w:ind w:left="-100" w:right="20" w:firstLine="987"/>
        <w:spacing w:after="0" w:line="261" w:lineRule="auto"/>
        <w:tabs>
          <w:tab w:leader="none" w:pos="114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71" w:lineRule="exact"/>
        <w:rPr>
          <w:rFonts w:ascii="Times New Roman" w:cs="Times New Roman" w:eastAsia="Times New Roman" w:hAnsi="Times New Roman"/>
          <w:sz w:val="18"/>
          <w:szCs w:val="18"/>
          <w:color w:val="auto"/>
        </w:rPr>
      </w:pPr>
    </w:p>
    <w:p>
      <w:pPr>
        <w:ind w:left="-100" w:right="120" w:firstLine="987"/>
        <w:spacing w:after="0" w:line="266" w:lineRule="auto"/>
        <w:tabs>
          <w:tab w:leader="none" w:pos="114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and Binding Effect</w:t>
      </w:r>
      <w:r>
        <w:rPr>
          <w:rFonts w:ascii="Times New Roman" w:cs="Times New Roman" w:eastAsia="Times New Roman" w:hAnsi="Times New Roman"/>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540" w:top="270" w:right="539" w:bottom="1440" w:gutter="0" w:footer="0" w:header="0"/>
        </w:sectPr>
      </w:pPr>
    </w:p>
    <w:bookmarkStart w:id="382" w:name="page383"/>
    <w:bookmarkEnd w:id="382"/>
    <w:p>
      <w:pPr>
        <w:ind w:left="-20" w:right="840" w:firstLine="987"/>
        <w:spacing w:after="0" w:line="282" w:lineRule="auto"/>
        <w:tabs>
          <w:tab w:leader="none" w:pos="118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53" w:lineRule="exact"/>
        <w:rPr>
          <w:rFonts w:ascii="Times New Roman" w:cs="Times New Roman" w:eastAsia="Times New Roman" w:hAnsi="Times New Roman"/>
          <w:sz w:val="18"/>
          <w:szCs w:val="18"/>
          <w:color w:val="auto"/>
        </w:rPr>
      </w:pPr>
    </w:p>
    <w:p>
      <w:pPr>
        <w:jc w:val="both"/>
        <w:ind w:left="-20" w:right="60" w:firstLine="987"/>
        <w:spacing w:after="0" w:line="261" w:lineRule="auto"/>
        <w:tabs>
          <w:tab w:leader="none" w:pos="118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 The execution of this Agreement satisfies in full any express or implied obligation, agreement or promise by or on the part of the Company to grant or issue to the Grantee any equity interest in the Company pursuant to any offer letter, employment agreement, consulting or other written or oral agreement or arrangement as of the Grant Date.</w:t>
      </w:r>
    </w:p>
    <w:p>
      <w:pPr>
        <w:spacing w:after="0" w:line="71"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20" w:right="80" w:firstLine="987"/>
        <w:spacing w:after="0" w:line="258" w:lineRule="auto"/>
        <w:tabs>
          <w:tab w:leader="none" w:pos="121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 16, and judgment upon the award rendered by the arbitrators may be entered by any court having jurisdiction thereof. The place of arbitration shall be San Mateo County, California.</w:t>
      </w:r>
    </w:p>
    <w:p>
      <w:pPr>
        <w:spacing w:after="0" w:line="75"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86" w:lineRule="exact"/>
        <w:rPr>
          <w:rFonts w:ascii="Times New Roman" w:cs="Times New Roman" w:eastAsia="Times New Roman" w:hAnsi="Times New Roman"/>
          <w:sz w:val="18"/>
          <w:szCs w:val="18"/>
          <w:color w:val="auto"/>
        </w:rPr>
      </w:pPr>
    </w:p>
    <w:p>
      <w:pPr>
        <w:jc w:val="both"/>
        <w:ind w:left="-20" w:right="140" w:firstLine="987"/>
        <w:spacing w:after="0" w:line="261" w:lineRule="auto"/>
        <w:tabs>
          <w:tab w:leader="none" w:pos="121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383" w:name="page384"/>
    <w:bookmarkEnd w:id="383"/>
    <w:p>
      <w:pPr>
        <w:ind w:firstLine="987"/>
        <w:spacing w:after="0" w:line="253" w:lineRule="auto"/>
        <w:tabs>
          <w:tab w:leader="none" w:pos="124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94"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Statutory Information Rights</w:t>
      </w:r>
      <w:r>
        <w:rPr>
          <w:rFonts w:ascii="Times New Roman" w:cs="Times New Roman" w:eastAsia="Times New Roman" w:hAnsi="Times New Roman"/>
          <w:sz w:val="18"/>
          <w:szCs w:val="18"/>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84" w:name="page385"/>
    <w:bookmarkEnd w:id="384"/>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SPOUSE’S CONSENT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that I have read the foregoing Incentive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Agreement and understand the contents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85" w:name="page386"/>
    <w:bookmarkEnd w:id="385"/>
    <w:p>
      <w:pPr>
        <w:jc w:val="right"/>
        <w:ind w:right="10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582930</wp:posOffset>
            </wp:positionV>
            <wp:extent cx="279463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874395</wp:posOffset>
            </wp:positionV>
            <wp:extent cx="279463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270" w:right="1440" w:bottom="1440" w:gutter="0" w:footer="0" w:header="0"/>
        </w:sectPr>
      </w:pPr>
    </w:p>
    <w:bookmarkStart w:id="386" w:name="page387"/>
    <w:bookmarkEnd w:id="3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EXERCISE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79463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297180</wp:posOffset>
            </wp:positionV>
            <wp:extent cx="279463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Pursuant to the terms of the grant notice and stock option agreement between the undersigned and Maze Therapeutics, Inc. (the “Company”) dated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 (the “Agreement”) under the Maze Therapeutics, Inc. 2018 Stock Option and Grant Plan (the “Plan”), I, [Insert Name] 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[Circle One] partially/fully exercise such option by including herein payment in the amount of $____________________ representing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for [Fill in number of Shares] _______ Shares. I have chosen the following form(s) of payment:</w:t>
      </w:r>
    </w:p>
    <w:p>
      <w:pPr>
        <w:spacing w:after="0" w:line="234"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Certified or bank check payable to Maze Therapeutics, Inc.</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Other (as referenced in the Agreement and described in the Plan (please describe))</w:t>
            </w:r>
          </w:p>
        </w:tc>
      </w:tr>
      <w:tr>
        <w:trPr>
          <w:trHeight w:val="324"/>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my exercise of the option as set forth above, I hereby represent and warrant to the Company as follows:</w:t>
      </w:r>
    </w:p>
    <w:p>
      <w:pPr>
        <w:spacing w:after="0" w:line="117" w:lineRule="exact"/>
        <w:rPr>
          <w:sz w:val="20"/>
          <w:szCs w:val="20"/>
          <w:color w:val="auto"/>
        </w:rPr>
      </w:pPr>
    </w:p>
    <w:p>
      <w:pPr>
        <w:ind w:left="1600" w:hanging="212"/>
        <w:spacing w:after="0"/>
        <w:tabs>
          <w:tab w:leader="none" w:pos="16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purchasing the Shares for my own account for investment only, and not for resale or with a view to the distribution thereof.</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657"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67" w:lineRule="exact"/>
        <w:rPr>
          <w:rFonts w:ascii="Times New Roman" w:cs="Times New Roman" w:eastAsia="Times New Roman" w:hAnsi="Times New Roman"/>
          <w:sz w:val="18"/>
          <w:szCs w:val="18"/>
          <w:color w:val="auto"/>
        </w:rPr>
      </w:pPr>
    </w:p>
    <w:p>
      <w:pPr>
        <w:ind w:left="440" w:firstLine="948"/>
        <w:spacing w:after="0" w:line="282" w:lineRule="auto"/>
        <w:tabs>
          <w:tab w:leader="none" w:pos="1707"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53" w:lineRule="exact"/>
        <w:rPr>
          <w:rFonts w:ascii="Times New Roman" w:cs="Times New Roman" w:eastAsia="Times New Roman" w:hAnsi="Times New Roman"/>
          <w:sz w:val="18"/>
          <w:szCs w:val="18"/>
          <w:color w:val="auto"/>
        </w:rPr>
      </w:pPr>
    </w:p>
    <w:p>
      <w:pPr>
        <w:ind w:left="440" w:right="500" w:firstLine="948"/>
        <w:spacing w:after="0" w:line="282" w:lineRule="auto"/>
        <w:tabs>
          <w:tab w:leader="none" w:pos="1697"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can afford a complete loss of the value of the Shares and am able to bear the economic risk of holding such Shares for an indefinite period of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387" w:name="page388"/>
    <w:bookmarkEnd w:id="387"/>
    <w:p>
      <w:pPr>
        <w:ind w:firstLine="948"/>
        <w:spacing w:after="0" w:line="256" w:lineRule="auto"/>
        <w:tabs>
          <w:tab w:leader="none" w:pos="1207"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79" w:lineRule="exact"/>
        <w:rPr>
          <w:rFonts w:ascii="Times New Roman" w:cs="Times New Roman" w:eastAsia="Times New Roman" w:hAnsi="Times New Roman"/>
          <w:sz w:val="18"/>
          <w:szCs w:val="18"/>
          <w:color w:val="auto"/>
        </w:rPr>
      </w:pPr>
    </w:p>
    <w:p>
      <w:pPr>
        <w:ind w:right="360" w:firstLine="948"/>
        <w:spacing w:after="0" w:line="282" w:lineRule="auto"/>
        <w:tabs>
          <w:tab w:leader="none" w:pos="1257"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53"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the Company has a right of first refusal with respect to the Shares pursuant to Section 9(b)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98"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understand and agree that the Company has certain repurchase rights with respect to the Shares pursuant to Section 9(c) of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Plan.</w:t>
      </w:r>
    </w:p>
    <w:p>
      <w:pPr>
        <w:spacing w:after="0" w:line="98" w:lineRule="exact"/>
        <w:rPr>
          <w:rFonts w:ascii="Times New Roman" w:cs="Times New Roman" w:eastAsia="Times New Roman" w:hAnsi="Times New Roman"/>
          <w:sz w:val="17"/>
          <w:szCs w:val="17"/>
          <w:color w:val="auto"/>
        </w:rPr>
      </w:pPr>
    </w:p>
    <w:p>
      <w:pPr>
        <w:ind w:right="560" w:firstLine="948"/>
        <w:spacing w:after="0" w:line="282" w:lineRule="auto"/>
        <w:tabs>
          <w:tab w:leader="none" w:pos="1257"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5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to the waiver of statutory information rights as set forth in Section 8 of the Agreement.</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582930</wp:posOffset>
            </wp:positionV>
            <wp:extent cx="279463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874395</wp:posOffset>
            </wp:positionV>
            <wp:extent cx="279463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-7620</wp:posOffset>
            </wp:positionV>
            <wp:extent cx="57150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388" w:name="page389"/>
    <w:bookmarkEnd w:id="3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NON-QUALIFIED STOCK OPTION GRANT NOTICE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Pursuant to the Maze Therapeutics, Inc. 2018 Stock Option and Grant Plan (the “Plan”), Maze Therapeutics, Inc., a Delaware corporation (together with any successor, the “Company”), has granted to the individual named below, an option (the “Stock Option”) to purchase on or prior to the Expiration Date, or such earlier date as is specified herein, all or any part of the number of shares of Common Stock, par value $0.001 per share (“Common Stock”), of the Company indicated below (the “Shares”), at the Option Exercise Price per share, subject to the terms and conditions set forth in this Non-Qualified Stock Option Grant Notice (the “Grant Notice”), the attached Non-Qualified Stock Option Agreement (the “Agreement”) and the Plan. This Stock Option is not intended to qualify as an “incentive stock option” as defined in Section 422(b) of the Internal Revenue Code of 1986, as amended from time to time (the “Code”).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56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“Optionee”)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 of Shares:</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 Shares of Common Stock</w:t>
            </w:r>
          </w:p>
        </w:tc>
      </w:tr>
      <w:tr>
        <w:trPr>
          <w:trHeight w:val="28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83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2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34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“Vesting Commencement Date”)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“Expiration Date”)</w:t>
            </w:r>
          </w:p>
        </w:tc>
      </w:tr>
      <w:tr>
        <w:trPr>
          <w:trHeight w:val="32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Price/Share: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 (the “Option Exercise Price”)</w:t>
            </w: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56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of the Shares shall vest and become exercisable on the first anniversary of the Vesting</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Commencement Date, provided that the Optionee continues to have a Service Relationship with the</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Company at such time. Thereafter, the remaining 75% of the Shares shall vest and become exercisable in 36</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 monthly installments following the first anniversary of the Vesting Commencement Date, provided</w:t>
            </w:r>
          </w:p>
        </w:tc>
      </w:tr>
      <w:tr>
        <w:trPr>
          <w:trHeight w:val="216"/>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Optionee continues to have a Service Relationship with the Company on each vesting date.]</w:t>
            </w:r>
          </w:p>
        </w:tc>
      </w:tr>
      <w:tr>
        <w:trPr>
          <w:trHeight w:val="212"/>
        </w:trPr>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Notwithstanding anything in the Agreement to the contrary, in the case of a Sale Event, this Stock Option</w:t>
            </w:r>
          </w:p>
        </w:tc>
      </w:tr>
      <w:tr>
        <w:trPr>
          <w:trHeight w:val="238"/>
        </w:trPr>
        <w:tc>
          <w:tcPr>
            <w:tcW w:w="2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the Shares shall be treated as provided in Section 3(c) of the Plan</w:t>
            </w:r>
            <w:r>
              <w:rPr>
                <w:rFonts w:ascii="Times New Roman" w:cs="Times New Roman" w:eastAsia="Times New Roman" w:hAnsi="Times New Roman"/>
                <w:sz w:val="18"/>
                <w:szCs w:val="18"/>
                <w:b w:val="1"/>
                <w:bCs w:val="1"/>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 Non-Qualified Stock Option Agreement, 2018 Stock Option and Grant Plan</w:t>
      </w:r>
    </w:p>
    <w:p>
      <w:pPr>
        <w:sectPr>
          <w:pgSz w:w="11900" w:h="16838" w:orient="portrait"/>
          <w:cols w:equalWidth="0" w:num="1">
            <w:col w:w="10980"/>
          </w:cols>
          <w:pgMar w:left="440" w:top="266" w:right="479" w:bottom="1440" w:gutter="0" w:footer="0" w:header="0"/>
        </w:sectPr>
      </w:pPr>
    </w:p>
    <w:bookmarkStart w:id="389" w:name="page390"/>
    <w:bookmarkEnd w:id="38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NON-QUALIFIED STOCK OPTION AGREEMENT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capitalized terms used herein and not otherwise defined shall have the respective meanings set forth in the Grant Notice and the Plan.</w:t>
      </w:r>
    </w:p>
    <w:p>
      <w:pPr>
        <w:spacing w:after="0" w:line="117" w:lineRule="exact"/>
        <w:rPr>
          <w:sz w:val="20"/>
          <w:szCs w:val="20"/>
          <w:color w:val="auto"/>
        </w:rPr>
      </w:pPr>
    </w:p>
    <w:p>
      <w:pPr>
        <w:ind w:left="620" w:hanging="184"/>
        <w:spacing w:after="0"/>
        <w:tabs>
          <w:tab w:leader="none" w:pos="6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Exercisability and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this Stock Option may be exercised until such portion shall have vested and become exercisable.</w:t>
      </w:r>
    </w:p>
    <w:p>
      <w:pPr>
        <w:spacing w:after="0" w:line="117"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and subject to the determination of the Committee in its sole discretion to accelerate the vesting schedule hereunder, this Stock Option shall be vested and exercisable on the respective dates indicated below:</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shall initially be unvested and unexercisable.</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shall vest and become exercisable in accordance with the Vesting Schedule set forth in the Grant Notice.</w:t>
      </w:r>
    </w:p>
    <w:p>
      <w:pPr>
        <w:spacing w:after="0" w:line="117"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67" w:lineRule="exact"/>
        <w:rPr>
          <w:rFonts w:ascii="Times New Roman" w:cs="Times New Roman" w:eastAsia="Times New Roman" w:hAnsi="Times New Roman"/>
          <w:sz w:val="18"/>
          <w:szCs w:val="18"/>
          <w:color w:val="auto"/>
        </w:rPr>
      </w:pPr>
    </w:p>
    <w:p>
      <w:pPr>
        <w:ind w:left="440" w:right="80" w:firstLine="948"/>
        <w:spacing w:after="0" w:line="266" w:lineRule="auto"/>
        <w:tabs>
          <w:tab w:leader="none" w:pos="1607"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Disability</w:t>
      </w:r>
      <w:r>
        <w:rPr>
          <w:rFonts w:ascii="Times New Roman" w:cs="Times New Roman" w:eastAsia="Times New Roman" w:hAnsi="Times New Roman"/>
          <w:sz w:val="18"/>
          <w:szCs w:val="18"/>
          <w:color w:val="auto"/>
        </w:rPr>
        <w:t>. If the Optionee’s Service Relationship terminates by reason of such Optionee’s death or Disability, this Stock Option may be exercised, to the extent exercisable on the date of such termination, by the Optionee, the Optionee’s legal representative or legatee for a period of 12 months from the date of death or Disability or until the Expiration Date, if earlier.</w:t>
      </w:r>
    </w:p>
    <w:p>
      <w:pPr>
        <w:spacing w:after="0" w:line="67" w:lineRule="exact"/>
        <w:rPr>
          <w:rFonts w:ascii="Times New Roman" w:cs="Times New Roman" w:eastAsia="Times New Roman" w:hAnsi="Times New Roman"/>
          <w:sz w:val="18"/>
          <w:szCs w:val="18"/>
          <w:color w:val="auto"/>
        </w:rPr>
      </w:pPr>
    </w:p>
    <w:p>
      <w:pPr>
        <w:ind w:left="440" w:right="80" w:firstLine="948"/>
        <w:spacing w:after="0" w:line="261" w:lineRule="auto"/>
        <w:tabs>
          <w:tab w:leader="none" w:pos="1657"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xml:space="preserve">. If the Optionee’s Service Relationship terminates for any reason other than death or Disability, and unless otherwise determined by the Committee, this Stock Option may be exercised, to the extent exercisable on the date of termination, for a period of three (3) months from the date of termination or until the Expiration Date, if earlier;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if the Optionee’s Service Relationship is terminated for Cause, this Stock Option shall terminate immediately upon the date of such termination.</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that is not vested and exercisable on the date of termination of the Service Relationship shall terminate immediately and be null and void.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66" w:right="559" w:bottom="1440" w:gutter="0" w:footer="0" w:header="0"/>
        </w:sectPr>
      </w:pPr>
    </w:p>
    <w:bookmarkStart w:id="390" w:name="page391"/>
    <w:bookmarkEnd w:id="390"/>
    <w:p>
      <w:pPr>
        <w:ind w:left="620" w:hanging="184"/>
        <w:spacing w:after="0"/>
        <w:tabs>
          <w:tab w:leader="none" w:pos="6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Stock 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indicating his or her election to purchase some or all of the Shares with respect to which this Stock Option is then exercisable. Such notice shall specify the number of Shares to be purchased.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98" w:lineRule="exact"/>
        <w:rPr>
          <w:rFonts w:ascii="Times New Roman" w:cs="Times New Roman" w:eastAsia="Times New Roman" w:hAnsi="Times New Roman"/>
          <w:sz w:val="18"/>
          <w:szCs w:val="18"/>
          <w:color w:val="auto"/>
        </w:rPr>
      </w:pPr>
    </w:p>
    <w:p>
      <w:pPr>
        <w:ind w:right="140" w:firstLine="436"/>
        <w:spacing w:after="0" w:line="282" w:lineRule="auto"/>
        <w:tabs>
          <w:tab w:leader="none" w:pos="6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w:t>
      </w:r>
    </w:p>
    <w:p>
      <w:pPr>
        <w:spacing w:after="0" w:line="53" w:lineRule="exact"/>
        <w:rPr>
          <w:rFonts w:ascii="Times New Roman" w:cs="Times New Roman" w:eastAsia="Times New Roman" w:hAnsi="Times New Roman"/>
          <w:sz w:val="18"/>
          <w:szCs w:val="18"/>
          <w:color w:val="auto"/>
        </w:rPr>
      </w:pPr>
    </w:p>
    <w:p>
      <w:pPr>
        <w:ind w:right="40" w:firstLine="436"/>
        <w:spacing w:after="0" w:line="255" w:lineRule="auto"/>
        <w:tabs>
          <w:tab w:leader="none" w:pos="6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Stock Option</w:t>
      </w:r>
      <w:r>
        <w:rPr>
          <w:rFonts w:ascii="Times New Roman" w:cs="Times New Roman" w:eastAsia="Times New Roman" w:hAnsi="Times New Roman"/>
          <w:sz w:val="18"/>
          <w:szCs w:val="18"/>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80" w:lineRule="exact"/>
        <w:rPr>
          <w:rFonts w:ascii="Times New Roman" w:cs="Times New Roman" w:eastAsia="Times New Roman" w:hAnsi="Times New Roman"/>
          <w:sz w:val="18"/>
          <w:szCs w:val="18"/>
          <w:color w:val="auto"/>
        </w:rPr>
      </w:pPr>
    </w:p>
    <w:p>
      <w:pPr>
        <w:ind w:right="260" w:firstLine="436"/>
        <w:spacing w:after="0" w:line="282" w:lineRule="auto"/>
        <w:tabs>
          <w:tab w:leader="none" w:pos="6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Shares</w:t>
      </w:r>
      <w:r>
        <w:rPr>
          <w:rFonts w:ascii="Times New Roman" w:cs="Times New Roman" w:eastAsia="Times New Roman" w:hAnsi="Times New Roman"/>
          <w:sz w:val="18"/>
          <w:szCs w:val="18"/>
          <w:color w:val="auto"/>
        </w:rPr>
        <w:t>. The Shares acquired upon exercise of the Stock Option shall be subject to certain transfer restrictions and other limitations including, without limitation, the provisions contained in Section 9 of the Plan.</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20" w:firstLine="987"/>
        <w:spacing w:after="0" w:line="312" w:lineRule="auto"/>
        <w:tabs>
          <w:tab w:leader="none" w:pos="1236"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Equitable Relief</w:t>
      </w:r>
      <w:r>
        <w:rPr>
          <w:rFonts w:ascii="Times New Roman" w:cs="Times New Roman" w:eastAsia="Times New Roman" w:hAnsi="Times New Roman"/>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1" w:lineRule="exact"/>
        <w:rPr>
          <w:rFonts w:ascii="Times New Roman" w:cs="Times New Roman" w:eastAsia="Times New Roman" w:hAnsi="Times New Roman"/>
          <w:sz w:val="17"/>
          <w:szCs w:val="17"/>
          <w:color w:val="auto"/>
        </w:rPr>
      </w:pPr>
    </w:p>
    <w:p>
      <w:pPr>
        <w:ind w:right="100" w:firstLine="987"/>
        <w:spacing w:after="0" w:line="258" w:lineRule="auto"/>
        <w:tabs>
          <w:tab w:leader="none" w:pos="124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Capital Structure</w:t>
      </w:r>
      <w:r>
        <w:rPr>
          <w:rFonts w:ascii="Times New Roman" w:cs="Times New Roman" w:eastAsia="Times New Roman" w:hAnsi="Times New Roman"/>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91" w:name="page392"/>
    <w:bookmarkEnd w:id="391"/>
    <w:p>
      <w:pPr>
        <w:jc w:val="both"/>
        <w:ind w:left="-100" w:firstLine="987"/>
        <w:spacing w:after="0" w:line="312" w:lineRule="auto"/>
        <w:tabs>
          <w:tab w:leader="none" w:pos="1136"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and Modifications</w:t>
      </w:r>
      <w:r>
        <w:rPr>
          <w:rFonts w:ascii="Times New Roman" w:cs="Times New Roman" w:eastAsia="Times New Roman" w:hAnsi="Times New Roman"/>
          <w:sz w:val="17"/>
          <w:szCs w:val="17"/>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31" w:lineRule="exact"/>
        <w:rPr>
          <w:rFonts w:ascii="Times New Roman" w:cs="Times New Roman" w:eastAsia="Times New Roman" w:hAnsi="Times New Roman"/>
          <w:sz w:val="17"/>
          <w:szCs w:val="17"/>
          <w:color w:val="auto"/>
        </w:rPr>
      </w:pPr>
    </w:p>
    <w:p>
      <w:pPr>
        <w:jc w:val="both"/>
        <w:ind w:left="-100" w:right="80" w:firstLine="987"/>
        <w:spacing w:after="0" w:line="266" w:lineRule="auto"/>
        <w:tabs>
          <w:tab w:leader="none" w:pos="11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pacing w:after="0" w:line="67" w:lineRule="exact"/>
        <w:rPr>
          <w:rFonts w:ascii="Times New Roman" w:cs="Times New Roman" w:eastAsia="Times New Roman" w:hAnsi="Times New Roman"/>
          <w:sz w:val="18"/>
          <w:szCs w:val="18"/>
          <w:color w:val="auto"/>
        </w:rPr>
      </w:pPr>
    </w:p>
    <w:p>
      <w:pPr>
        <w:ind w:left="-100" w:right="240" w:firstLine="987"/>
        <w:spacing w:after="0" w:line="282" w:lineRule="auto"/>
        <w:tabs>
          <w:tab w:leader="none" w:pos="113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53" w:lineRule="exact"/>
        <w:rPr>
          <w:rFonts w:ascii="Times New Roman" w:cs="Times New Roman" w:eastAsia="Times New Roman" w:hAnsi="Times New Roman"/>
          <w:sz w:val="18"/>
          <w:szCs w:val="18"/>
          <w:color w:val="auto"/>
        </w:rPr>
      </w:pPr>
    </w:p>
    <w:p>
      <w:pPr>
        <w:ind w:left="-100" w:right="40" w:firstLine="987"/>
        <w:spacing w:after="0" w:line="282" w:lineRule="auto"/>
        <w:tabs>
          <w:tab w:leader="none" w:pos="111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 Clause</w:t>
      </w:r>
      <w:r>
        <w:rPr>
          <w:rFonts w:ascii="Times New Roman" w:cs="Times New Roman" w:eastAsia="Times New Roman" w:hAnsi="Times New Roman"/>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53" w:lineRule="exact"/>
        <w:rPr>
          <w:rFonts w:ascii="Times New Roman" w:cs="Times New Roman" w:eastAsia="Times New Roman" w:hAnsi="Times New Roman"/>
          <w:sz w:val="18"/>
          <w:szCs w:val="18"/>
          <w:color w:val="auto"/>
        </w:rPr>
      </w:pPr>
    </w:p>
    <w:p>
      <w:pPr>
        <w:ind w:left="-100" w:right="20" w:firstLine="987"/>
        <w:spacing w:after="0" w:line="261" w:lineRule="auto"/>
        <w:tabs>
          <w:tab w:leader="none" w:pos="11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71" w:lineRule="exact"/>
        <w:rPr>
          <w:rFonts w:ascii="Times New Roman" w:cs="Times New Roman" w:eastAsia="Times New Roman" w:hAnsi="Times New Roman"/>
          <w:sz w:val="18"/>
          <w:szCs w:val="18"/>
          <w:color w:val="auto"/>
        </w:rPr>
      </w:pPr>
    </w:p>
    <w:p>
      <w:pPr>
        <w:ind w:left="-100" w:right="120" w:firstLine="987"/>
        <w:spacing w:after="0" w:line="266" w:lineRule="auto"/>
        <w:tabs>
          <w:tab w:leader="none" w:pos="114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and Binding Effect</w:t>
      </w:r>
      <w:r>
        <w:rPr>
          <w:rFonts w:ascii="Times New Roman" w:cs="Times New Roman" w:eastAsia="Times New Roman" w:hAnsi="Times New Roman"/>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67" w:lineRule="exact"/>
        <w:rPr>
          <w:rFonts w:ascii="Times New Roman" w:cs="Times New Roman" w:eastAsia="Times New Roman" w:hAnsi="Times New Roman"/>
          <w:sz w:val="18"/>
          <w:szCs w:val="18"/>
          <w:color w:val="auto"/>
        </w:rPr>
      </w:pPr>
    </w:p>
    <w:p>
      <w:pPr>
        <w:ind w:left="-100" w:right="780" w:firstLine="987"/>
        <w:spacing w:after="0" w:line="282" w:lineRule="auto"/>
        <w:tabs>
          <w:tab w:leader="none" w:pos="110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53" w:lineRule="exact"/>
        <w:rPr>
          <w:rFonts w:ascii="Times New Roman" w:cs="Times New Roman" w:eastAsia="Times New Roman" w:hAnsi="Times New Roman"/>
          <w:sz w:val="18"/>
          <w:szCs w:val="18"/>
          <w:color w:val="auto"/>
        </w:rPr>
      </w:pPr>
    </w:p>
    <w:p>
      <w:pPr>
        <w:jc w:val="both"/>
        <w:ind w:left="-100" w:firstLine="987"/>
        <w:spacing w:after="0" w:line="261" w:lineRule="auto"/>
        <w:tabs>
          <w:tab w:leader="none" w:pos="110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 The execution of this Agreement satisfies in full any express or implied obligation, agreement or promise by or on the part of the Company to grant or issue to the Grantee any equity interest in the Company pursuant to any offer letter, employment agreement, consulting or other written or oral agreement or arrangement as of the Grant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540" w:top="270" w:right="539" w:bottom="1440" w:gutter="0" w:footer="0" w:header="0"/>
        </w:sectPr>
      </w:pPr>
    </w:p>
    <w:bookmarkStart w:id="392" w:name="page393"/>
    <w:bookmarkEnd w:id="392"/>
    <w:p>
      <w:pPr>
        <w:ind w:left="620" w:hanging="184"/>
        <w:spacing w:after="0"/>
        <w:tabs>
          <w:tab w:leader="none" w:pos="62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80" w:firstLine="987"/>
        <w:spacing w:after="0" w:line="258" w:lineRule="auto"/>
        <w:tabs>
          <w:tab w:leader="none" w:pos="123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San Mateo County, California.</w:t>
      </w:r>
    </w:p>
    <w:p>
      <w:pPr>
        <w:spacing w:after="0" w:line="75"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86" w:lineRule="exact"/>
        <w:rPr>
          <w:rFonts w:ascii="Times New Roman" w:cs="Times New Roman" w:eastAsia="Times New Roman" w:hAnsi="Times New Roman"/>
          <w:sz w:val="18"/>
          <w:szCs w:val="18"/>
          <w:color w:val="auto"/>
        </w:rPr>
      </w:pPr>
    </w:p>
    <w:p>
      <w:pPr>
        <w:jc w:val="both"/>
        <w:ind w:right="160" w:firstLine="987"/>
        <w:spacing w:after="0" w:line="261" w:lineRule="auto"/>
        <w:tabs>
          <w:tab w:leader="none" w:pos="123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71"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93" w:name="page394"/>
    <w:bookmarkEnd w:id="393"/>
    <w:p>
      <w:pPr>
        <w:ind w:firstLine="436"/>
        <w:spacing w:after="0" w:line="253" w:lineRule="auto"/>
        <w:tabs>
          <w:tab w:leader="none" w:pos="6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Statutory Information Rights</w:t>
      </w:r>
      <w:r>
        <w:rPr>
          <w:rFonts w:ascii="Times New Roman" w:cs="Times New Roman" w:eastAsia="Times New Roman" w:hAnsi="Times New Roman"/>
          <w:sz w:val="18"/>
          <w:szCs w:val="18"/>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94" w:name="page395"/>
    <w:bookmarkEnd w:id="394"/>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874395</wp:posOffset>
            </wp:positionV>
            <wp:extent cx="279463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SPOUSE’S CONSENT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that I have read the foregoing Non-Qualified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Agreement and understand the contents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95" w:name="page396"/>
    <w:bookmarkEnd w:id="395"/>
    <w:p>
      <w:pPr>
        <w:jc w:val="right"/>
        <w:ind w:right="10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582930</wp:posOffset>
            </wp:positionV>
            <wp:extent cx="279463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874395</wp:posOffset>
            </wp:positionV>
            <wp:extent cx="279463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270" w:right="1440" w:bottom="1440" w:gutter="0" w:footer="0" w:header="0"/>
        </w:sectPr>
      </w:pPr>
    </w:p>
    <w:bookmarkStart w:id="396" w:name="page397"/>
    <w:bookmarkEnd w:id="3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EXERCISE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279463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297180</wp:posOffset>
            </wp:positionV>
            <wp:extent cx="27946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Pursuant to the terms of the grant notice and stock option agreement between the undersigned and Maze Therapeutics, Inc. (the “Company”) dated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 (the “Agreement”) under the Maze Therapeutics, Inc. 2018 Stock Option and Grant Plan (the “Plan”), I, [Insert Name] 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[Circle One] partially/fully exercise such option by including herein payment in the amount of $_____________ representing the purchase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[Fill in number of Shares] _____________ Shares. I have chosen the following form(s) of payment:</w:t>
      </w:r>
    </w:p>
    <w:p>
      <w:pPr>
        <w:spacing w:after="0" w:line="234"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Certified or bank check payable to Maze Therapeutics, Inc.</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Other (as referenced in the Agreement and described in the Plan (please describe))</w:t>
            </w:r>
          </w:p>
        </w:tc>
      </w:tr>
      <w:tr>
        <w:trPr>
          <w:trHeight w:val="324"/>
        </w:trPr>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my exercise of the option as set forth above, I hereby represent and warrant to the Company as follows:</w:t>
      </w:r>
    </w:p>
    <w:p>
      <w:pPr>
        <w:spacing w:after="0" w:line="117" w:lineRule="exact"/>
        <w:rPr>
          <w:sz w:val="20"/>
          <w:szCs w:val="20"/>
          <w:color w:val="auto"/>
        </w:rPr>
      </w:pPr>
    </w:p>
    <w:p>
      <w:pPr>
        <w:ind w:left="1600" w:hanging="212"/>
        <w:spacing w:after="0"/>
        <w:tabs>
          <w:tab w:leader="none" w:pos="16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purchasing the Shares for my own account for investment only, and not for resale or with a view to the distribution thereof.</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657"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67" w:lineRule="exact"/>
        <w:rPr>
          <w:rFonts w:ascii="Times New Roman" w:cs="Times New Roman" w:eastAsia="Times New Roman" w:hAnsi="Times New Roman"/>
          <w:sz w:val="18"/>
          <w:szCs w:val="18"/>
          <w:color w:val="auto"/>
        </w:rPr>
      </w:pPr>
    </w:p>
    <w:p>
      <w:pPr>
        <w:ind w:left="440" w:firstLine="948"/>
        <w:spacing w:after="0" w:line="282" w:lineRule="auto"/>
        <w:tabs>
          <w:tab w:leader="none" w:pos="1707"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53" w:lineRule="exact"/>
        <w:rPr>
          <w:rFonts w:ascii="Times New Roman" w:cs="Times New Roman" w:eastAsia="Times New Roman" w:hAnsi="Times New Roman"/>
          <w:sz w:val="18"/>
          <w:szCs w:val="18"/>
          <w:color w:val="auto"/>
        </w:rPr>
      </w:pPr>
    </w:p>
    <w:p>
      <w:pPr>
        <w:ind w:left="440" w:right="500" w:firstLine="948"/>
        <w:spacing w:after="0" w:line="282" w:lineRule="auto"/>
        <w:tabs>
          <w:tab w:leader="none" w:pos="1697"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can afford a complete loss of the value of the Shares and am able to bear the economic risk of holding such Shares for an indefinite period of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397" w:name="page398"/>
    <w:bookmarkEnd w:id="397"/>
    <w:p>
      <w:pPr>
        <w:ind w:firstLine="948"/>
        <w:spacing w:after="0" w:line="256" w:lineRule="auto"/>
        <w:tabs>
          <w:tab w:leader="none" w:pos="120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79" w:lineRule="exact"/>
        <w:rPr>
          <w:rFonts w:ascii="Times New Roman" w:cs="Times New Roman" w:eastAsia="Times New Roman" w:hAnsi="Times New Roman"/>
          <w:sz w:val="18"/>
          <w:szCs w:val="18"/>
          <w:color w:val="auto"/>
        </w:rPr>
      </w:pPr>
    </w:p>
    <w:p>
      <w:pPr>
        <w:ind w:right="360" w:firstLine="948"/>
        <w:spacing w:after="0" w:line="282" w:lineRule="auto"/>
        <w:tabs>
          <w:tab w:leader="none" w:pos="125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53"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the Company has a right of first refusal with respect to the Shares pursuant to Section 9(b)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98"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understand and agree that the Company has certain repurchase rights with respect to the Shares pursuant to Section 9(c) of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Plan.</w:t>
      </w:r>
    </w:p>
    <w:p>
      <w:pPr>
        <w:spacing w:after="0" w:line="98" w:lineRule="exact"/>
        <w:rPr>
          <w:rFonts w:ascii="Times New Roman" w:cs="Times New Roman" w:eastAsia="Times New Roman" w:hAnsi="Times New Roman"/>
          <w:sz w:val="17"/>
          <w:szCs w:val="17"/>
          <w:color w:val="auto"/>
        </w:rPr>
      </w:pPr>
    </w:p>
    <w:p>
      <w:pPr>
        <w:ind w:right="560" w:firstLine="948"/>
        <w:spacing w:after="0" w:line="282" w:lineRule="auto"/>
        <w:tabs>
          <w:tab w:leader="none" w:pos="125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5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to the waiver of statutory information rights as set forth in Section 8 of the Agreement.</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582930</wp:posOffset>
            </wp:positionV>
            <wp:extent cx="279463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874395</wp:posOffset>
            </wp:positionV>
            <wp:extent cx="279463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-7620</wp:posOffset>
            </wp:positionV>
            <wp:extent cx="217106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71065" cy="8255"/>
                    </a:xfrm>
                    <a:prstGeom prst="rect">
                      <a:avLst/>
                    </a:prstGeom>
                    <a:noFill/>
                  </pic:spPr>
                </pic:pic>
              </a:graphicData>
            </a:graphic>
          </wp:anchor>
        </w:drawing>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398" w:name="page399"/>
    <w:bookmarkEnd w:id="3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NON-QUALIFIED STOCK OPTION GRANT NOTICE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Pursuant to the Maze Therapeutics, Inc. 2018 Stock Option and Grant Plan (the “Plan”), Maze Therapeutics, Inc., a Delaware corporation (together with any successor thereto, the “Company”), has granted to the individual named below, an option (the “Stock Option”) to purchase on or prior to the Expiration Date, or such earlier date as is specified herein, all or any part of the number of shares of Common Stock, par value $0.001 per share (“Common Stock”), of the Company indicated below (the “Shares”), at the Option Exercise Price per share, subject to the terms and conditions set forth in this Early Exercise Non-Qualified Stock Option Grant Notice (the “Grant Notice”), the attached Early Exercise Non-Qualified Stock Option Agreement (the “Agreement”) and the Plan. This Stock Option is not intended to qualify as an “incentive stock option” as defined in Section 422(b) of the Internal Revenue Code of 1986, as amended from time to time (the “Code”).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“Optionee”)</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 of Shares:</w:t>
            </w: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 Shares of Common Stock</w:t>
            </w:r>
          </w:p>
        </w:tc>
      </w:tr>
      <w:tr>
        <w:trPr>
          <w:trHeight w:val="28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420" w:type="dxa"/>
            <w:vAlign w:val="bottom"/>
          </w:tcPr>
          <w:p>
            <w:pPr>
              <w:spacing w:after="0"/>
              <w:rPr>
                <w:sz w:val="24"/>
                <w:szCs w:val="24"/>
                <w:color w:val="auto"/>
              </w:rPr>
            </w:pPr>
          </w:p>
        </w:tc>
      </w:tr>
      <w:tr>
        <w:trPr>
          <w:trHeight w:val="345"/>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“Vesting Commencement Date”)</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 (the “Expiration Date”)</w:t>
            </w:r>
          </w:p>
        </w:tc>
      </w:tr>
      <w:tr>
        <w:trPr>
          <w:trHeight w:val="32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Price/Share:</w:t>
            </w: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 (the “Option Exercise Price”)</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of the Shares shall vest on the first anniversary of the Vesting Commencement Date;</w:t>
            </w:r>
          </w:p>
        </w:tc>
      </w:tr>
      <w:tr>
        <w:trPr>
          <w:trHeight w:val="216"/>
        </w:trPr>
        <w:tc>
          <w:tcPr>
            <w:tcW w:w="38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provided that the Optionee continues to have a Service Relationship with the Company at such</w:t>
            </w:r>
          </w:p>
        </w:tc>
      </w:tr>
      <w:tr>
        <w:trPr>
          <w:trHeight w:val="216"/>
        </w:trPr>
        <w:tc>
          <w:tcPr>
            <w:tcW w:w="38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Thereafter, the remaining 75% of the Shares shall vest in 36 equal monthly installments</w:t>
            </w:r>
          </w:p>
        </w:tc>
      </w:tr>
      <w:tr>
        <w:trPr>
          <w:trHeight w:val="216"/>
        </w:trPr>
        <w:tc>
          <w:tcPr>
            <w:tcW w:w="38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 the first anniversary of the Vesting Commencement Date, provided the Optionee</w:t>
            </w:r>
          </w:p>
        </w:tc>
      </w:tr>
      <w:tr>
        <w:trPr>
          <w:trHeight w:val="216"/>
        </w:trPr>
        <w:tc>
          <w:tcPr>
            <w:tcW w:w="38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continues to have a Service Relationship with the Company on each vesting date.]</w:t>
            </w:r>
          </w:p>
        </w:tc>
      </w:tr>
      <w:tr>
        <w:trPr>
          <w:trHeight w:val="216"/>
        </w:trPr>
        <w:tc>
          <w:tcPr>
            <w:tcW w:w="386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Notwithstanding anything in the Agreement to the contrary, in the case of a Sale Event, this Stock</w:t>
            </w:r>
          </w:p>
        </w:tc>
      </w:tr>
      <w:tr>
        <w:trPr>
          <w:trHeight w:val="234"/>
        </w:trPr>
        <w:tc>
          <w:tcPr>
            <w:tcW w:w="386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and the Shares shall be treated as provided in Section 3(c) of the Plan.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 Early Exercise Non-Qualified Stock Option Agreement, Restricted Stock Agreement, 2018 Stock Option and Grant Plan</w:t>
      </w:r>
    </w:p>
    <w:p>
      <w:pPr>
        <w:sectPr>
          <w:pgSz w:w="11900" w:h="16838" w:orient="portrait"/>
          <w:cols w:equalWidth="0" w:num="1">
            <w:col w:w="11000"/>
          </w:cols>
          <w:pgMar w:left="440" w:top="266" w:right="459" w:bottom="1440" w:gutter="0" w:footer="0" w:header="0"/>
        </w:sectPr>
      </w:pPr>
    </w:p>
    <w:bookmarkStart w:id="399" w:name="page400"/>
    <w:bookmarkEnd w:id="39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NON-QUALIFIED STOCK OPTION AGREEMENT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capitalized terms used herein and not otherwise defined shall have the respective meanings set forth in the Grant Notice and the Plan.</w:t>
      </w:r>
    </w:p>
    <w:p>
      <w:pPr>
        <w:spacing w:after="0" w:line="117" w:lineRule="exact"/>
        <w:rPr>
          <w:sz w:val="20"/>
          <w:szCs w:val="20"/>
          <w:color w:val="auto"/>
        </w:rPr>
      </w:pPr>
    </w:p>
    <w:p>
      <w:pPr>
        <w:ind w:left="620" w:hanging="184"/>
        <w:spacing w:after="0"/>
        <w:tabs>
          <w:tab w:leader="none" w:pos="6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Exercisability and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shall be immediately exercisable, regardless of whether the Shares are vested.</w:t>
      </w:r>
    </w:p>
    <w:p>
      <w:pPr>
        <w:spacing w:after="0" w:line="117"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below, and subject to the determination of the Committee in its sole discretion to accelerate the vesting schedule hereunder, the Shares shall be vested on the respective dates indicated below:</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shall initially be unvested.</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vest in accordance with the Vesting Schedule set forth in the Grant Notice.</w:t>
      </w:r>
    </w:p>
    <w:p>
      <w:pPr>
        <w:spacing w:after="0" w:line="117"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Committee, if the Optionee’s Service Relationship is terminated, the period within which to exercise this Stock Option will be subject to earlier termination as set forth below (and if not exercised within such period, shall thereafter terminate subject, in each case, to Section 3(c) of the Plan):</w:t>
      </w:r>
    </w:p>
    <w:p>
      <w:pPr>
        <w:spacing w:after="0" w:line="67" w:lineRule="exact"/>
        <w:rPr>
          <w:rFonts w:ascii="Times New Roman" w:cs="Times New Roman" w:eastAsia="Times New Roman" w:hAnsi="Times New Roman"/>
          <w:sz w:val="18"/>
          <w:szCs w:val="18"/>
          <w:color w:val="auto"/>
        </w:rPr>
      </w:pPr>
    </w:p>
    <w:p>
      <w:pPr>
        <w:ind w:left="440" w:right="140" w:firstLine="948"/>
        <w:spacing w:after="0" w:line="289" w:lineRule="auto"/>
        <w:tabs>
          <w:tab w:leader="none" w:pos="1607" w:val="left"/>
        </w:tabs>
        <w:numPr>
          <w:ilvl w:val="2"/>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Due to Death or Disability</w:t>
      </w:r>
      <w:r>
        <w:rPr>
          <w:rFonts w:ascii="Times New Roman" w:cs="Times New Roman" w:eastAsia="Times New Roman" w:hAnsi="Times New Roman"/>
          <w:sz w:val="17"/>
          <w:szCs w:val="17"/>
          <w:color w:val="auto"/>
        </w:rPr>
        <w:t>. If the Optionee’s Service Relationship terminates by reason of such Optionee’s death or Disability, this Stock Option may continue to be exercised, to the extent the Shares are vested on the date of termination, by the Optionee, the Optionee’s legal representative or legatee for a period of 12 months from the date of death or Disability or until the Expiration Date, if earlier.</w:t>
      </w:r>
    </w:p>
    <w:p>
      <w:pPr>
        <w:spacing w:after="0" w:line="49" w:lineRule="exact"/>
        <w:rPr>
          <w:rFonts w:ascii="Times New Roman" w:cs="Times New Roman" w:eastAsia="Times New Roman" w:hAnsi="Times New Roman"/>
          <w:sz w:val="17"/>
          <w:szCs w:val="17"/>
          <w:color w:val="auto"/>
        </w:rPr>
      </w:pPr>
    </w:p>
    <w:p>
      <w:pPr>
        <w:ind w:left="440" w:right="280" w:firstLine="948"/>
        <w:spacing w:after="0" w:line="261" w:lineRule="auto"/>
        <w:tabs>
          <w:tab w:leader="none" w:pos="1657"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xml:space="preserve">. If the Optionee’s Service Relationship terminates for any reason other than death or Disability, and unless otherwise determined by the Committee, this Stock Option may continue to be exercised, to the extent the Shares are vested on the date of termination, for a period of three (3) months from the date of termination or until the Expiration Date, if earlier;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if the Optionee’s Service Relationship is terminated for Cause, this Stock Option shall terminate immediately upon the date of such termination.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purposes hereof, the Committee’s determination of the reason for termination of the Optionee’s Service Relationship shall be conclusive and binding on the Optionee and his or her representatives or legatees and any Permitted Transferee. Any portion of this Stock Option with respect to Shares that are not vested and exercisable on the date of termination of the Service Relationship shall terminate immediately and be null and void.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400" w:name="page401"/>
    <w:bookmarkEnd w:id="400"/>
    <w:p>
      <w:pPr>
        <w:ind w:left="620" w:hanging="184"/>
        <w:spacing w:after="0"/>
        <w:tabs>
          <w:tab w:leader="none" w:pos="6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Stock 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Optionee may exercise this Stock Option only in the following manner: Prior to the Expiration Date, the Optionee may deliver a Stock Option exercise notice (an “Exercise Notice”) in the form of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hereto indicating his or her election to purchase some or all of the Shares. Such notice shall specify the number of Shares to be purchased. To the extent this Stock Option is only partially exercised, such exercise shall first be with respect to the Shares, if any, that have previously vested, and then with respect to the Shares that will next vest, with the Shares that vest at the latest date being exercised last. Payment of the purchase price may be made by one or more of the methods described in Section 5 of the Plan, subject to the limitations contained in such Section of the Plan, including the requirement that the Committee specifically approve in advance certain payment methods.</w:t>
      </w:r>
    </w:p>
    <w:p>
      <w:pPr>
        <w:spacing w:after="0" w:line="80" w:lineRule="exact"/>
        <w:rPr>
          <w:rFonts w:ascii="Times New Roman" w:cs="Times New Roman" w:eastAsia="Times New Roman" w:hAnsi="Times New Roman"/>
          <w:sz w:val="18"/>
          <w:szCs w:val="18"/>
          <w:color w:val="auto"/>
        </w:rPr>
      </w:pPr>
    </w:p>
    <w:p>
      <w:pPr>
        <w:ind w:right="160" w:firstLine="987"/>
        <w:spacing w:after="0" w:line="266" w:lineRule="auto"/>
        <w:tabs>
          <w:tab w:leader="none" w:pos="1246"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Optionee exercises a portion of this Stock Option with respect to Shares that have not vested, the Optionee shall also deliver a Restricted Stock Agreement covering such unvested Shares in the form of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hereto (the “Restricted Stock Agreement”) with the same vesting schedule for such Shares as set forth for such Shares herein.</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98" w:lineRule="exact"/>
        <w:rPr>
          <w:rFonts w:ascii="Times New Roman" w:cs="Times New Roman" w:eastAsia="Times New Roman" w:hAnsi="Times New Roman"/>
          <w:sz w:val="18"/>
          <w:szCs w:val="18"/>
          <w:color w:val="auto"/>
        </w:rPr>
      </w:pPr>
    </w:p>
    <w:p>
      <w:pPr>
        <w:ind w:right="100" w:firstLine="436"/>
        <w:spacing w:after="0" w:line="282" w:lineRule="auto"/>
        <w:tabs>
          <w:tab w:leader="none" w:pos="6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w:t>
      </w:r>
    </w:p>
    <w:p>
      <w:pPr>
        <w:spacing w:after="0" w:line="53" w:lineRule="exact"/>
        <w:rPr>
          <w:rFonts w:ascii="Times New Roman" w:cs="Times New Roman" w:eastAsia="Times New Roman" w:hAnsi="Times New Roman"/>
          <w:sz w:val="18"/>
          <w:szCs w:val="18"/>
          <w:color w:val="auto"/>
        </w:rPr>
      </w:pPr>
    </w:p>
    <w:p>
      <w:pPr>
        <w:ind w:firstLine="436"/>
        <w:spacing w:after="0" w:line="255" w:lineRule="auto"/>
        <w:tabs>
          <w:tab w:leader="none" w:pos="62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Stock Option</w:t>
      </w:r>
      <w:r>
        <w:rPr>
          <w:rFonts w:ascii="Times New Roman" w:cs="Times New Roman" w:eastAsia="Times New Roman" w:hAnsi="Times New Roman"/>
          <w:sz w:val="18"/>
          <w:szCs w:val="18"/>
          <w:color w:val="auto"/>
        </w:rPr>
        <w:t>. This Stock Option is personal to the Optionee and is not transferable by the Optionee in any manner other than by will or by the laws of descent and distribution. The Stock Option may be exercised during the Optionee’s lifetime only by the Optionee (or by the Optionee’s guardian or personal representative in the event of the Optionee’s incapacity). The Optionee may elect to designate a beneficiary by providing written notice of the name of such beneficiary to the Company, and may revoke or change such designation at any time by filing written notice of revocation or change with the Company; such beneficiary may exercise the Optionee’s Stock Option in the event of the Optionee’s death to the extent provided herein. If the Optionee does not designate a beneficiary, or if the designated beneficiary predeceases the Optionee, the legal representative of the Optionee may exercise this Stock Option to the extent provided herein in the event of the Optionee’s death.</w:t>
      </w:r>
    </w:p>
    <w:p>
      <w:pPr>
        <w:spacing w:after="0" w:line="80" w:lineRule="exact"/>
        <w:rPr>
          <w:rFonts w:ascii="Times New Roman" w:cs="Times New Roman" w:eastAsia="Times New Roman" w:hAnsi="Times New Roman"/>
          <w:sz w:val="18"/>
          <w:szCs w:val="18"/>
          <w:color w:val="auto"/>
        </w:rPr>
      </w:pPr>
    </w:p>
    <w:p>
      <w:pPr>
        <w:ind w:right="220" w:firstLine="436"/>
        <w:spacing w:after="0" w:line="312" w:lineRule="auto"/>
        <w:tabs>
          <w:tab w:leader="none" w:pos="620"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Transfer of Shares</w:t>
      </w:r>
      <w:r>
        <w:rPr>
          <w:rFonts w:ascii="Times New Roman" w:cs="Times New Roman" w:eastAsia="Times New Roman" w:hAnsi="Times New Roman"/>
          <w:sz w:val="17"/>
          <w:szCs w:val="17"/>
          <w:color w:val="auto"/>
        </w:rPr>
        <w:t>. The Shares acquired upon exercise of the Stock Option shall be subject to certain transfer restrictions and other limitations including, without limitation, the provisions contained in Section 9 of the Plan and, if applicable, the Restricted Stock Agreement.</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401" w:name="page402"/>
    <w:bookmarkEnd w:id="401"/>
    <w:p>
      <w:pPr>
        <w:ind w:left="520" w:hanging="184"/>
        <w:spacing w:after="0"/>
        <w:tabs>
          <w:tab w:leader="none" w:pos="52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 w:right="340" w:firstLine="987"/>
        <w:spacing w:after="0" w:line="312" w:lineRule="auto"/>
        <w:tabs>
          <w:tab w:leader="none" w:pos="1136" w:val="left"/>
        </w:tabs>
        <w:numPr>
          <w:ilvl w:val="1"/>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Equitable Relief</w:t>
      </w:r>
      <w:r>
        <w:rPr>
          <w:rFonts w:ascii="Times New Roman" w:cs="Times New Roman" w:eastAsia="Times New Roman" w:hAnsi="Times New Roman"/>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1" w:lineRule="exact"/>
        <w:rPr>
          <w:rFonts w:ascii="Times New Roman" w:cs="Times New Roman" w:eastAsia="Times New Roman" w:hAnsi="Times New Roman"/>
          <w:sz w:val="17"/>
          <w:szCs w:val="17"/>
          <w:color w:val="auto"/>
        </w:rPr>
      </w:pPr>
    </w:p>
    <w:p>
      <w:pPr>
        <w:ind w:left="-100" w:right="20" w:firstLine="987"/>
        <w:spacing w:after="0" w:line="258" w:lineRule="auto"/>
        <w:tabs>
          <w:tab w:leader="none" w:pos="1146"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Capital Structure</w:t>
      </w:r>
      <w:r>
        <w:rPr>
          <w:rFonts w:ascii="Times New Roman" w:cs="Times New Roman" w:eastAsia="Times New Roman" w:hAnsi="Times New Roman"/>
          <w:sz w:val="18"/>
          <w:szCs w:val="18"/>
          <w:color w:val="auto"/>
        </w:rPr>
        <w:t>. If, as a result of any reorganization, recapitalization, reincorporation, reclassification, stock dividend, stock split, reverse stock split or other similar change in the Common Stock, the outstanding shares of Common Stock are increased or decreased or are exchanged for a different number or kind of securities of the Company, the restrictions contained in this Agreement shall apply with equal force to additional and/or substitute securities, if any, received by the Optionee in exchange for, or by virtue of his or her ownership of, this Stock Option or Shares acquired pursuant thereto.</w:t>
      </w:r>
    </w:p>
    <w:p>
      <w:pPr>
        <w:spacing w:after="0" w:line="75" w:lineRule="exact"/>
        <w:rPr>
          <w:rFonts w:ascii="Times New Roman" w:cs="Times New Roman" w:eastAsia="Times New Roman" w:hAnsi="Times New Roman"/>
          <w:sz w:val="18"/>
          <w:szCs w:val="18"/>
          <w:color w:val="auto"/>
        </w:rPr>
      </w:pPr>
    </w:p>
    <w:p>
      <w:pPr>
        <w:jc w:val="both"/>
        <w:ind w:left="-100" w:firstLine="987"/>
        <w:spacing w:after="0" w:line="312" w:lineRule="auto"/>
        <w:tabs>
          <w:tab w:leader="none" w:pos="1136" w:val="left"/>
        </w:tabs>
        <w:numPr>
          <w:ilvl w:val="1"/>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and Modifications</w:t>
      </w:r>
      <w:r>
        <w:rPr>
          <w:rFonts w:ascii="Times New Roman" w:cs="Times New Roman" w:eastAsia="Times New Roman" w:hAnsi="Times New Roman"/>
          <w:sz w:val="17"/>
          <w:szCs w:val="17"/>
          <w:color w:val="auto"/>
        </w:rPr>
        <w:t>. This Agreement may not be orally changed, modified or terminated, nor shall any oral waiver of any of its terms be effective. This Agreement may be changed, modified or terminated only by an agreement in writing signed by the Company and the Optionee.</w:t>
      </w:r>
    </w:p>
    <w:p>
      <w:pPr>
        <w:spacing w:after="0" w:line="31" w:lineRule="exact"/>
        <w:rPr>
          <w:rFonts w:ascii="Times New Roman" w:cs="Times New Roman" w:eastAsia="Times New Roman" w:hAnsi="Times New Roman"/>
          <w:sz w:val="17"/>
          <w:szCs w:val="17"/>
          <w:color w:val="auto"/>
        </w:rPr>
      </w:pPr>
    </w:p>
    <w:p>
      <w:pPr>
        <w:jc w:val="both"/>
        <w:ind w:left="-100" w:right="80" w:firstLine="987"/>
        <w:spacing w:after="0" w:line="266" w:lineRule="auto"/>
        <w:tabs>
          <w:tab w:leader="none" w:pos="1146"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pacing w:after="0" w:line="67" w:lineRule="exact"/>
        <w:rPr>
          <w:rFonts w:ascii="Times New Roman" w:cs="Times New Roman" w:eastAsia="Times New Roman" w:hAnsi="Times New Roman"/>
          <w:sz w:val="18"/>
          <w:szCs w:val="18"/>
          <w:color w:val="auto"/>
        </w:rPr>
      </w:pPr>
    </w:p>
    <w:p>
      <w:pPr>
        <w:ind w:left="-100" w:right="240" w:firstLine="987"/>
        <w:spacing w:after="0" w:line="282" w:lineRule="auto"/>
        <w:tabs>
          <w:tab w:leader="none" w:pos="1136"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53" w:lineRule="exact"/>
        <w:rPr>
          <w:rFonts w:ascii="Times New Roman" w:cs="Times New Roman" w:eastAsia="Times New Roman" w:hAnsi="Times New Roman"/>
          <w:sz w:val="18"/>
          <w:szCs w:val="18"/>
          <w:color w:val="auto"/>
        </w:rPr>
      </w:pPr>
    </w:p>
    <w:p>
      <w:pPr>
        <w:ind w:left="-100" w:right="40" w:firstLine="987"/>
        <w:spacing w:after="0" w:line="282" w:lineRule="auto"/>
        <w:tabs>
          <w:tab w:leader="none" w:pos="1116"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 Clause</w:t>
      </w:r>
      <w:r>
        <w:rPr>
          <w:rFonts w:ascii="Times New Roman" w:cs="Times New Roman" w:eastAsia="Times New Roman" w:hAnsi="Times New Roman"/>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53" w:lineRule="exact"/>
        <w:rPr>
          <w:rFonts w:ascii="Times New Roman" w:cs="Times New Roman" w:eastAsia="Times New Roman" w:hAnsi="Times New Roman"/>
          <w:sz w:val="18"/>
          <w:szCs w:val="18"/>
          <w:color w:val="auto"/>
        </w:rPr>
      </w:pPr>
    </w:p>
    <w:p>
      <w:pPr>
        <w:ind w:left="-100" w:right="20" w:firstLine="987"/>
        <w:spacing w:after="0" w:line="261" w:lineRule="auto"/>
        <w:tabs>
          <w:tab w:leader="none" w:pos="1146"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Optionee shall be addressed as set forth underneath their signatures below, or to such other address or addresses as may have been furnished by such party in writing to the other.</w:t>
      </w:r>
    </w:p>
    <w:p>
      <w:pPr>
        <w:spacing w:after="0" w:line="71" w:lineRule="exact"/>
        <w:rPr>
          <w:rFonts w:ascii="Times New Roman" w:cs="Times New Roman" w:eastAsia="Times New Roman" w:hAnsi="Times New Roman"/>
          <w:sz w:val="18"/>
          <w:szCs w:val="18"/>
          <w:color w:val="auto"/>
        </w:rPr>
      </w:pPr>
    </w:p>
    <w:p>
      <w:pPr>
        <w:ind w:left="-100" w:right="120" w:firstLine="987"/>
        <w:spacing w:after="0" w:line="266" w:lineRule="auto"/>
        <w:tabs>
          <w:tab w:leader="none" w:pos="1146"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and Binding Effect</w:t>
      </w:r>
      <w:r>
        <w:rPr>
          <w:rFonts w:ascii="Times New Roman" w:cs="Times New Roman" w:eastAsia="Times New Roman" w:hAnsi="Times New Roman"/>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540" w:top="270" w:right="539" w:bottom="1440" w:gutter="0" w:footer="0" w:header="0"/>
        </w:sectPr>
      </w:pPr>
    </w:p>
    <w:bookmarkStart w:id="402" w:name="page403"/>
    <w:bookmarkEnd w:id="402"/>
    <w:p>
      <w:pPr>
        <w:ind w:left="-20" w:right="840" w:firstLine="987"/>
        <w:spacing w:after="0" w:line="282" w:lineRule="auto"/>
        <w:tabs>
          <w:tab w:leader="none" w:pos="118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53" w:lineRule="exact"/>
        <w:rPr>
          <w:rFonts w:ascii="Times New Roman" w:cs="Times New Roman" w:eastAsia="Times New Roman" w:hAnsi="Times New Roman"/>
          <w:sz w:val="18"/>
          <w:szCs w:val="18"/>
          <w:color w:val="auto"/>
        </w:rPr>
      </w:pPr>
    </w:p>
    <w:p>
      <w:pPr>
        <w:jc w:val="both"/>
        <w:ind w:left="-20" w:right="60" w:firstLine="987"/>
        <w:spacing w:after="0" w:line="261" w:lineRule="auto"/>
        <w:tabs>
          <w:tab w:leader="none" w:pos="118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 The execution of this Agreement satisfies in full any express or implied obligation, agreement or promise by or on the part of the Company to grant or issue to the Grantee any equity interest in the Company pursuant to any offer letter, employment agreement, consulting or other written or oral agreement or arrangement as of the Grant Date.</w:t>
      </w:r>
    </w:p>
    <w:p>
      <w:pPr>
        <w:spacing w:after="0" w:line="71"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20" w:right="60" w:firstLine="987"/>
        <w:spacing w:after="0" w:line="258" w:lineRule="auto"/>
        <w:tabs>
          <w:tab w:leader="none" w:pos="121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any dispute arising out of or relating to the Plan or this Stock Option, this Agreement, or the breach, termination or validity of the Plan, this Stock Option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San Mateo County, California.</w:t>
      </w:r>
    </w:p>
    <w:p>
      <w:pPr>
        <w:spacing w:after="0" w:line="75"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86" w:lineRule="exact"/>
        <w:rPr>
          <w:rFonts w:ascii="Times New Roman" w:cs="Times New Roman" w:eastAsia="Times New Roman" w:hAnsi="Times New Roman"/>
          <w:sz w:val="18"/>
          <w:szCs w:val="18"/>
          <w:color w:val="auto"/>
        </w:rPr>
      </w:pPr>
    </w:p>
    <w:p>
      <w:pPr>
        <w:jc w:val="both"/>
        <w:ind w:left="-20" w:right="140" w:firstLine="987"/>
        <w:spacing w:after="0" w:line="261" w:lineRule="auto"/>
        <w:tabs>
          <w:tab w:leader="none" w:pos="121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Optionee, each party to the Agreement and any other holder of Shares issued pursuant to this Agreement (each, a “Party”) covenants and agrees that such party will participate in the arbitration in good faith. This Section 7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403" w:name="page404"/>
    <w:bookmarkEnd w:id="403"/>
    <w:p>
      <w:pPr>
        <w:ind w:firstLine="987"/>
        <w:spacing w:after="0" w:line="253" w:lineRule="auto"/>
        <w:tabs>
          <w:tab w:leader="none" w:pos="124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86"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Statutory Information Rights</w:t>
      </w:r>
      <w:r>
        <w:rPr>
          <w:rFonts w:ascii="Times New Roman" w:cs="Times New Roman" w:eastAsia="Times New Roman" w:hAnsi="Times New Roman"/>
          <w:sz w:val="18"/>
          <w:szCs w:val="18"/>
          <w:color w:val="auto"/>
        </w:rPr>
        <w:t>. The Optionee understands and agrees that, but for the waiver made herein, the Optionee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Optionee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Optionee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Optionee under any other written agreement between the Optionee and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04" w:name="page405"/>
    <w:bookmarkEnd w:id="404"/>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hereby acknowledges receiving and reviewing a copy of the Plan, including, without limitation, Section 9 thereof, and understands that this Stock Option is subject to the terms of the Plan and of this Agreement. This Agreement is hereby accepted, and the terms and conditions of the Plan, the Grant Notice and this Agreement, SPECIFICALLY INCLUDING THE ARBITRATION PROVISIONS SET FORTH IN SECTION 7 AND THE WAIVER OF STATUTORY INFORMATION RIGHTS SET FORTH IN SECTION 8 OF THIS AGREEMENT, are hereby agreed to, by the undersigned as of the date first above written.</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874395</wp:posOffset>
            </wp:positionV>
            <wp:extent cx="279463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SPOUSE’S CONSENT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that I have read the foregoing Non-Qualified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Agreement and understand the contents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05" w:name="page406"/>
    <w:bookmarkEnd w:id="405"/>
    <w:p>
      <w:pPr>
        <w:jc w:val="right"/>
        <w:ind w:right="10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Beneficiary’s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582930</wp:posOffset>
            </wp:positionV>
            <wp:extent cx="279463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874395</wp:posOffset>
            </wp:positionV>
            <wp:extent cx="279463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019"/>
          </w:cols>
          <w:pgMar w:left="1440" w:top="270" w:right="1440" w:bottom="1440" w:gutter="0" w:footer="0" w:header="0"/>
        </w:sectPr>
      </w:pPr>
    </w:p>
    <w:bookmarkStart w:id="406" w:name="page407"/>
    <w:bookmarkEnd w:id="4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EXERCISE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279463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571500</wp:posOffset>
            </wp:positionV>
            <wp:extent cx="279463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Pursuant to the terms of the grant notice and stock option agreement between the undersigned and Maze Therapeutics, Inc. (the “Company”) dated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 (the “Agreement”) under the Maze Therapeutics, Inc. 2018 Stock Option and Grant Plan (the “Plan”), I, [Insert Name] 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[Circle One] partially/fully exercise such option by including herein payment in the amount of $______ representing the purchase price for [Fill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number of Shares] _______ Shares. I have chosen the following form(s) of payment:</w:t>
      </w:r>
    </w:p>
    <w:p>
      <w:pPr>
        <w:spacing w:after="0" w:line="234"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Certified or bank check payable to Maze Therapeutics, Inc.</w:t>
            </w:r>
          </w:p>
        </w:tc>
      </w:tr>
      <w:tr>
        <w:trPr>
          <w:trHeight w:val="306"/>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Other (as referenced in the Agreement and described in the Plan (please describe))</w:t>
            </w:r>
          </w:p>
        </w:tc>
      </w:tr>
      <w:tr>
        <w:trPr>
          <w:trHeight w:val="234"/>
        </w:trPr>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my exercise of the option as set forth above, I hereby represent and warrant to the Company as follows:</w:t>
      </w:r>
    </w:p>
    <w:p>
      <w:pPr>
        <w:spacing w:after="0" w:line="117" w:lineRule="exact"/>
        <w:rPr>
          <w:sz w:val="20"/>
          <w:szCs w:val="20"/>
          <w:color w:val="auto"/>
        </w:rPr>
      </w:pPr>
    </w:p>
    <w:p>
      <w:pPr>
        <w:ind w:left="1600" w:hanging="212"/>
        <w:spacing w:after="0"/>
        <w:tabs>
          <w:tab w:leader="none" w:pos="16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purchasing the Shares for my own account for investment only, and not for resale or with a view to the distribution thereof.</w:t>
      </w:r>
    </w:p>
    <w:p>
      <w:pPr>
        <w:spacing w:after="0" w:line="117" w:lineRule="exact"/>
        <w:rPr>
          <w:rFonts w:ascii="Times New Roman" w:cs="Times New Roman" w:eastAsia="Times New Roman" w:hAnsi="Times New Roman"/>
          <w:sz w:val="18"/>
          <w:szCs w:val="18"/>
          <w:color w:val="auto"/>
        </w:rPr>
      </w:pPr>
    </w:p>
    <w:p>
      <w:pPr>
        <w:ind w:left="440" w:firstLine="948"/>
        <w:spacing w:after="0" w:line="266" w:lineRule="auto"/>
        <w:tabs>
          <w:tab w:leader="none" w:pos="1657"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had such an opportunity as I have deemed adequate to obtain from the Company such information as is necessary to permit me to evaluate the merits and risks of my investment in the Company and have consulted with my own advisers with respect to my investment in the Company.</w:t>
      </w:r>
    </w:p>
    <w:p>
      <w:pPr>
        <w:spacing w:after="0" w:line="67" w:lineRule="exact"/>
        <w:rPr>
          <w:rFonts w:ascii="Times New Roman" w:cs="Times New Roman" w:eastAsia="Times New Roman" w:hAnsi="Times New Roman"/>
          <w:sz w:val="18"/>
          <w:szCs w:val="18"/>
          <w:color w:val="auto"/>
        </w:rPr>
      </w:pPr>
    </w:p>
    <w:p>
      <w:pPr>
        <w:ind w:left="440" w:firstLine="948"/>
        <w:spacing w:after="0" w:line="282" w:lineRule="auto"/>
        <w:tabs>
          <w:tab w:leader="none" w:pos="1707"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sufficient experience in business, financial and investment matters to be able to evaluate the risks involved in the purchase of the Shares and to make an informed investment decision with respect to such purchase.</w:t>
      </w:r>
    </w:p>
    <w:p>
      <w:pPr>
        <w:spacing w:after="0" w:line="53" w:lineRule="exact"/>
        <w:rPr>
          <w:rFonts w:ascii="Times New Roman" w:cs="Times New Roman" w:eastAsia="Times New Roman" w:hAnsi="Times New Roman"/>
          <w:sz w:val="18"/>
          <w:szCs w:val="18"/>
          <w:color w:val="auto"/>
        </w:rPr>
      </w:pPr>
    </w:p>
    <w:p>
      <w:pPr>
        <w:ind w:left="440" w:right="500" w:firstLine="948"/>
        <w:spacing w:after="0" w:line="282" w:lineRule="auto"/>
        <w:tabs>
          <w:tab w:leader="none" w:pos="1697"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can afford a complete loss of the value of the Shares and am able to bear the economic risk of holding such Shares for an indefinite period of time.</w:t>
      </w:r>
    </w:p>
    <w:p>
      <w:pPr>
        <w:spacing w:after="0" w:line="53" w:lineRule="exact"/>
        <w:rPr>
          <w:rFonts w:ascii="Times New Roman" w:cs="Times New Roman" w:eastAsia="Times New Roman" w:hAnsi="Times New Roman"/>
          <w:sz w:val="18"/>
          <w:szCs w:val="18"/>
          <w:color w:val="auto"/>
        </w:rPr>
      </w:pPr>
    </w:p>
    <w:p>
      <w:pPr>
        <w:ind w:left="440" w:right="20" w:firstLine="948"/>
        <w:spacing w:after="0" w:line="256" w:lineRule="auto"/>
        <w:tabs>
          <w:tab w:leader="none" w:pos="1647"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the Shares may not be registered under the Securities Act of 1933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Securities Act of 1933 and under any applicable state securities or “blue sky” laws (or exemptions from the registration requirement thereof). I further acknowledge that certificates representing Shares will bear restrictive legends reflecting the foregoing and/or that book entries for uncertificated Shares will include similar restrictive notations.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407" w:name="page408"/>
    <w:bookmarkEnd w:id="407"/>
    <w:p>
      <w:pPr>
        <w:ind w:left="1260" w:hanging="312"/>
        <w:spacing w:after="0"/>
        <w:tabs>
          <w:tab w:leader="none" w:pos="1260"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required, I have executed and delivered to the Company the Restricted Stock Agreement attached as </w:t>
      </w:r>
      <w:r>
        <w:rPr>
          <w:rFonts w:ascii="Times New Roman" w:cs="Times New Roman" w:eastAsia="Times New Roman" w:hAnsi="Times New Roman"/>
          <w:sz w:val="17"/>
          <w:szCs w:val="17"/>
          <w:u w:val="single" w:color="auto"/>
          <w:color w:val="auto"/>
        </w:rPr>
        <w:t>Appendix B</w:t>
      </w:r>
      <w:r>
        <w:rPr>
          <w:rFonts w:ascii="Times New Roman" w:cs="Times New Roman" w:eastAsia="Times New Roman" w:hAnsi="Times New Roman"/>
          <w:sz w:val="17"/>
          <w:szCs w:val="17"/>
          <w:color w:val="auto"/>
        </w:rPr>
        <w:t xml:space="preserve"> to</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Agreement.</w:t>
      </w:r>
    </w:p>
    <w:p>
      <w:pPr>
        <w:spacing w:after="0" w:line="98" w:lineRule="exact"/>
        <w:rPr>
          <w:rFonts w:ascii="Times New Roman" w:cs="Times New Roman" w:eastAsia="Times New Roman" w:hAnsi="Times New Roman"/>
          <w:sz w:val="17"/>
          <w:szCs w:val="17"/>
          <w:color w:val="auto"/>
        </w:rPr>
      </w:pPr>
    </w:p>
    <w:p>
      <w:pPr>
        <w:ind w:right="300" w:firstLine="948"/>
        <w:spacing w:after="0" w:line="282" w:lineRule="auto"/>
        <w:tabs>
          <w:tab w:leader="none" w:pos="130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Plan and acknowledge and agree that the Shares are subject to all of the relevant terms of the Plan, including without limitation, the transfer restrictions set forth in Section 9 of the Plan.</w:t>
      </w:r>
    </w:p>
    <w:p>
      <w:pPr>
        <w:spacing w:after="0" w:line="53"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the Company has a right of first refusal with respect to the Shares pursuant to Section 9(b)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98"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the Company has certain repurchase rights with respect to the Shares pursuant to Section 9(c)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98" w:lineRule="exact"/>
        <w:rPr>
          <w:rFonts w:ascii="Times New Roman" w:cs="Times New Roman" w:eastAsia="Times New Roman" w:hAnsi="Times New Roman"/>
          <w:sz w:val="18"/>
          <w:szCs w:val="18"/>
          <w:color w:val="auto"/>
        </w:rPr>
      </w:pPr>
    </w:p>
    <w:p>
      <w:pPr>
        <w:ind w:right="600" w:firstLine="948"/>
        <w:spacing w:after="0" w:line="282" w:lineRule="auto"/>
        <w:tabs>
          <w:tab w:leader="none" w:pos="120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that I may not sell or otherwise transfer or dispose of the Shares for a period of time following the effective date of a public offering by the Company as described in Section 9(f) of the Plan.</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and agree to the waiver of statutory information rights as set forth in Section 8 of the Agreement.</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582930</wp:posOffset>
            </wp:positionV>
            <wp:extent cx="279463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874395</wp:posOffset>
            </wp:positionV>
            <wp:extent cx="279463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-7620</wp:posOffset>
            </wp:positionV>
            <wp:extent cx="217106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171065" cy="8255"/>
                    </a:xfrm>
                    <a:prstGeom prst="rect">
                      <a:avLst/>
                    </a:prstGeom>
                    <a:noFill/>
                  </pic:spPr>
                </pic:pic>
              </a:graphicData>
            </a:graphic>
          </wp:anchor>
        </w:drawing>
      </w:r>
    </w:p>
    <w:p>
      <w:pPr>
        <w:spacing w:after="0" w:line="13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408" w:name="page409"/>
    <w:bookmarkEnd w:id="408"/>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5" w:lineRule="exact"/>
        <w:rPr>
          <w:sz w:val="20"/>
          <w:szCs w:val="20"/>
          <w:color w:val="auto"/>
        </w:rPr>
      </w:pPr>
    </w:p>
    <w:p>
      <w:pPr>
        <w:jc w:val="center"/>
        <w:ind w:left="440" w:right="2560"/>
        <w:spacing w:after="0" w:line="268" w:lineRule="auto"/>
        <w:rPr>
          <w:sz w:val="20"/>
          <w:szCs w:val="20"/>
          <w:color w:val="auto"/>
        </w:rPr>
      </w:pPr>
      <w:r>
        <w:rPr>
          <w:rFonts w:ascii="Times New Roman" w:cs="Times New Roman" w:eastAsia="Times New Roman" w:hAnsi="Times New Roman"/>
          <w:sz w:val="18"/>
          <w:szCs w:val="18"/>
          <w:b w:val="1"/>
          <w:bCs w:val="1"/>
          <w:color w:val="auto"/>
        </w:rPr>
        <w:t>RESTRICTED STOCK AGREEMENT FOR EARLY EXERCISE OPTION UNDER THE MAZE THERAPEUTICS, INC. 2018 STOCK OPTION AND GRANT PLAN</w:t>
      </w:r>
    </w:p>
    <w:p>
      <w:pPr>
        <w:spacing w:after="0" w:line="17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All capitalized terms used herein and not otherwise defined shall have the respective meanings set forth in the Early Exercise Non-Qualified Stock Option Grant Notice (the “Grant Notice”) and Early Exercise Non-Qualified Stock Option Agreement (the “Option Agreement”) between Maze Therapeutics, Inc. (the “Company”) and _______________ (the “Grantee”) for __________________ Shares of Common Stock with a Grant Date of</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___________, ______ under the Maze Therapeutics, Inc. 2018 Stock Option and Grant Plan (the “Plan”).</w:t>
      </w:r>
    </w:p>
    <w:p>
      <w:pPr>
        <w:spacing w:after="0" w:line="99" w:lineRule="exact"/>
        <w:rPr>
          <w:sz w:val="20"/>
          <w:szCs w:val="20"/>
          <w:color w:val="auto"/>
        </w:rPr>
      </w:pPr>
    </w:p>
    <w:p>
      <w:pPr>
        <w:ind w:left="624" w:hanging="184"/>
        <w:spacing w:after="0"/>
        <w:tabs>
          <w:tab w:leader="none" w:pos="62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Shares; Vesting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The Company hereby sells to the Grantee, and the Grantee hereby purchases from the Company, on</w:t>
      </w:r>
    </w:p>
    <w:p>
      <w:pPr>
        <w:spacing w:after="0" w:line="27" w:lineRule="exact"/>
        <w:rPr>
          <w:rFonts w:ascii="Times New Roman" w:cs="Times New Roman" w:eastAsia="Times New Roman" w:hAnsi="Times New Roman"/>
          <w:sz w:val="18"/>
          <w:szCs w:val="18"/>
          <w:color w:val="auto"/>
        </w:rPr>
      </w:pPr>
    </w:p>
    <w:p>
      <w:pPr>
        <w:ind w:left="4" w:right="120"/>
        <w:spacing w:after="0" w:line="2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 20[__],</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the number of Shares set forth in the Stock Option Exercise Notice (_______ Shares) dated __________ , pursuant to the Grant Notice and Option Agreement, for the aggregate Option Exercise Price for the Shares so purchased.</w:t>
      </w:r>
    </w:p>
    <w:p>
      <w:pPr>
        <w:spacing w:after="0" w:line="91" w:lineRule="exact"/>
        <w:rPr>
          <w:rFonts w:ascii="Times New Roman" w:cs="Times New Roman" w:eastAsia="Times New Roman" w:hAnsi="Times New Roman"/>
          <w:sz w:val="18"/>
          <w:szCs w:val="18"/>
          <w:color w:val="auto"/>
        </w:rPr>
      </w:pPr>
    </w:p>
    <w:p>
      <w:pPr>
        <w:ind w:left="4" w:right="460" w:firstLine="987"/>
        <w:spacing w:after="0" w:line="282" w:lineRule="auto"/>
        <w:tabs>
          <w:tab w:leader="none" w:pos="125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risk of forfeiture shall lapse with respect to the Shares, and such Shares shall become vested, on the respective dates indicated on the Vesting Schedule set forth in the Grant Notice.</w:t>
      </w:r>
    </w:p>
    <w:p>
      <w:pPr>
        <w:spacing w:after="0" w:line="53"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2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Right</w:t>
      </w:r>
      <w:r>
        <w:rPr>
          <w:rFonts w:ascii="Times New Roman" w:cs="Times New Roman" w:eastAsia="Times New Roman" w:hAnsi="Times New Roman"/>
          <w:sz w:val="18"/>
          <w:szCs w:val="18"/>
          <w:color w:val="auto"/>
        </w:rPr>
        <w:t>. Upon a Termination Event, the Company shall have the right to repurchase Shares of Restricted Stock that are unvested as of the date of such Termination Event as set forth in Section 9(c) of the Plan.</w:t>
      </w:r>
    </w:p>
    <w:p>
      <w:pPr>
        <w:spacing w:after="0" w:line="53" w:lineRule="exact"/>
        <w:rPr>
          <w:rFonts w:ascii="Times New Roman" w:cs="Times New Roman" w:eastAsia="Times New Roman" w:hAnsi="Times New Roman"/>
          <w:sz w:val="18"/>
          <w:szCs w:val="18"/>
          <w:color w:val="auto"/>
        </w:rPr>
      </w:pPr>
    </w:p>
    <w:p>
      <w:pPr>
        <w:ind w:left="4" w:right="480" w:firstLine="436"/>
        <w:spacing w:after="0" w:line="282" w:lineRule="auto"/>
        <w:tabs>
          <w:tab w:leader="none" w:pos="62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Shares</w:t>
      </w:r>
      <w:r>
        <w:rPr>
          <w:rFonts w:ascii="Times New Roman" w:cs="Times New Roman" w:eastAsia="Times New Roman" w:hAnsi="Times New Roman"/>
          <w:sz w:val="18"/>
          <w:szCs w:val="18"/>
          <w:color w:val="auto"/>
        </w:rPr>
        <w:t>. The Shares (whether or not vested) shall be subject to certain transfer restrictions and other limitations including, without limitation, the provisions contained in Section 9 of the Plan</w:t>
      </w:r>
    </w:p>
    <w:p>
      <w:pPr>
        <w:spacing w:after="0" w:line="53"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2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Restricted Stock Agreement shall be subject to and governed by all the terms and conditions of the Plan.</w:t>
      </w:r>
    </w:p>
    <w:p>
      <w:pPr>
        <w:spacing w:after="0" w:line="5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20" w:firstLine="987"/>
        <w:spacing w:after="0" w:line="261" w:lineRule="auto"/>
        <w:tabs>
          <w:tab w:leader="none" w:pos="124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Owner; Dividends</w:t>
      </w:r>
      <w:r>
        <w:rPr>
          <w:rFonts w:ascii="Times New Roman" w:cs="Times New Roman" w:eastAsia="Times New Roman" w:hAnsi="Times New Roman"/>
          <w:sz w:val="18"/>
          <w:szCs w:val="18"/>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is under no duty to declare any such dividends or to make any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6" w:lineRule="exact"/>
        <w:rPr>
          <w:sz w:val="20"/>
          <w:szCs w:val="20"/>
          <w:color w:val="auto"/>
        </w:rPr>
      </w:pPr>
    </w:p>
    <w:p>
      <w:pPr>
        <w:ind w:left="424" w:hanging="424"/>
        <w:spacing w:after="0"/>
        <w:tabs>
          <w:tab w:leader="none" w:pos="424" w:val="left"/>
        </w:tabs>
        <w:numPr>
          <w:ilvl w:val="0"/>
          <w:numId w:val="2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be filled in with date of stock purchase/option exercise.</w:t>
      </w:r>
    </w:p>
    <w:p>
      <w:pPr>
        <w:sectPr>
          <w:pgSz w:w="11900" w:h="16838" w:orient="portrait"/>
          <w:cols w:equalWidth="0" w:num="1">
            <w:col w:w="11004"/>
          </w:cols>
          <w:pgMar w:left="436" w:top="266" w:right="459" w:bottom="1440" w:gutter="0" w:footer="0" w:header="0"/>
        </w:sectPr>
      </w:pPr>
    </w:p>
    <w:bookmarkStart w:id="409" w:name="page410"/>
    <w:bookmarkEnd w:id="409"/>
    <w:p>
      <w:pPr>
        <w:ind w:right="40" w:firstLine="987"/>
        <w:spacing w:after="0" w:line="261" w:lineRule="auto"/>
        <w:tabs>
          <w:tab w:leader="none" w:pos="124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83(b) Election</w:t>
      </w:r>
      <w:r>
        <w:rPr>
          <w:rFonts w:ascii="Times New Roman" w:cs="Times New Roman" w:eastAsia="Times New Roman" w:hAnsi="Times New Roman"/>
          <w:sz w:val="18"/>
          <w:szCs w:val="18"/>
          <w:color w:val="auto"/>
        </w:rPr>
        <w:t>. The Grantee shall consult with the Grantee’s tax advisor to determine whether it would be appropriate for the Grantee to make an election under Section 83(b) of the Code with respect to the Shares. Any such election must be filed with the Internal Revenue Service within 30 days of the date of exercise. If the Grantee makes an election under Section 83(b) of the Code, the Grantee shall give prompt notice to the Company (and provide a copy of such election to the Company). A sample Section 83(b) election is attached to this Agreement as Exhibit A.</w:t>
      </w:r>
    </w:p>
    <w:p>
      <w:pPr>
        <w:spacing w:after="0" w:line="71" w:lineRule="exact"/>
        <w:rPr>
          <w:rFonts w:ascii="Times New Roman" w:cs="Times New Roman" w:eastAsia="Times New Roman" w:hAnsi="Times New Roman"/>
          <w:sz w:val="18"/>
          <w:szCs w:val="18"/>
          <w:color w:val="auto"/>
        </w:rPr>
      </w:pPr>
    </w:p>
    <w:p>
      <w:pPr>
        <w:ind w:right="420" w:firstLine="987"/>
        <w:spacing w:after="0" w:line="312" w:lineRule="auto"/>
        <w:tabs>
          <w:tab w:leader="none" w:pos="1236"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Equitable Relief</w:t>
      </w:r>
      <w:r>
        <w:rPr>
          <w:rFonts w:ascii="Times New Roman" w:cs="Times New Roman" w:eastAsia="Times New Roman" w:hAnsi="Times New Roman"/>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31" w:lineRule="exact"/>
        <w:rPr>
          <w:rFonts w:ascii="Times New Roman" w:cs="Times New Roman" w:eastAsia="Times New Roman" w:hAnsi="Times New Roman"/>
          <w:sz w:val="17"/>
          <w:szCs w:val="17"/>
          <w:color w:val="auto"/>
        </w:rPr>
      </w:pPr>
    </w:p>
    <w:p>
      <w:pPr>
        <w:ind w:right="100" w:firstLine="987"/>
        <w:spacing w:after="0" w:line="312" w:lineRule="auto"/>
        <w:tabs>
          <w:tab w:leader="none" w:pos="1246"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and Modifications</w:t>
      </w:r>
      <w:r>
        <w:rPr>
          <w:rFonts w:ascii="Times New Roman" w:cs="Times New Roman" w:eastAsia="Times New Roman" w:hAnsi="Times New Roman"/>
          <w:sz w:val="17"/>
          <w:szCs w:val="17"/>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31" w:lineRule="exact"/>
        <w:rPr>
          <w:rFonts w:ascii="Times New Roman" w:cs="Times New Roman" w:eastAsia="Times New Roman" w:hAnsi="Times New Roman"/>
          <w:sz w:val="17"/>
          <w:szCs w:val="17"/>
          <w:color w:val="auto"/>
        </w:rPr>
      </w:pPr>
    </w:p>
    <w:p>
      <w:pPr>
        <w:jc w:val="both"/>
        <w:ind w:right="160" w:firstLine="987"/>
        <w:spacing w:after="0" w:line="266" w:lineRule="auto"/>
        <w:tabs>
          <w:tab w:leader="none" w:pos="123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pacing w:after="0" w:line="67" w:lineRule="exact"/>
        <w:rPr>
          <w:rFonts w:ascii="Times New Roman" w:cs="Times New Roman" w:eastAsia="Times New Roman" w:hAnsi="Times New Roman"/>
          <w:sz w:val="18"/>
          <w:szCs w:val="18"/>
          <w:color w:val="auto"/>
        </w:rPr>
      </w:pPr>
    </w:p>
    <w:p>
      <w:pPr>
        <w:ind w:right="340" w:firstLine="987"/>
        <w:spacing w:after="0" w:line="282" w:lineRule="auto"/>
        <w:tabs>
          <w:tab w:leader="none" w:pos="121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53"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 Clause</w:t>
      </w:r>
      <w:r>
        <w:rPr>
          <w:rFonts w:ascii="Times New Roman" w:cs="Times New Roman" w:eastAsia="Times New Roman" w:hAnsi="Times New Roman"/>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53"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71" w:lineRule="exact"/>
        <w:rPr>
          <w:rFonts w:ascii="Times New Roman" w:cs="Times New Roman" w:eastAsia="Times New Roman" w:hAnsi="Times New Roman"/>
          <w:sz w:val="18"/>
          <w:szCs w:val="18"/>
          <w:color w:val="auto"/>
        </w:rPr>
      </w:pPr>
    </w:p>
    <w:p>
      <w:pPr>
        <w:jc w:val="both"/>
        <w:ind w:right="240" w:firstLine="987"/>
        <w:spacing w:after="0" w:line="266" w:lineRule="auto"/>
        <w:tabs>
          <w:tab w:leader="none" w:pos="120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and Binding Effect</w:t>
      </w:r>
      <w:r>
        <w:rPr>
          <w:rFonts w:ascii="Times New Roman" w:cs="Times New Roman" w:eastAsia="Times New Roman" w:hAnsi="Times New Roman"/>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10" w:name="page411"/>
    <w:bookmarkEnd w:id="410"/>
    <w:p>
      <w:pPr>
        <w:ind w:right="860" w:firstLine="987"/>
        <w:spacing w:after="0" w:line="282" w:lineRule="auto"/>
        <w:tabs>
          <w:tab w:leader="none" w:pos="120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Times New Roman" w:cs="Times New Roman" w:eastAsia="Times New Roman" w:hAnsi="Times New Roman"/>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San Mateo County, California.</w:t>
      </w:r>
    </w:p>
    <w:p>
      <w:pPr>
        <w:spacing w:after="0" w:line="75"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86"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7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11" w:name="page412"/>
    <w:bookmarkEnd w:id="41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75" w:lineRule="exact"/>
        <w:rPr>
          <w:sz w:val="20"/>
          <w:szCs w:val="20"/>
          <w:color w:val="auto"/>
        </w:rPr>
      </w:pPr>
    </w:p>
    <w:p>
      <w:pPr>
        <w:ind w:right="60" w:firstLine="436"/>
        <w:spacing w:after="0" w:line="253" w:lineRule="auto"/>
        <w:tabs>
          <w:tab w:leader="none" w:pos="62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Statutory Information Rights</w:t>
      </w:r>
      <w:r>
        <w:rPr>
          <w:rFonts w:ascii="Times New Roman" w:cs="Times New Roman" w:eastAsia="Times New Roman" w:hAnsi="Times New Roman"/>
          <w:sz w:val="18"/>
          <w:szCs w:val="18"/>
          <w:color w:val="auto"/>
        </w:rPr>
        <w:t>. The Grantee understands and agrees that, but for the waiver made herein, the Grantee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Grantee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Grantee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Grantee under any other written agreement between the Grantee and the Company.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12" w:name="page413"/>
    <w:bookmarkEnd w:id="41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Restricted Stock Agreement is hereby accepted and the terms and conditions thereof are hereby agreed to by the undersigned as of the date written in Section 1(a)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880"/>
          </w:cols>
          <w:pgMar w:left="440" w:top="270" w:right="579" w:bottom="1440" w:gutter="0" w:footer="0" w:header="0"/>
        </w:sectPr>
      </w:pPr>
    </w:p>
    <w:bookmarkStart w:id="413" w:name="page414"/>
    <w:bookmarkEnd w:id="413"/>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hereby acknowledges receiving and reviewing a copy of the Plan, including, without limitation, Section 9 thereof and understands that the Shares purchased hereby are subject to the terms of the Plan, the Grant Notice, and this Agreement. This Agreement is hereby accepted, and the terms and conditions of the Plan, the Grant Notice and this Agreement, SPECIFICALLY INCLUDING THE ARBITRATION PROVISIONS SET FORTH IN SECTION 6 AND THE WAIVER OF STATUTORY INFORMATION RIGHTS SET FORTH IN SECTION 7 OF THIS AGREEMENT, are hereby agreed to, by the undersigned as of the date first above written.</w:t>
      </w:r>
    </w:p>
    <w:p>
      <w:pPr>
        <w:spacing w:after="0" w:line="210"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582930</wp:posOffset>
            </wp:positionV>
            <wp:extent cx="279463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SPOUSE’S CONSENT</w:t>
      </w:r>
      <w:r>
        <w:rPr>
          <w:rFonts w:ascii="Times New Roman" w:cs="Times New Roman" w:eastAsia="Times New Roman" w:hAnsi="Times New Roman"/>
          <w:sz w:val="26"/>
          <w:szCs w:val="26"/>
          <w:color w:val="auto"/>
          <w:vertAlign w:val="superscript"/>
        </w:rPr>
        <w:t>2</w:t>
      </w:r>
    </w:p>
    <w:p>
      <w:pPr>
        <w:ind w:left="4"/>
        <w:spacing w:after="0"/>
        <w:rPr>
          <w:sz w:val="20"/>
          <w:szCs w:val="20"/>
          <w:color w:val="auto"/>
        </w:rPr>
      </w:pPr>
      <w:r>
        <w:rPr>
          <w:rFonts w:ascii="Times New Roman" w:cs="Times New Roman" w:eastAsia="Times New Roman" w:hAnsi="Times New Roman"/>
          <w:sz w:val="18"/>
          <w:szCs w:val="18"/>
          <w:color w:val="auto"/>
        </w:rPr>
        <w:t>I acknowledge that I have read the foregoing Restricted</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Stock Agreement and understand the contents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27946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391795</wp:posOffset>
            </wp:positionV>
            <wp:extent cx="77152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4" w:right="380" w:hanging="424"/>
        <w:spacing w:after="0" w:line="208" w:lineRule="auto"/>
        <w:tabs>
          <w:tab w:leader="none" w:pos="424" w:val="left"/>
        </w:tabs>
        <w:numPr>
          <w:ilvl w:val="0"/>
          <w:numId w:val="2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spouse’s consent is required only if the Grantee’s state of residence is one of the following community property states: Arizona, California, Idaho, Louisiana, New Mexico, Nevada, Texas, Washington and Wisconsin.</w:t>
      </w:r>
    </w:p>
    <w:p>
      <w:pPr>
        <w:sectPr>
          <w:pgSz w:w="11900" w:h="16838" w:orient="portrait"/>
          <w:cols w:equalWidth="0" w:num="1">
            <w:col w:w="10984"/>
          </w:cols>
          <w:pgMar w:left="436" w:top="270" w:right="479" w:bottom="1440" w:gutter="0" w:footer="0" w:header="0"/>
        </w:sectPr>
      </w:pPr>
    </w:p>
    <w:bookmarkStart w:id="414" w:name="page415"/>
    <w:bookmarkEnd w:id="414"/>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Section 83(b) Election</w:t>
      </w:r>
    </w:p>
    <w:p>
      <w:pPr>
        <w:spacing w:after="0" w:line="207"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The undersigned hereby elects pursuant to §83(b) of the Internal Revenue Code of 1986, as amended, to include in gross income as compensation for services the excess (if any) of the fair market value of the shares described below over the amount paid for those shares.</w:t>
      </w:r>
    </w:p>
    <w:p>
      <w:pPr>
        <w:spacing w:after="0" w:line="189" w:lineRule="exact"/>
        <w:rPr>
          <w:sz w:val="20"/>
          <w:szCs w:val="20"/>
          <w:color w:val="auto"/>
        </w:rPr>
      </w:pPr>
    </w:p>
    <w:p>
      <w:pPr>
        <w:ind w:left="564" w:hanging="564"/>
        <w:spacing w:after="0"/>
        <w:tabs>
          <w:tab w:leader="none" w:pos="56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taxpayer identification number, address of the undersigned, and the taxable year for which this election is being made are:</w:t>
      </w:r>
    </w:p>
    <w:p>
      <w:pPr>
        <w:spacing w:after="0" w:line="104" w:lineRule="exact"/>
        <w:rPr>
          <w:sz w:val="20"/>
          <w:szCs w:val="20"/>
          <w:color w:val="auto"/>
        </w:rPr>
      </w:pPr>
    </w:p>
    <w:tbl>
      <w:tblPr>
        <w:tblLayout w:type="fixed"/>
        <w:tblInd w:w="564"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30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304"/>
        </w:trPr>
        <w:tc>
          <w:tcPr>
            <w:tcW w:w="2780" w:type="dxa"/>
            <w:vAlign w:val="bottom"/>
          </w:tcPr>
          <w:p>
            <w:pPr>
              <w:spacing w:after="0"/>
              <w:rPr>
                <w:sz w:val="24"/>
                <w:szCs w:val="24"/>
                <w:color w:val="auto"/>
              </w:rPr>
            </w:pP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2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30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No.:</w:t>
            </w: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345"/>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Taxable Year: Calendar Year 20__</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r>
    </w:tbl>
    <w:p>
      <w:pPr>
        <w:spacing w:after="0" w:line="90" w:lineRule="exact"/>
        <w:rPr>
          <w:sz w:val="20"/>
          <w:szCs w:val="20"/>
          <w:color w:val="auto"/>
        </w:rPr>
      </w:pPr>
    </w:p>
    <w:p>
      <w:pPr>
        <w:ind w:left="564" w:hanging="564"/>
        <w:spacing w:after="0"/>
        <w:tabs>
          <w:tab w:leader="none" w:pos="56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which is the subject of this election is [number of unvested shares] shares of common stock of Maze Therapeutics, Inc.</w:t>
      </w:r>
    </w:p>
    <w:p>
      <w:pPr>
        <w:spacing w:after="0" w:line="117" w:lineRule="exact"/>
        <w:rPr>
          <w:rFonts w:ascii="Times New Roman" w:cs="Times New Roman" w:eastAsia="Times New Roman" w:hAnsi="Times New Roman"/>
          <w:sz w:val="18"/>
          <w:szCs w:val="18"/>
          <w:color w:val="auto"/>
        </w:rPr>
      </w:pPr>
    </w:p>
    <w:p>
      <w:pPr>
        <w:ind w:left="564" w:hanging="564"/>
        <w:spacing w:after="0"/>
        <w:tabs>
          <w:tab w:leader="none" w:pos="56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was transferred to the undersigned on [date of purchase/transfer].</w:t>
      </w:r>
    </w:p>
    <w:p>
      <w:pPr>
        <w:spacing w:after="0" w:line="117" w:lineRule="exact"/>
        <w:rPr>
          <w:rFonts w:ascii="Times New Roman" w:cs="Times New Roman" w:eastAsia="Times New Roman" w:hAnsi="Times New Roman"/>
          <w:sz w:val="18"/>
          <w:szCs w:val="18"/>
          <w:color w:val="auto"/>
        </w:rPr>
      </w:pPr>
    </w:p>
    <w:p>
      <w:pPr>
        <w:ind w:left="564" w:hanging="564"/>
        <w:spacing w:after="0"/>
        <w:tabs>
          <w:tab w:leader="none" w:pos="56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is subject to the following restrictions:</w:t>
      </w:r>
    </w:p>
    <w:p>
      <w:pPr>
        <w:spacing w:after="0" w:line="117" w:lineRule="exact"/>
        <w:rPr>
          <w:rFonts w:ascii="Times New Roman" w:cs="Times New Roman" w:eastAsia="Times New Roman" w:hAnsi="Times New Roman"/>
          <w:sz w:val="18"/>
          <w:szCs w:val="18"/>
          <w:color w:val="auto"/>
        </w:rPr>
      </w:pPr>
    </w:p>
    <w:p>
      <w:pPr>
        <w:ind w:left="5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will be subject to restrictions on transfer and risk of forfeiture upon termination of service relationship and in certain other events.</w:t>
      </w:r>
    </w:p>
    <w:p>
      <w:pPr>
        <w:spacing w:after="0" w:line="117" w:lineRule="exact"/>
        <w:rPr>
          <w:rFonts w:ascii="Times New Roman" w:cs="Times New Roman" w:eastAsia="Times New Roman" w:hAnsi="Times New Roman"/>
          <w:sz w:val="18"/>
          <w:szCs w:val="18"/>
          <w:color w:val="auto"/>
        </w:rPr>
      </w:pPr>
    </w:p>
    <w:p>
      <w:pPr>
        <w:ind w:left="564" w:hanging="564"/>
        <w:spacing w:after="0" w:line="282" w:lineRule="auto"/>
        <w:tabs>
          <w:tab w:leader="none" w:pos="56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property at time of transfer (determined without regard to any restrictions other than nonlapse restrictions as defined in §1.83-3(h) of the Income Tax Regulations) is $[current FMV] per share x [number of unvested shares] shares = $_______________.</w:t>
      </w:r>
    </w:p>
    <w:p>
      <w:pPr>
        <w:spacing w:after="0" w:line="53" w:lineRule="exact"/>
        <w:rPr>
          <w:rFonts w:ascii="Times New Roman" w:cs="Times New Roman" w:eastAsia="Times New Roman" w:hAnsi="Times New Roman"/>
          <w:sz w:val="18"/>
          <w:szCs w:val="18"/>
          <w:color w:val="auto"/>
        </w:rPr>
      </w:pPr>
    </w:p>
    <w:p>
      <w:pPr>
        <w:ind w:left="564" w:hanging="564"/>
        <w:spacing w:after="0"/>
        <w:tabs>
          <w:tab w:leader="none" w:pos="56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property transferred, the undersigned paid $[exercise price] per share x [number of unvested shares] shares = $_________________.</w:t>
      </w:r>
    </w:p>
    <w:p>
      <w:pPr>
        <w:spacing w:after="0" w:line="117" w:lineRule="exact"/>
        <w:rPr>
          <w:rFonts w:ascii="Times New Roman" w:cs="Times New Roman" w:eastAsia="Times New Roman" w:hAnsi="Times New Roman"/>
          <w:sz w:val="18"/>
          <w:szCs w:val="18"/>
          <w:color w:val="auto"/>
        </w:rPr>
      </w:pPr>
    </w:p>
    <w:p>
      <w:pPr>
        <w:ind w:left="564" w:hanging="564"/>
        <w:spacing w:after="0"/>
        <w:tabs>
          <w:tab w:leader="none" w:pos="56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include in gross income is $[amount reported in Item 5 minus the amount reported in Item 6].</w:t>
      </w:r>
    </w:p>
    <w:p>
      <w:pPr>
        <w:spacing w:after="0" w:line="225"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 xml:space="preserve">The undersigned taxpayer will file this election with the Internal Revenue Service Office with which the taxpayer files his or her annual income tax return not later than 30 days after the date of transfer of the property, at the IRS address listed for the taxpayer’s state under “Are you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including a check or money order . . .” given in </w:t>
      </w:r>
      <w:r>
        <w:rPr>
          <w:rFonts w:ascii="Times New Roman" w:cs="Times New Roman" w:eastAsia="Times New Roman" w:hAnsi="Times New Roman"/>
          <w:sz w:val="18"/>
          <w:szCs w:val="18"/>
          <w:i w:val="1"/>
          <w:iCs w:val="1"/>
          <w:color w:val="auto"/>
        </w:rPr>
        <w:t>Where Do You File</w:t>
      </w:r>
      <w:r>
        <w:rPr>
          <w:rFonts w:ascii="Times New Roman" w:cs="Times New Roman" w:eastAsia="Times New Roman" w:hAnsi="Times New Roman"/>
          <w:sz w:val="18"/>
          <w:szCs w:val="18"/>
          <w:color w:val="auto"/>
        </w:rPr>
        <w:t xml:space="preserve"> in the Instructions for Form 1040 and the Instructions for Form 1040A (which information can also be found at: </w:t>
      </w:r>
      <w:r>
        <w:rPr>
          <w:rFonts w:ascii="Times New Roman" w:cs="Times New Roman" w:eastAsia="Times New Roman" w:hAnsi="Times New Roman"/>
          <w:sz w:val="18"/>
          <w:szCs w:val="18"/>
          <w:u w:val="single" w:color="auto"/>
          <w:color w:val="auto"/>
        </w:rPr>
        <w:t>https://www.irs.gov/uac/where-to-file-addresses-for-taxpayers-and-tax-professionals</w:t>
      </w:r>
      <w:r>
        <w:rPr>
          <w:rFonts w:ascii="Times New Roman" w:cs="Times New Roman" w:eastAsia="Times New Roman" w:hAnsi="Times New Roman"/>
          <w:sz w:val="18"/>
          <w:szCs w:val="18"/>
          <w:color w:val="auto"/>
        </w:rPr>
        <w:t xml:space="preserve"> ). A copy of the election will also be furnished to the person for whom the services were performed. The undersigned is the person performing services in connection with which the property was transferred.</w:t>
      </w:r>
    </w:p>
    <w:p>
      <w:pPr>
        <w:spacing w:after="0" w:line="2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__________________,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17145</wp:posOffset>
            </wp:positionV>
            <wp:extent cx="328295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5844"/>
        <w:spacing w:after="0"/>
        <w:rPr>
          <w:sz w:val="20"/>
          <w:szCs w:val="20"/>
          <w:color w:val="auto"/>
        </w:rPr>
      </w:pPr>
      <w:r>
        <w:rPr>
          <w:rFonts w:ascii="Times New Roman" w:cs="Times New Roman" w:eastAsia="Times New Roman" w:hAnsi="Times New Roman"/>
          <w:sz w:val="18"/>
          <w:szCs w:val="18"/>
          <w:color w:val="auto"/>
        </w:rPr>
        <w:t>Taxpayer</w:t>
      </w:r>
    </w:p>
    <w:p>
      <w:pPr>
        <w:sectPr>
          <w:pgSz w:w="11900" w:h="16838" w:orient="portrait"/>
          <w:cols w:equalWidth="0" w:num="1">
            <w:col w:w="10984"/>
          </w:cols>
          <w:pgMar w:left="436" w:top="266" w:right="479" w:bottom="1440" w:gutter="0" w:footer="0" w:header="0"/>
        </w:sectPr>
      </w:pPr>
    </w:p>
    <w:bookmarkStart w:id="415" w:name="page416"/>
    <w:bookmarkEnd w:id="415"/>
    <w:p>
      <w:pPr>
        <w:ind w:left="38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AWARD NOTICE</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Pursuant to the Maze Therapeutics, Inc. 2018 Stock Option and Grant Plan (the “Plan”), Maze Therapeutics, Inc., a Delaware corporation (together with any successor, the “Company”), hereby grants, sells and issues to the individual named below, the Shares at the Per Share Purchase Price, subject to the terms and conditions set forth in this Restricted Stock Award Notice (the “Award Notice”), the attached Restricted Stock Agreement (the “Agreement”) and the Plan. The Grantee agrees to the provisions set forth herein and acknowledges that each such provision is a material condition of the Company’s agreement to issue and sell the Shares to him or her. The Company hereby acknowledges receipt of $[_______] in full payment for the</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Shares. All references to share prices and amounts herein shall be equitably adjusted to reflect stock splits, stock dividends, recapitalizations, mergers, reorganizations and similar changes affecting the capital stock of the Company, and any shares of capital stock of the Company received on or in respect of Shares in connection with any such event (including any shares of capital stock or any right, option or warrant to receive the same or any security convertible into or exchangeable for any such shares or received upon conversion of any such shares) shall be subject to this Agreement on the same basis and extent at the relevant time as the Shares in respect of which they were issued, and shall be deemed Shares as if and to the same extent they were issued at the date hereof.</w:t>
      </w:r>
    </w:p>
    <w:p>
      <w:pPr>
        <w:sectPr>
          <w:pgSz w:w="11900" w:h="16838" w:orient="portrait"/>
          <w:cols w:equalWidth="0" w:num="1">
            <w:col w:w="10980"/>
          </w:cols>
          <w:pgMar w:left="440" w:top="266" w:right="479" w:bottom="1440" w:gutter="0" w:footer="0" w:header="0"/>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Grantee: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 (the “Grantee”)</w:t>
      </w:r>
    </w:p>
    <w:p>
      <w:pPr>
        <w:spacing w:after="0" w:line="129" w:lineRule="exact"/>
        <w:rPr>
          <w:sz w:val="20"/>
          <w:szCs w:val="20"/>
          <w:color w:val="auto"/>
        </w:rPr>
      </w:pPr>
    </w:p>
    <w:p>
      <w:pPr>
        <w:sectPr>
          <w:pgSz w:w="11900" w:h="16838" w:orient="portrait"/>
          <w:cols w:equalWidth="0" w:num="2">
            <w:col w:w="2040" w:space="720"/>
            <w:col w:w="822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No.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 Shares of Common Stock (the “Shares”)</w:t>
      </w:r>
    </w:p>
    <w:p>
      <w:pPr>
        <w:spacing w:after="0" w:line="128" w:lineRule="exact"/>
        <w:rPr>
          <w:sz w:val="20"/>
          <w:szCs w:val="20"/>
          <w:color w:val="auto"/>
        </w:rPr>
      </w:pPr>
    </w:p>
    <w:p>
      <w:pPr>
        <w:sectPr>
          <w:pgSz w:w="11900" w:h="16838" w:orient="portrait"/>
          <w:cols w:equalWidth="0" w:num="2">
            <w:col w:w="2040" w:space="720"/>
            <w:col w:w="822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 __, ____</w:t>
      </w:r>
    </w:p>
    <w:p>
      <w:pPr>
        <w:spacing w:after="0" w:line="129" w:lineRule="exact"/>
        <w:rPr>
          <w:sz w:val="20"/>
          <w:szCs w:val="20"/>
          <w:color w:val="auto"/>
        </w:rPr>
      </w:pPr>
    </w:p>
    <w:p>
      <w:pPr>
        <w:sectPr>
          <w:pgSz w:w="11900" w:h="16838" w:orient="portrait"/>
          <w:cols w:equalWidth="0" w:num="2">
            <w:col w:w="2040" w:space="720"/>
            <w:col w:w="822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Date of Purchase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 __, ____</w:t>
      </w:r>
    </w:p>
    <w:p>
      <w:pPr>
        <w:spacing w:after="0" w:line="128" w:lineRule="exact"/>
        <w:rPr>
          <w:sz w:val="20"/>
          <w:szCs w:val="20"/>
          <w:color w:val="auto"/>
        </w:rPr>
      </w:pPr>
    </w:p>
    <w:p>
      <w:pPr>
        <w:sectPr>
          <w:pgSz w:w="11900" w:h="16838" w:orient="portrait"/>
          <w:cols w:equalWidth="0" w:num="2">
            <w:col w:w="2040" w:space="720"/>
            <w:col w:w="822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____________ __, ____ (the “Vesting Commencement Date”)</w:t>
      </w:r>
    </w:p>
    <w:p>
      <w:pPr>
        <w:spacing w:after="0" w:line="129" w:lineRule="exact"/>
        <w:rPr>
          <w:sz w:val="20"/>
          <w:szCs w:val="20"/>
          <w:color w:val="auto"/>
        </w:rPr>
      </w:pPr>
    </w:p>
    <w:p>
      <w:pPr>
        <w:sectPr>
          <w:pgSz w:w="11900" w:h="16838" w:orient="portrait"/>
          <w:cols w:equalWidth="0" w:num="2">
            <w:col w:w="2200" w:space="560"/>
            <w:col w:w="822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Per Share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 (the “Per Share Purchase Price”)</w:t>
      </w:r>
    </w:p>
    <w:p>
      <w:pPr>
        <w:spacing w:after="0" w:line="129" w:lineRule="exact"/>
        <w:rPr>
          <w:sz w:val="20"/>
          <w:szCs w:val="20"/>
          <w:color w:val="auto"/>
        </w:rPr>
      </w:pPr>
    </w:p>
    <w:p>
      <w:pPr>
        <w:sectPr>
          <w:pgSz w:w="11900" w:h="16838" w:orient="portrait"/>
          <w:cols w:equalWidth="0" w:num="2">
            <w:col w:w="2040" w:space="720"/>
            <w:col w:w="822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Times New Roman" w:cs="Times New Roman" w:eastAsia="Times New Roman" w:hAnsi="Times New Roman"/>
          <w:sz w:val="18"/>
          <w:szCs w:val="18"/>
          <w:color w:val="auto"/>
        </w:rPr>
        <w:t>[25% of the Shares shall vest on the first anniversary of the Vesting Commencement Date, provided that the Grantee continues to have a Service Relationship with the Company at such time. Thereafter, the remaining 75% of the Shares shall vest in 36 equal monthly installments following the first anniversary of the Vesting Commencement Date, provided the Grantee continues to have a Service Relationship with the Company at such time.] Notwithstanding anything in the Agreement to the contrary in the case of a Sale Event, the Shares of Restricted Stock shall be treated as provided in Section 3(c) of the Plan.</w:t>
      </w:r>
    </w:p>
    <w:p>
      <w:pPr>
        <w:spacing w:after="0" w:line="187" w:lineRule="exact"/>
        <w:rPr>
          <w:sz w:val="20"/>
          <w:szCs w:val="20"/>
          <w:color w:val="auto"/>
        </w:rPr>
      </w:pPr>
    </w:p>
    <w:p>
      <w:pPr>
        <w:sectPr>
          <w:pgSz w:w="11900" w:h="16838" w:orient="portrait"/>
          <w:cols w:equalWidth="0" w:num="2">
            <w:col w:w="2040" w:space="720"/>
            <w:col w:w="8220"/>
          </w:cols>
          <w:pgMar w:left="440" w:top="266"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Attachments: Restricted Stock Agreement, 2018 Stock Option and Grant Plan</w:t>
      </w:r>
    </w:p>
    <w:p>
      <w:pPr>
        <w:sectPr>
          <w:pgSz w:w="11900" w:h="16838" w:orient="portrait"/>
          <w:cols w:equalWidth="0" w:num="1">
            <w:col w:w="10980"/>
          </w:cols>
          <w:pgMar w:left="440" w:top="266" w:right="479" w:bottom="1440" w:gutter="0" w:footer="0" w:header="0"/>
          <w:type w:val="continuous"/>
        </w:sectPr>
      </w:pPr>
    </w:p>
    <w:bookmarkStart w:id="416" w:name="page417"/>
    <w:bookmarkEnd w:id="4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MAZE THERAPEUTICS,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2018 STOCK OPTION AND GRANT PLAN</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All capitalized terms used herein and not otherwise defined shall have the respective meanings set forth in the Award Notice and the Plan.</w:t>
      </w:r>
    </w:p>
    <w:p>
      <w:pPr>
        <w:spacing w:after="0" w:line="225" w:lineRule="exact"/>
        <w:rPr>
          <w:sz w:val="20"/>
          <w:szCs w:val="20"/>
          <w:color w:val="auto"/>
        </w:rPr>
      </w:pPr>
    </w:p>
    <w:p>
      <w:pPr>
        <w:ind w:left="580" w:hanging="184"/>
        <w:spacing w:after="0"/>
        <w:tabs>
          <w:tab w:leader="none" w:pos="5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Shares; Vesting; Investment Representations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360" w:firstLine="987"/>
        <w:spacing w:after="0" w:line="282" w:lineRule="auto"/>
        <w:tabs>
          <w:tab w:leader="none" w:pos="119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The Company hereby sells to the Grantee, and the Grantee hereby purchases from the Company, the number of Shares set forth in the Award Notice for the Per Share Purchase Price.</w:t>
      </w:r>
    </w:p>
    <w:p>
      <w:pPr>
        <w:spacing w:after="0" w:line="161" w:lineRule="exact"/>
        <w:rPr>
          <w:rFonts w:ascii="Times New Roman" w:cs="Times New Roman" w:eastAsia="Times New Roman" w:hAnsi="Times New Roman"/>
          <w:sz w:val="18"/>
          <w:szCs w:val="18"/>
          <w:color w:val="auto"/>
        </w:rPr>
      </w:pPr>
    </w:p>
    <w:p>
      <w:pPr>
        <w:ind w:left="-40" w:right="20" w:firstLine="987"/>
        <w:spacing w:after="0" w:line="312" w:lineRule="auto"/>
        <w:tabs>
          <w:tab w:leader="none" w:pos="1206"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w:t>
      </w:r>
      <w:r>
        <w:rPr>
          <w:rFonts w:ascii="Times New Roman" w:cs="Times New Roman" w:eastAsia="Times New Roman" w:hAnsi="Times New Roman"/>
          <w:sz w:val="17"/>
          <w:szCs w:val="17"/>
          <w:color w:val="auto"/>
        </w:rPr>
        <w:t>. Initially, all of the Shares are non-transferable and subject to a substantial risk of forfeiture and are Shares of Restricted Stock. The risk of forfeiture shall lapse with respect to the Shares on the respective dates indicated on the Vesting Schedule set forth in the Award Notice.</w:t>
      </w:r>
    </w:p>
    <w:p>
      <w:pPr>
        <w:spacing w:after="0" w:line="139" w:lineRule="exact"/>
        <w:rPr>
          <w:rFonts w:ascii="Times New Roman" w:cs="Times New Roman" w:eastAsia="Times New Roman" w:hAnsi="Times New Roman"/>
          <w:sz w:val="17"/>
          <w:szCs w:val="17"/>
          <w:color w:val="auto"/>
        </w:rPr>
      </w:pPr>
    </w:p>
    <w:p>
      <w:pPr>
        <w:ind w:left="-40" w:right="200" w:firstLine="987"/>
        <w:spacing w:after="0" w:line="282" w:lineRule="auto"/>
        <w:tabs>
          <w:tab w:leader="none" w:pos="119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In connection with the purchase and sale of the Shares contemplated by Section 1(a) above, the Grantee hereby represents and warrants to the Company as follows:</w:t>
      </w:r>
    </w:p>
    <w:p>
      <w:pPr>
        <w:spacing w:after="0" w:line="53" w:lineRule="exact"/>
        <w:rPr>
          <w:rFonts w:ascii="Times New Roman" w:cs="Times New Roman" w:eastAsia="Times New Roman" w:hAnsi="Times New Roman"/>
          <w:sz w:val="18"/>
          <w:szCs w:val="18"/>
          <w:color w:val="auto"/>
        </w:rPr>
      </w:pPr>
    </w:p>
    <w:p>
      <w:pPr>
        <w:ind w:left="400" w:right="160" w:firstLine="948"/>
        <w:spacing w:after="0" w:line="282" w:lineRule="auto"/>
        <w:tabs>
          <w:tab w:leader="none" w:pos="1567"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purchasing the Shares for the Grantee’s own account for investment only, and not for resale or with a view to the distribution thereof.</w:t>
      </w:r>
    </w:p>
    <w:p>
      <w:pPr>
        <w:spacing w:after="0" w:line="53" w:lineRule="exact"/>
        <w:rPr>
          <w:rFonts w:ascii="Times New Roman" w:cs="Times New Roman" w:eastAsia="Times New Roman" w:hAnsi="Times New Roman"/>
          <w:sz w:val="18"/>
          <w:szCs w:val="18"/>
          <w:color w:val="auto"/>
        </w:rPr>
      </w:pPr>
    </w:p>
    <w:p>
      <w:pPr>
        <w:jc w:val="both"/>
        <w:ind w:left="400" w:right="160" w:firstLine="948"/>
        <w:spacing w:after="0" w:line="266" w:lineRule="auto"/>
        <w:tabs>
          <w:tab w:leader="none" w:pos="1617"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has had such an opportunity as he or she has deemed adequate to obtain from the Company such information as is necessary to permit him or her to evaluate the merits and risks of the Grantee’s investment in the Company and has consulted with the Grantee’s own advisers with respect to the Grantee’s investment in the Company.</w:t>
      </w:r>
    </w:p>
    <w:p>
      <w:pPr>
        <w:spacing w:after="0" w:line="67" w:lineRule="exact"/>
        <w:rPr>
          <w:rFonts w:ascii="Times New Roman" w:cs="Times New Roman" w:eastAsia="Times New Roman" w:hAnsi="Times New Roman"/>
          <w:sz w:val="18"/>
          <w:szCs w:val="18"/>
          <w:color w:val="auto"/>
        </w:rPr>
      </w:pPr>
    </w:p>
    <w:p>
      <w:pPr>
        <w:ind w:left="400" w:right="200" w:firstLine="948"/>
        <w:spacing w:after="0" w:line="282" w:lineRule="auto"/>
        <w:tabs>
          <w:tab w:leader="none" w:pos="1667"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has sufficient experience in business, financial and investment matters to be able to evaluate the risks involved in the purchase of the Shares and to make an informed investment decision with respect to such purchase.</w:t>
      </w:r>
    </w:p>
    <w:p>
      <w:pPr>
        <w:spacing w:after="0" w:line="53" w:lineRule="exact"/>
        <w:rPr>
          <w:rFonts w:ascii="Times New Roman" w:cs="Times New Roman" w:eastAsia="Times New Roman" w:hAnsi="Times New Roman"/>
          <w:sz w:val="18"/>
          <w:szCs w:val="18"/>
          <w:color w:val="auto"/>
        </w:rPr>
      </w:pPr>
    </w:p>
    <w:p>
      <w:pPr>
        <w:ind w:left="400" w:right="220" w:firstLine="948"/>
        <w:spacing w:after="0" w:line="282" w:lineRule="auto"/>
        <w:tabs>
          <w:tab w:leader="none" w:pos="1657"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can afford a complete loss of the value of the Shares and is able to bear the economic risk of holding such Shares for an indefinite period.</w:t>
      </w:r>
    </w:p>
    <w:p>
      <w:pPr>
        <w:spacing w:after="0" w:line="53" w:lineRule="exact"/>
        <w:rPr>
          <w:rFonts w:ascii="Times New Roman" w:cs="Times New Roman" w:eastAsia="Times New Roman" w:hAnsi="Times New Roman"/>
          <w:sz w:val="18"/>
          <w:szCs w:val="18"/>
          <w:color w:val="auto"/>
        </w:rPr>
      </w:pPr>
    </w:p>
    <w:p>
      <w:pPr>
        <w:ind w:left="400" w:firstLine="948"/>
        <w:spacing w:after="0" w:line="256" w:lineRule="auto"/>
        <w:tabs>
          <w:tab w:leader="none" w:pos="1607" w:val="left"/>
        </w:tabs>
        <w:numPr>
          <w:ilvl w:val="2"/>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understands that the Shares are not registered under the Act (it being understood that the Shares are being issued and sold in reliance on the exemption provided in Rule 701 thereunder) or any applicable state securities or “blue sky” laws and may not be sold or otherwise transferred or disposed of in the absence of an effective registration statement under the Act and under any applicable state securities or “blue sky” laws (or exemptions from the registration requirements thereof). The Grantee further acknowledges that certificates representing the Shares will bear restrictive legends reflecting the foregoing and/or that book entries for uncertificated Shares will include similar restrictive notations.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80" w:top="266" w:right="479" w:bottom="1440" w:gutter="0" w:footer="0" w:header="0"/>
        </w:sectPr>
      </w:pPr>
    </w:p>
    <w:bookmarkStart w:id="417" w:name="page418"/>
    <w:bookmarkEnd w:id="417"/>
    <w:p>
      <w:pPr>
        <w:ind w:left="420" w:right="320" w:firstLine="948"/>
        <w:spacing w:after="0" w:line="282" w:lineRule="auto"/>
        <w:tabs>
          <w:tab w:leader="none" w:pos="1677"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Grantee has read and understands the Plan and acknowledges and agrees that the Shares are subject to all of the relevant terms of the Plan, including without limitation, the transfer restrictions set forth in Section 9 of the Plan.</w:t>
      </w:r>
    </w:p>
    <w:p>
      <w:pPr>
        <w:spacing w:after="0" w:line="53" w:lineRule="exact"/>
        <w:rPr>
          <w:rFonts w:ascii="Times New Roman" w:cs="Times New Roman" w:eastAsia="Times New Roman" w:hAnsi="Times New Roman"/>
          <w:sz w:val="18"/>
          <w:szCs w:val="18"/>
          <w:color w:val="auto"/>
        </w:rPr>
      </w:pPr>
    </w:p>
    <w:p>
      <w:pPr>
        <w:ind w:left="420" w:right="700" w:firstLine="948"/>
        <w:spacing w:after="0" w:line="282" w:lineRule="auto"/>
        <w:tabs>
          <w:tab w:leader="none" w:pos="1727"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understands and agrees that the Company has a right of first refusal with respect to the Shares pursuant to Section 9(b) of the Plan.</w:t>
      </w:r>
    </w:p>
    <w:p>
      <w:pPr>
        <w:spacing w:after="0" w:line="53" w:lineRule="exact"/>
        <w:rPr>
          <w:rFonts w:ascii="Times New Roman" w:cs="Times New Roman" w:eastAsia="Times New Roman" w:hAnsi="Times New Roman"/>
          <w:sz w:val="18"/>
          <w:szCs w:val="18"/>
          <w:color w:val="auto"/>
        </w:rPr>
      </w:pPr>
    </w:p>
    <w:p>
      <w:pPr>
        <w:ind w:left="420" w:right="480" w:firstLine="948"/>
        <w:spacing w:after="0" w:line="282" w:lineRule="auto"/>
        <w:tabs>
          <w:tab w:leader="none" w:pos="1777"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understands and agree that the Company has certain repurchase rights with respect to the Shares pursuant to Section 9(c) of the Plan.</w:t>
      </w:r>
    </w:p>
    <w:p>
      <w:pPr>
        <w:spacing w:after="0" w:line="53" w:lineRule="exact"/>
        <w:rPr>
          <w:rFonts w:ascii="Times New Roman" w:cs="Times New Roman" w:eastAsia="Times New Roman" w:hAnsi="Times New Roman"/>
          <w:sz w:val="18"/>
          <w:szCs w:val="18"/>
          <w:color w:val="auto"/>
        </w:rPr>
      </w:pPr>
    </w:p>
    <w:p>
      <w:pPr>
        <w:ind w:left="420" w:right="180" w:firstLine="948"/>
        <w:spacing w:after="0" w:line="282" w:lineRule="auto"/>
        <w:tabs>
          <w:tab w:leader="none" w:pos="1677" w:val="left"/>
        </w:tabs>
        <w:numPr>
          <w:ilvl w:val="2"/>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understands and agrees that the Grantee may not sell or otherwise transfer or dispose of the Shares for a period of time following the effective date of a public offering by the Company as described in Section 9(f) of the Plan.</w:t>
      </w:r>
    </w:p>
    <w:p>
      <w:pPr>
        <w:spacing w:after="0" w:line="161" w:lineRule="exact"/>
        <w:rPr>
          <w:rFonts w:ascii="Times New Roman" w:cs="Times New Roman" w:eastAsia="Times New Roman" w:hAnsi="Times New Roman"/>
          <w:sz w:val="18"/>
          <w:szCs w:val="18"/>
          <w:color w:val="auto"/>
        </w:rPr>
      </w:pPr>
    </w:p>
    <w:p>
      <w:pPr>
        <w:ind w:left="-20" w:firstLine="436"/>
        <w:spacing w:after="0" w:line="282" w:lineRule="auto"/>
        <w:tabs>
          <w:tab w:leader="none" w:pos="6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Right</w:t>
      </w:r>
      <w:r>
        <w:rPr>
          <w:rFonts w:ascii="Times New Roman" w:cs="Times New Roman" w:eastAsia="Times New Roman" w:hAnsi="Times New Roman"/>
          <w:sz w:val="18"/>
          <w:szCs w:val="18"/>
          <w:color w:val="auto"/>
        </w:rPr>
        <w:t>. Upon a Termination Event, the Company shall have the right to repurchase Shares of Restricted Stock that are unvested as of the date of such Termination Event as set forth in Section 9(c) of the Plan.</w:t>
      </w:r>
    </w:p>
    <w:p>
      <w:pPr>
        <w:spacing w:after="0" w:line="161" w:lineRule="exact"/>
        <w:rPr>
          <w:rFonts w:ascii="Times New Roman" w:cs="Times New Roman" w:eastAsia="Times New Roman" w:hAnsi="Times New Roman"/>
          <w:sz w:val="18"/>
          <w:szCs w:val="18"/>
          <w:color w:val="auto"/>
        </w:rPr>
      </w:pPr>
    </w:p>
    <w:p>
      <w:pPr>
        <w:ind w:left="-20" w:right="460" w:firstLine="436"/>
        <w:spacing w:after="0" w:line="282" w:lineRule="auto"/>
        <w:tabs>
          <w:tab w:leader="none" w:pos="6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Shares</w:t>
      </w:r>
      <w:r>
        <w:rPr>
          <w:rFonts w:ascii="Times New Roman" w:cs="Times New Roman" w:eastAsia="Times New Roman" w:hAnsi="Times New Roman"/>
          <w:sz w:val="18"/>
          <w:szCs w:val="18"/>
          <w:color w:val="auto"/>
        </w:rPr>
        <w:t>. The Shares (whether or not vested) shall be subject to certain transfer restrictions and other limitations including, without limitation, the provisions contained in Section 9 of the Plan</w:t>
      </w:r>
    </w:p>
    <w:p>
      <w:pPr>
        <w:spacing w:after="0" w:line="161"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Restricted Stock Award shall be subject to and governed by all the terms and conditions of the Plan.</w:t>
      </w:r>
    </w:p>
    <w:p>
      <w:pPr>
        <w:spacing w:after="0" w:line="161"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00" w:firstLine="987"/>
        <w:spacing w:after="0" w:line="261" w:lineRule="auto"/>
        <w:tabs>
          <w:tab w:leader="none" w:pos="121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Owner; Dividends</w:t>
      </w:r>
      <w:r>
        <w:rPr>
          <w:rFonts w:ascii="Times New Roman" w:cs="Times New Roman" w:eastAsia="Times New Roman" w:hAnsi="Times New Roman"/>
          <w:sz w:val="18"/>
          <w:szCs w:val="18"/>
          <w:color w:val="auto"/>
        </w:rPr>
        <w:t xml:space="preserve">. The Grantee and any Permitted Transferees, during the duration of this Agreement, shall be considered the record owners of and shall be entitled to vote the Shares if and to the extent the Shares are entitled to voting rights. The Grantee and any Permitted Transferees shall be entitled to receive all dividends and any other distributions declared on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is under no duty to declare any such dividends or to make any such distribution.</w:t>
      </w:r>
    </w:p>
    <w:p>
      <w:pPr>
        <w:spacing w:after="0" w:line="179" w:lineRule="exact"/>
        <w:rPr>
          <w:rFonts w:ascii="Times New Roman" w:cs="Times New Roman" w:eastAsia="Times New Roman" w:hAnsi="Times New Roman"/>
          <w:sz w:val="18"/>
          <w:szCs w:val="18"/>
          <w:color w:val="auto"/>
        </w:rPr>
      </w:pPr>
    </w:p>
    <w:p>
      <w:pPr>
        <w:ind w:left="-20" w:right="20" w:firstLine="987"/>
        <w:spacing w:after="0" w:line="261" w:lineRule="auto"/>
        <w:tabs>
          <w:tab w:leader="none" w:pos="1226"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xml:space="preserve">. The Grantee shall consult with the Grantee’s tax advisor to determine whether it would be appropriate for the Grantee to make an election under Section 83(b) of the Code with respect to this Award. Any such election must be filed with the Internal Revenue Service within 30 days of the date of this Award. If the Grantee makes an election under Section 83(b) of the Code, the Grantee shall give prompt notice to the Company (and provide a copy of such election to the Company). A sample Section 83(b) election is attached to this Award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0" w:right="400" w:firstLine="987"/>
        <w:spacing w:after="0" w:line="312" w:lineRule="auto"/>
        <w:tabs>
          <w:tab w:leader="none" w:pos="1216"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Equitable Relief</w:t>
      </w:r>
      <w:r>
        <w:rPr>
          <w:rFonts w:ascii="Times New Roman" w:cs="Times New Roman" w:eastAsia="Times New Roman" w:hAnsi="Times New Roman"/>
          <w:sz w:val="17"/>
          <w:szCs w:val="17"/>
          <w:color w:val="auto"/>
        </w:rPr>
        <w:t>. The parties hereto agree and declare that legal remedies may be inadequate to enforce the provisions of this Agreement and that equitable relief, including specific performance and injunctive relief, may be used to enforce the provisions of this Agreement.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418" w:name="page419"/>
    <w:bookmarkEnd w:id="418"/>
    <w:p>
      <w:pPr>
        <w:ind w:right="100" w:firstLine="987"/>
        <w:spacing w:after="0" w:line="312" w:lineRule="auto"/>
        <w:tabs>
          <w:tab w:leader="none" w:pos="1246"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and Modifications</w:t>
      </w:r>
      <w:r>
        <w:rPr>
          <w:rFonts w:ascii="Times New Roman" w:cs="Times New Roman" w:eastAsia="Times New Roman" w:hAnsi="Times New Roman"/>
          <w:sz w:val="17"/>
          <w:szCs w:val="17"/>
          <w:color w:val="auto"/>
        </w:rPr>
        <w:t>. This Agreement may not be orally changed, modified or terminated, nor shall any oral waiver of any of its terms be effective. This Agreement may be changed, modified or terminated only by an agreement in writing signed by the Company and the Grantee.</w:t>
      </w:r>
    </w:p>
    <w:p>
      <w:pPr>
        <w:spacing w:after="0" w:line="139" w:lineRule="exact"/>
        <w:rPr>
          <w:rFonts w:ascii="Times New Roman" w:cs="Times New Roman" w:eastAsia="Times New Roman" w:hAnsi="Times New Roman"/>
          <w:sz w:val="17"/>
          <w:szCs w:val="17"/>
          <w:color w:val="auto"/>
        </w:rPr>
      </w:pPr>
    </w:p>
    <w:p>
      <w:pPr>
        <w:jc w:val="both"/>
        <w:ind w:right="160" w:firstLine="987"/>
        <w:spacing w:after="0" w:line="266" w:lineRule="auto"/>
        <w:tabs>
          <w:tab w:leader="none" w:pos="123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General Corporation Law of the State of Delaware as to matters within the scope thereof, and as to all other matters shall be governed by and construed in accordance with the internal laws of California, without regard to conflict of law principles that would result in the application of any law other than the law of the State of California.</w:t>
      </w:r>
    </w:p>
    <w:p>
      <w:pPr>
        <w:spacing w:after="0" w:line="175" w:lineRule="exact"/>
        <w:rPr>
          <w:rFonts w:ascii="Times New Roman" w:cs="Times New Roman" w:eastAsia="Times New Roman" w:hAnsi="Times New Roman"/>
          <w:sz w:val="18"/>
          <w:szCs w:val="18"/>
          <w:color w:val="auto"/>
        </w:rPr>
      </w:pPr>
    </w:p>
    <w:p>
      <w:pPr>
        <w:ind w:right="340" w:firstLine="987"/>
        <w:spacing w:after="0" w:line="282" w:lineRule="auto"/>
        <w:tabs>
          <w:tab w:leader="none" w:pos="121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are intended only for convenience in finding the subject matter and do not constitute part of the text of this Agreement and shall not be considered in the interpretation of this Agreement.</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 Clause</w:t>
      </w:r>
      <w:r>
        <w:rPr>
          <w:rFonts w:ascii="Times New Roman" w:cs="Times New Roman" w:eastAsia="Times New Roman" w:hAnsi="Times New Roman"/>
          <w:sz w:val="18"/>
          <w:szCs w:val="18"/>
          <w:color w:val="auto"/>
        </w:rPr>
        <w:t>. If any provision(s) of this Agreement shall be determined to be illegal or unenforceable, such determination shall in no manner affect the legality or enforceability of any other provision hereof.</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and other communications shall be in writing and be deemed given when delivered personally, by telex or facsimile transmission or when received if mailed by first class registered or certified mail, postage prepaid. Notices to the Company or the Grantee shall be addressed as set forth underneath their signatures below, or to such other address or addresses as may have been furnished by such party in writing to the other.</w:t>
      </w:r>
    </w:p>
    <w:p>
      <w:pPr>
        <w:spacing w:after="0" w:line="179" w:lineRule="exact"/>
        <w:rPr>
          <w:rFonts w:ascii="Times New Roman" w:cs="Times New Roman" w:eastAsia="Times New Roman" w:hAnsi="Times New Roman"/>
          <w:sz w:val="18"/>
          <w:szCs w:val="18"/>
          <w:color w:val="auto"/>
        </w:rPr>
      </w:pPr>
    </w:p>
    <w:p>
      <w:pPr>
        <w:jc w:val="both"/>
        <w:ind w:right="240" w:firstLine="987"/>
        <w:spacing w:after="0" w:line="266" w:lineRule="auto"/>
        <w:tabs>
          <w:tab w:leader="none" w:pos="120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 and Binding Effect</w:t>
      </w:r>
      <w:r>
        <w:rPr>
          <w:rFonts w:ascii="Times New Roman" w:cs="Times New Roman" w:eastAsia="Times New Roman" w:hAnsi="Times New Roman"/>
          <w:sz w:val="18"/>
          <w:szCs w:val="18"/>
          <w:color w:val="auto"/>
        </w:rPr>
        <w:t>. This Agreement shall be binding upon and shall inure to the benefit of the parties hereto, their respective successors, assigns, and legal representatives. The Company has the right to assign this Agreement, and such assignee shall become entitled to all the rights of the Company hereunder to the extent of such assignment.</w:t>
      </w:r>
    </w:p>
    <w:p>
      <w:pPr>
        <w:spacing w:after="0" w:line="175" w:lineRule="exact"/>
        <w:rPr>
          <w:rFonts w:ascii="Times New Roman" w:cs="Times New Roman" w:eastAsia="Times New Roman" w:hAnsi="Times New Roman"/>
          <w:sz w:val="18"/>
          <w:szCs w:val="18"/>
          <w:color w:val="auto"/>
        </w:rPr>
      </w:pPr>
    </w:p>
    <w:p>
      <w:pPr>
        <w:ind w:right="860" w:firstLine="987"/>
        <w:spacing w:after="0" w:line="282" w:lineRule="auto"/>
        <w:tabs>
          <w:tab w:leader="none" w:pos="120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For the convenience of the parties and to facilitate execution, this Agreement may be executed in two or more counterparts, each of which shall be deemed an original, but all of which shall constitute one and the same document.</w:t>
      </w:r>
    </w:p>
    <w:p>
      <w:pPr>
        <w:spacing w:after="0" w:line="161"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 The execution of this Agreement satisfies in full any express or implied obligation, agreement or promise by or on the part of the Company to grant or issue to the Grantee any equity interest in the Company pursuant to any offer letter, employment agreement, consulting or other written or oral agreement or arrangement as of the Grant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19" w:name="page420"/>
    <w:bookmarkEnd w:id="419"/>
    <w:p>
      <w:pPr>
        <w:ind w:left="620" w:hanging="184"/>
        <w:spacing w:after="0"/>
        <w:tabs>
          <w:tab w:leader="none" w:pos="6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below, any dispute arising out of or relating to the Plan or the Shares, this Agreement, or the breach, termination or validity of the Plan, the Shares or this Agreement, shall be finally settled by binding arbitration conducted expeditiously in accordance with the J.A.M.S./Endispute Comprehensive Arbitration Rules and Procedures (the “J.A.M.S. Rules”). The arbitration shall be governed by the United States Arbitration Act, 9 U.S.C. Sections 1—16, and judgment upon the award rendered by the arbitrators may be entered by any court having jurisdiction thereof. The place of arbitration shall be San Mateo County, California.</w:t>
      </w:r>
    </w:p>
    <w:p>
      <w:pPr>
        <w:spacing w:after="0" w:line="183"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commence within 60 days of the date on which a written demand for arbitration is filed by any party hereto. In connection with the arbitration proceeding, the arbitrator shall have the power to order the production of documents by each party and any third-party witnesses. In addition, each party may take up to three depositions as of right, and the arbitrator may in his or her discretion allow additional depositions upon good cause shown by the moving party. However, the arbitrator shall not have the power to order the answering of interrogatories or the response to requests for admission. In connection with any arbitration, each party to the arbitration shall provide to the other, no later than seven business days before the date of the arbitration, the identity of all persons that may testify at the arbitration and a copy of all documents that may be introduced at the arbitration or considered or used by a party’s witness or expert. The arbitrator’s decision and award shall be made and delivered within six months of the selection of the arbitrator. The arbitrator’s decision shall set forth a reasoned basis for any award of damages or finding of liability. The arbitrator shall not have power to award damages in excess of actual compensatory damages and shall not multiply actual damages or award punitive damages, and each party hereby irrevocably waives any claim to such damages.</w:t>
      </w:r>
    </w:p>
    <w:p>
      <w:pPr>
        <w:spacing w:after="0" w:line="194"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Grantee, each party to the Agreement and any other holder of Shares issued pursuant to this Agreement (each, a “Party”) covenants and agrees that such party will participate in the arbitration in good faith. This Section 6 applies equally to requests for temporary, preliminary or permanent injunctive relief, except that in the case of temporary or preliminary injunctive relief any party may proceed in court without prior arbitration for the limited purpose of avoiding immediate and irreparable harm.</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 hereby irrevocably submits to the jurisdiction of any United States District Court of competent jurisdiction for the purpose of enforcing the award or decision in any such proceeding, (ii) hereby waives, and agrees not to assert, by way of motion, as a defense, or otherwise, in any such suit, action or proceeding, any claim that it is not subject personally to the jurisdiction of the above named courts, that its property is exempt or immune from attachment or execution (except as protected by applicable law), that the suit, action or proceeding is brought in an inconvenient forum, that the venue of the suit, action or proceeding is improper or that this Agreement or the subject matter hereof may not be enforced in or by such court, and (iii) hereby waives and agrees not to seek any review by any court of any other jurisdiction which may be called upon to grant an enforcement of the judgment of any such court. Each Party hereby consents to service of process by registered mail at the address to which notices are to be given. Each Party agrees that its, his or her submission to jurisdiction and its, his or her consent to service of process by mail is made for the express benefit of each other Party. Final judgment against any Party in any such action, suit or proceeding may be enforced in other jurisdictions by suit, action or proceeding on the judgment, or in any other manner provided by or pursuant to the laws of such other jurisdiction.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20" w:name="page421"/>
    <w:bookmarkEnd w:id="420"/>
    <w:p>
      <w:pPr>
        <w:ind w:left="-80" w:firstLine="436"/>
        <w:spacing w:after="0" w:line="253" w:lineRule="auto"/>
        <w:tabs>
          <w:tab w:leader="none" w:pos="5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Statutory Information Rights</w:t>
      </w:r>
      <w:r>
        <w:rPr>
          <w:rFonts w:ascii="Times New Roman" w:cs="Times New Roman" w:eastAsia="Times New Roman" w:hAnsi="Times New Roman"/>
          <w:sz w:val="18"/>
          <w:szCs w:val="18"/>
          <w:color w:val="auto"/>
        </w:rPr>
        <w:t>. The Grantee understands and agrees that, but for the waiver made herein, the Grantee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General Corporation Law of Delaware (any and all such rights, and any and all such other rights of the Grantee as may be provided for in Section 220, the “Inspection Rights”). In light of the foregoing, until the first sale of Stock of the Company to the general public pursuant to a registration statement filed with and declared effective by the Securities and Exchange Commission under the Securities Act, the Grantee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shall not affect any rights of a director, in his or her capacity as such, under Section 220. The foregoing waiver shall not apply to any contractual inspection rights of the Grantee under any other written agreement between the Grantee and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520" w:top="270" w:right="519" w:bottom="1440" w:gutter="0" w:footer="0" w:header="0"/>
        </w:sectPr>
      </w:pPr>
    </w:p>
    <w:bookmarkStart w:id="421" w:name="page422"/>
    <w:bookmarkEnd w:id="421"/>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Restricted Stock Agreement is hereby accepted and the terms and conditions thereof are hereby agreed to by the undersigned as of the date of purchase of Shares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17145</wp:posOffset>
            </wp:positionV>
            <wp:extent cx="234886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hereby acknowledges receiving and reviewing a copy of the Plan, including, without limitation, Section 9 thereof and understands that the Shares granted hereby are subject to the terms of the Plan and of this Agreement. This Agreement is hereby accepted, and the terms and conditions of the Plan, the Award Notice and this Agreement, SPECIFICALLY INCLUDING THE ARBITRATION PROVISIONS SET FORTH IN SECTION 6 AND THE WAIVER OF STATUTORY INFORMATION RIGHTS SET FORTH IN SECTION 7 OF THIS AGREEMENT, are hereby agreed to, by the undersigned as of the date first above written.</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SPOUSE’S CONSENT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acknowledge that I have read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Restricted Stock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understand the contents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422" w:name="page423"/>
    <w:bookmarkEnd w:id="4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83(b) Election</w:t>
      </w:r>
    </w:p>
    <w:p>
      <w:pPr>
        <w:spacing w:after="0" w:line="20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undersigned hereby elects pursuant to §83(b) of the Internal Revenue Code of 1986, as amended, to include in gross income as compensation for services the excess (if any) of the fair market value of the shares described below over the amount paid for those shares.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name, taxpayer identification number, address of the undersigned, and the taxable year for which this election is being made are:</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-7620</wp:posOffset>
            </wp:positionV>
            <wp:extent cx="185102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-7620</wp:posOffset>
            </wp:positionV>
            <wp:extent cx="182816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-7620</wp:posOffset>
            </wp:positionV>
            <wp:extent cx="182816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xml:space="preserve">Social Security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-7620</wp:posOffset>
            </wp:positionV>
            <wp:extent cx="177101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771015" cy="8255"/>
                    </a:xfrm>
                    <a:prstGeom prst="rect">
                      <a:avLst/>
                    </a:prstGeom>
                    <a:noFill/>
                  </pic:spPr>
                </pic:pic>
              </a:graphicData>
            </a:graphic>
          </wp:anchor>
        </w:drawing>
      </w:r>
    </w:p>
    <w:p>
      <w:pPr>
        <w:spacing w:after="0" w:line="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Taxable Year: Calendar Year 20__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property which is the subject of this election is [number of unvested shares] shares of common stock of Maze Therapeutics,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The property was transferred to the undersigned on [date of purchase/transfer].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The property is subject to the following restrictions: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Shares will be subject to restrictions on transfer and risk of forfeiture upon termination of service relationship and in certain other events.</w:t>
      </w:r>
    </w:p>
    <w:p>
      <w:pPr>
        <w:spacing w:after="0" w:line="117" w:lineRule="exact"/>
        <w:rPr>
          <w:sz w:val="20"/>
          <w:szCs w:val="20"/>
          <w:color w:val="auto"/>
        </w:rPr>
      </w:pPr>
    </w:p>
    <w:p>
      <w:pPr>
        <w:ind w:left="360" w:hanging="359"/>
        <w:spacing w:after="0" w:line="282" w:lineRule="auto"/>
        <w:rPr>
          <w:sz w:val="20"/>
          <w:szCs w:val="20"/>
          <w:color w:val="auto"/>
        </w:rPr>
      </w:pPr>
      <w:r>
        <w:rPr>
          <w:rFonts w:ascii="Times New Roman" w:cs="Times New Roman" w:eastAsia="Times New Roman" w:hAnsi="Times New Roman"/>
          <w:sz w:val="18"/>
          <w:szCs w:val="18"/>
          <w:color w:val="auto"/>
        </w:rPr>
        <w:t>5.   The fair market value of the property at time of transfer (determined without regard to any restrictions other than nonlapse restrictions as defined in §1.83-3(h) of the Income Tax Regulations) is $[current FMV] per share x [number of unvested shares] shares = $_______________.</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For the property transferred, the undersigned paid $[exercise price] per share x [number of unvested shares] shares = $_________________.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The amount to include in gross income is $[amount reported in Item 5 minus the amount reported in Item 6].</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undersigned taxpayer will file this election with the Internal Revenue Service Office with which the taxpayer files his or her annual income tax return not later than 30 days after the date of transfer of the property, at the IRS address listed for the taxpayer’s state under “Are you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including a check or money order . . .” given in </w:t>
      </w:r>
      <w:r>
        <w:rPr>
          <w:rFonts w:ascii="Times New Roman" w:cs="Times New Roman" w:eastAsia="Times New Roman" w:hAnsi="Times New Roman"/>
          <w:sz w:val="18"/>
          <w:szCs w:val="18"/>
          <w:i w:val="1"/>
          <w:iCs w:val="1"/>
          <w:color w:val="auto"/>
        </w:rPr>
        <w:t>Where Do You File</w:t>
      </w:r>
      <w:r>
        <w:rPr>
          <w:rFonts w:ascii="Times New Roman" w:cs="Times New Roman" w:eastAsia="Times New Roman" w:hAnsi="Times New Roman"/>
          <w:sz w:val="18"/>
          <w:szCs w:val="18"/>
          <w:color w:val="auto"/>
        </w:rPr>
        <w:t xml:space="preserve"> in the Instructions for Form 1040 and the Instructions for Form 1040A (which information can also be found at: </w:t>
      </w:r>
      <w:r>
        <w:rPr>
          <w:rFonts w:ascii="Times New Roman" w:cs="Times New Roman" w:eastAsia="Times New Roman" w:hAnsi="Times New Roman"/>
          <w:sz w:val="18"/>
          <w:szCs w:val="18"/>
          <w:u w:val="single" w:color="auto"/>
          <w:color w:val="auto"/>
        </w:rPr>
        <w:t>https://www.irs.gov/uac/where-to-file-addresses-for-taxpayers-and-tax-professionals</w:t>
      </w:r>
      <w:r>
        <w:rPr>
          <w:rFonts w:ascii="Times New Roman" w:cs="Times New Roman" w:eastAsia="Times New Roman" w:hAnsi="Times New Roman"/>
          <w:sz w:val="18"/>
          <w:szCs w:val="18"/>
          <w:color w:val="auto"/>
        </w:rPr>
        <w:t xml:space="preserve"> ). A copy of the election will also be furnished to the person for whom the services were performed. The undersigned is the person performing services in connection with which the property was transferred.</w:t>
      </w:r>
    </w:p>
    <w:p>
      <w:pPr>
        <w:spacing w:after="0" w:line="214"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8"/>
          <w:szCs w:val="18"/>
          <w:color w:val="auto"/>
        </w:rPr>
        <w:t>Dated: __________________, 20__</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17145</wp:posOffset>
            </wp:positionV>
            <wp:extent cx="426021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Taxpayer</w:t>
      </w:r>
    </w:p>
    <w:p>
      <w:pPr>
        <w:sectPr>
          <w:pgSz w:w="11900" w:h="16838" w:orient="portrait"/>
          <w:cols w:equalWidth="0" w:num="1">
            <w:col w:w="10960"/>
          </w:cols>
          <w:pgMar w:left="440" w:top="266" w:right="499" w:bottom="1440" w:gutter="0" w:footer="0" w:header="0"/>
        </w:sectPr>
      </w:pPr>
    </w:p>
    <w:bookmarkStart w:id="423" w:name="page424"/>
    <w:bookmarkEnd w:id="42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on August 22, 2019</w:t>
      </w:r>
    </w:p>
    <w:p>
      <w:pPr>
        <w:spacing w:after="0" w:line="225" w:lineRule="exact"/>
        <w:rPr>
          <w:sz w:val="20"/>
          <w:szCs w:val="20"/>
          <w:color w:val="auto"/>
        </w:rPr>
      </w:pPr>
    </w:p>
    <w:p>
      <w:pPr>
        <w:ind w:left="4" w:right="60" w:firstLine="436"/>
        <w:spacing w:after="0" w:line="257" w:lineRule="auto"/>
        <w:tabs>
          <w:tab w:leader="none" w:pos="624"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this Plan is to provide incentives to attract, retain and motivate eligible persons whose present and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are important to the success of the Company, its Parent and Subsidiaries by offering eligible persons an opportunity to participate in the Company’s future performance through the grant of Awards covering Shares. Capitalized terms not defined in the text are defined in Section 14 hereof. Although this Plan is intended to be a written compensatory benefit plan within the meaning of Rule 701, grants may be made pursuant to this Plan that do not qualify for exemption under Rule 701 or Section 25102(o). Any requirement of this Plan that is required in law only because of Section 25102(o) need not apply if the Committee so provides.</w:t>
      </w:r>
    </w:p>
    <w:p>
      <w:pPr>
        <w:spacing w:after="0" w:line="182" w:lineRule="exact"/>
        <w:rPr>
          <w:rFonts w:ascii="Times New Roman" w:cs="Times New Roman" w:eastAsia="Times New Roman" w:hAnsi="Times New Roman"/>
          <w:sz w:val="18"/>
          <w:szCs w:val="18"/>
          <w:b w:val="1"/>
          <w:bCs w:val="1"/>
          <w:color w:val="auto"/>
        </w:rPr>
      </w:pPr>
    </w:p>
    <w:p>
      <w:pPr>
        <w:ind w:left="624" w:hanging="184"/>
        <w:spacing w:after="0"/>
        <w:tabs>
          <w:tab w:leader="none" w:pos="624"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80"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Number of Shares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Sections 2.2 and 11 hereof, the total number of Shares reserved and available for grant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pursuant to this Plan will be (a) any authorized shares not issued or subject to outstanding grants under the Company’s 2018 Stock Option and Grant Plan (the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on the Effective Date (as defined in Section 13.1 hereof), which is equal to 6,316,715 shares; (b) shares that are subject to issuance under the Prior Plan but cease to be subject to an award for any reason other than exercise of an option after the Effective Date; and (c) shares that were issued under the Prior Plan which are repurchased by the Company or which are forfeited or used to pay withholding obligations or pay the exercise price of an Option. Subject to Sections 2.2 and 11 hereof, (A) in the event that Shares previously issued under the Plan are reacquired by the Company pursuant to a forfeiture provision, right of first refusal, or repurchase by the Company, such Shares shall be added to the number of Shares then available for issuance under the Plan; (B) in the event that Shares that otherwise would have been issuable under the Plan are withheld by the Company in payment of the Purchase Price, Exercise Price or withholding obligations, such Shares shall remain available for issuance under the Plan; and (C) in the event that an outstanding Option, Restricted Stock Unit or SAR for any reason expires or is cancelled, forfeited or terminated, the Shares allocable to the unexercised or unsettled portion of such Option, Restricted Stock Unit or SAR, as applicable, shall remain available for issuance under the Plan. To the extent an Award is settled in cash, the cash settlement shall not reduce the number of Shares remaining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reacquired by the Company pursuant to a forfeiture provision, right of first refusal, or repurchase by the Company as a separate issuance) under the Plan upon exercise of ISOs (as defined in Section 4 hereof) exceed 51,000,000 Shares (adjusted in proportion to any adjustments under Section 2.2 hereof) over the term of the Plan.</w:t>
      </w:r>
    </w:p>
    <w:p>
      <w:pPr>
        <w:spacing w:after="0" w:line="85" w:lineRule="exact"/>
        <w:rPr>
          <w:sz w:val="20"/>
          <w:szCs w:val="20"/>
          <w:color w:val="auto"/>
        </w:rPr>
      </w:pPr>
    </w:p>
    <w:p>
      <w:pPr>
        <w:ind w:left="4" w:right="2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Adjustment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the Company’s Common Stock is changed by a stock dividend, recapitalization, stock split,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reverse stock split, subdivision, combination, reclassification or other change in the capital structure of the Company affecting Shares without consideration, then in order to prevent diminution or enlargement of the benefits or potential benefits intended to be made available under the Plan</w:t>
      </w:r>
    </w:p>
    <w:p>
      <w:pPr>
        <w:ind w:left="4" w:right="60" w:hanging="4"/>
        <w:spacing w:after="0" w:line="253" w:lineRule="auto"/>
        <w:tabs>
          <w:tab w:leader="none" w:pos="24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and class of Shares reserved for issuance under this Plan, (b) the Exercise Prices of and number and class of Shares subject to outstanding Options and SARs, and (c) the Purchase Prices of and/or number and class of Shares subject to other outstanding Awards will (to the extent appropriate) be proportionately adjusted, subject to any required action by the Board or the stockholders of the Company and compliance with applicable securities or other laws;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fractions of a Share will not be issued but will either be paid in cash at the Fair Market Value of such fraction of a Share or will be rounded down to the nearest whole Share, as determined by the Committee.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24" w:name="page425"/>
    <w:bookmarkEnd w:id="424"/>
    <w:p>
      <w:pPr>
        <w:ind w:left="624" w:hanging="184"/>
        <w:spacing w:after="0"/>
        <w:tabs>
          <w:tab w:leader="none" w:pos="624"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FOR BENEFIT OF SERVICE PROVIDERS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will have the authority to select persons to receive Awards. ISOs may be granted only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officers 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such consultants render bona fide services not in connection with the offer and sale of securities in a capital-raising transaction when Rule 701 is to apply to the Award granted for such services. A person may be granted more than one Award under this Plan.</w:t>
      </w:r>
    </w:p>
    <w:p>
      <w:pPr>
        <w:spacing w:after="0" w:line="71" w:lineRule="exact"/>
        <w:rPr>
          <w:sz w:val="20"/>
          <w:szCs w:val="20"/>
          <w:color w:val="auto"/>
        </w:rPr>
      </w:pPr>
    </w:p>
    <w:p>
      <w:pPr>
        <w:ind w:left="4"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Plan or any Award granted under this Plan will confer or be deemed to confer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any right to continue in the employ of, or to continue any other relationship with, the Company or any Subsidiary or Parent of the Company or limit in any way the right of the Company or any Subsidiary or Parent of the Company to terminate Participant’s employment or other relationship at any time, with or without Cause.</w:t>
      </w:r>
    </w:p>
    <w:p>
      <w:pPr>
        <w:spacing w:after="0" w:line="176" w:lineRule="exact"/>
        <w:rPr>
          <w:sz w:val="20"/>
          <w:szCs w:val="20"/>
          <w:color w:val="auto"/>
        </w:rPr>
      </w:pPr>
    </w:p>
    <w:p>
      <w:pPr>
        <w:ind w:left="4" w:right="20" w:firstLine="436"/>
        <w:spacing w:after="0" w:line="262" w:lineRule="auto"/>
        <w:tabs>
          <w:tab w:leader="none" w:pos="624" w:val="left"/>
        </w:tabs>
        <w:numPr>
          <w:ilvl w:val="0"/>
          <w:numId w:val="2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grant Options to eligible persons described in Section 3 hereof and will determine whether such Options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Incentive Stock Options within the meaning of the Code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or Nonqualified Stock Options (“</w:t>
      </w:r>
      <w:r>
        <w:rPr>
          <w:rFonts w:ascii="Times New Roman" w:cs="Times New Roman" w:eastAsia="Times New Roman" w:hAnsi="Times New Roman"/>
          <w:sz w:val="18"/>
          <w:szCs w:val="18"/>
          <w:b w:val="1"/>
          <w:bCs w:val="1"/>
          <w:i w:val="1"/>
          <w:iCs w:val="1"/>
          <w:color w:val="auto"/>
        </w:rPr>
        <w:t>NQSOs</w:t>
      </w:r>
      <w:r>
        <w:rPr>
          <w:rFonts w:ascii="Times New Roman" w:cs="Times New Roman" w:eastAsia="Times New Roman" w:hAnsi="Times New Roman"/>
          <w:sz w:val="18"/>
          <w:szCs w:val="18"/>
          <w:color w:val="auto"/>
        </w:rPr>
        <w:t>”), the number of Shares subject to the Option, the Exercise Price of the Option, the period during which the Option may be exercised, and all other terms and conditions of the Option, subject to the following.</w:t>
      </w:r>
    </w:p>
    <w:p>
      <w:pPr>
        <w:spacing w:after="0" w:line="68" w:lineRule="exact"/>
        <w:rPr>
          <w:sz w:val="20"/>
          <w:szCs w:val="20"/>
          <w:color w:val="auto"/>
        </w:rPr>
      </w:pPr>
    </w:p>
    <w:p>
      <w:pPr>
        <w:ind w:left="4"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Form of Option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Option granted under this Plan will be evidenced by an Award Agreement which will expressly identify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as an ISO or an NQSO (“</w:t>
      </w:r>
      <w:r>
        <w:rPr>
          <w:rFonts w:ascii="Times New Roman" w:cs="Times New Roman" w:eastAsia="Times New Roman" w:hAnsi="Times New Roman"/>
          <w:sz w:val="18"/>
          <w:szCs w:val="18"/>
          <w:b w:val="1"/>
          <w:bCs w:val="1"/>
          <w:i w:val="1"/>
          <w:iCs w:val="1"/>
          <w:color w:val="auto"/>
        </w:rPr>
        <w:t>Stock Option Agreement</w:t>
      </w:r>
      <w:r>
        <w:rPr>
          <w:rFonts w:ascii="Times New Roman" w:cs="Times New Roman" w:eastAsia="Times New Roman" w:hAnsi="Times New Roman"/>
          <w:sz w:val="18"/>
          <w:szCs w:val="18"/>
          <w:color w:val="auto"/>
        </w:rPr>
        <w:t>”), and will be in such form and contain such provisions (which may be electronic or written and need not be the same for each Participant) as the Committee may from time to time approve, and which will comply with and be subject to the terms and conditions of this Plan.</w:t>
      </w:r>
    </w:p>
    <w:p>
      <w:pPr>
        <w:spacing w:after="0" w:line="68"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Date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an Option will be the date on which the Committee makes the determination to grant such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a later date is otherwise specified by the Committee. The Stock Option Agreement and a copy of this Plan will be delivered to the Participant within a reasonable time after the granting of the Option.</w:t>
      </w:r>
    </w:p>
    <w:p>
      <w:pPr>
        <w:spacing w:after="0" w:line="63" w:lineRule="exact"/>
        <w:rPr>
          <w:sz w:val="20"/>
          <w:szCs w:val="20"/>
          <w:color w:val="auto"/>
        </w:rPr>
      </w:pPr>
    </w:p>
    <w:p>
      <w:pPr>
        <w:ind w:left="4" w:right="260" w:firstLine="991"/>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4.3 </w:t>
      </w:r>
      <w:r>
        <w:rPr>
          <w:rFonts w:ascii="Times New Roman" w:cs="Times New Roman" w:eastAsia="Times New Roman" w:hAnsi="Times New Roman"/>
          <w:sz w:val="17"/>
          <w:szCs w:val="17"/>
          <w:b w:val="1"/>
          <w:bCs w:val="1"/>
          <w:u w:val="single" w:color="auto"/>
          <w:color w:val="auto"/>
        </w:rPr>
        <w:t>Exercise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Options may be exercisable within the time or upon the events determined by the Committee in the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and may be awarded as immediately exercisable but subject to repurchase pursuant to Section 10 hereof or may be exercisable within the times or upon the events determined by the Committee as set forth in the Stock Option Agreement governing such Option;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w:t>
      </w:r>
    </w:p>
    <w:p>
      <w:pPr>
        <w:spacing w:after="0" w:line="1" w:lineRule="exact"/>
        <w:rPr>
          <w:sz w:val="20"/>
          <w:szCs w:val="20"/>
          <w:color w:val="auto"/>
        </w:rPr>
      </w:pPr>
    </w:p>
    <w:p>
      <w:pPr>
        <w:ind w:left="4" w:right="80" w:hanging="4"/>
        <w:spacing w:after="0" w:line="270" w:lineRule="auto"/>
        <w:tabs>
          <w:tab w:leader="none" w:pos="249"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Option will be exercisable after the expiration of ten (10) years from the date the Option is granted; and (b) no ISO granted to a person who directly or by attribution owns more than ten percent (10%) of the total combined voting power of all classes of stock of the Company or of any Subsidiary or Parent of the Company (“</w:t>
      </w:r>
      <w:r>
        <w:rPr>
          <w:rFonts w:ascii="Times New Roman" w:cs="Times New Roman" w:eastAsia="Times New Roman" w:hAnsi="Times New Roman"/>
          <w:sz w:val="17"/>
          <w:szCs w:val="17"/>
          <w:b w:val="1"/>
          <w:bCs w:val="1"/>
          <w:i w:val="1"/>
          <w:iCs w:val="1"/>
          <w:color w:val="auto"/>
        </w:rPr>
        <w:t>Ten Percent Stockholder</w:t>
      </w:r>
      <w:r>
        <w:rPr>
          <w:rFonts w:ascii="Times New Roman" w:cs="Times New Roman" w:eastAsia="Times New Roman" w:hAnsi="Times New Roman"/>
          <w:sz w:val="17"/>
          <w:szCs w:val="17"/>
          <w:color w:val="auto"/>
        </w:rPr>
        <w:t>”) will be exercisable after the expiration of five (5) years from the date the ISO is granted; but in no event shall an Option granted to an employee who is a non-exempt employee for purposes of overtime pay under the U.S. Fair Labor Standards Act of 1938 be exercisable earlier than six (6) months after its date of grant. The Committee also may provide for Options to become exercisable at one time or from time to time, periodically or otherwise, in such number of Shares or percentage of Shares as the Committee determines.</w:t>
      </w:r>
    </w:p>
    <w:p>
      <w:pPr>
        <w:spacing w:after="0" w:line="10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6" w:right="499" w:bottom="1440" w:gutter="0" w:footer="0" w:header="0"/>
        </w:sectPr>
      </w:pPr>
    </w:p>
    <w:bookmarkStart w:id="425" w:name="page426"/>
    <w:bookmarkEnd w:id="425"/>
    <w:p>
      <w:pPr>
        <w:ind w:left="4"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Price of an Option will be determined by the Committee when the Option is granted and shall not be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than the Fair Market Value per Share on the date of grant unless expressly determined in writing by the Committee;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Exercise Price of an ISO granted to a Ten Percent Stockholder will not be less than one hundred ten percent (110%) of the Fair Market Value of the Shares on the date of grant. Payment for the Shares purchased must be made in accordance with Section 8 hereof.</w:t>
      </w:r>
    </w:p>
    <w:p>
      <w:pPr>
        <w:spacing w:after="0" w:line="68"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Method of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may be exercised only by delivery to the Company of a stock option exercise agreement (accepted via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electronic or other means) (the “</w:t>
      </w:r>
      <w:r>
        <w:rPr>
          <w:rFonts w:ascii="Times New Roman" w:cs="Times New Roman" w:eastAsia="Times New Roman" w:hAnsi="Times New Roman"/>
          <w:sz w:val="18"/>
          <w:szCs w:val="18"/>
          <w:b w:val="1"/>
          <w:bCs w:val="1"/>
          <w:i w:val="1"/>
          <w:iCs w:val="1"/>
          <w:color w:val="auto"/>
        </w:rPr>
        <w:t>Exercise Agreement</w:t>
      </w:r>
      <w:r>
        <w:rPr>
          <w:rFonts w:ascii="Times New Roman" w:cs="Times New Roman" w:eastAsia="Times New Roman" w:hAnsi="Times New Roman"/>
          <w:sz w:val="18"/>
          <w:szCs w:val="18"/>
          <w:color w:val="auto"/>
        </w:rPr>
        <w:t>”) in a form approved by the Committee (which need not be the same for each Participant). The Exercise Agreement will state (a) the number of Shares being purchased, (b) the restrictions imposed on the Shares purchased under such Exercise Agreement, if any, and (c) such representations and agreements regarding Participant’s investment intent and access to information and other matters, if any, as may be required or desirable by the Company to comply with applicable securities or other laws. Each Participant’s Exercise Agreement may be modified by (i) agreement of Participant and the Company or (ii) substitution by the Company, upon becoming a public company, in order to add the payment terms set forth in Section 8.1 that apply to a public company and such other terms as shall be necessary or advisable in order to exercise a public company option. Upon exercise of an Option, Participant shall execute and deliver to the Company the Exercise Agreement then in effect, together with payment in full of the Exercise Price for the number of Shares being purchased and satisfaction of any applicable Tax-Related Obligations (as defined in Section 8.2 hereof). No adjustment will be made for a dividend or other right for which the record date is prior to the date the Shares are issued, except as provided in Section 2.2 of the Plan. Exercising an Option in any manner will decrease the number of Shares thereafter available, both for purposes of the Plan and for sale under the Option, by the number of Shares as to which the Option is exercised.</w:t>
      </w:r>
    </w:p>
    <w:p>
      <w:pPr>
        <w:spacing w:after="0" w:line="82" w:lineRule="exact"/>
        <w:rPr>
          <w:sz w:val="20"/>
          <w:szCs w:val="20"/>
          <w:color w:val="auto"/>
        </w:rPr>
      </w:pPr>
    </w:p>
    <w:p>
      <w:pPr>
        <w:ind w:left="4"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earlier termination pursuant to Sections 11 and 13 hereof and subject to any longer exercise periods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Stock Option Agreement, exercise of an Option will always be subject to the following terms and conditions.</w:t>
      </w:r>
    </w:p>
    <w:p>
      <w:pPr>
        <w:spacing w:after="0" w:line="51" w:lineRule="exact"/>
        <w:rPr>
          <w:sz w:val="20"/>
          <w:szCs w:val="20"/>
          <w:color w:val="auto"/>
        </w:rPr>
      </w:pPr>
    </w:p>
    <w:p>
      <w:pPr>
        <w:ind w:left="4" w:firstLine="1432"/>
        <w:spacing w:after="0" w:line="255" w:lineRule="auto"/>
        <w:rPr>
          <w:sz w:val="20"/>
          <w:szCs w:val="20"/>
          <w:color w:val="auto"/>
        </w:rPr>
      </w:pPr>
      <w:r>
        <w:rPr>
          <w:rFonts w:ascii="Times New Roman" w:cs="Times New Roman" w:eastAsia="Times New Roman" w:hAnsi="Times New Roman"/>
          <w:sz w:val="18"/>
          <w:szCs w:val="18"/>
          <w:color w:val="auto"/>
        </w:rPr>
        <w:t xml:space="preserve">4.6.1 </w:t>
      </w:r>
      <w:r>
        <w:rPr>
          <w:rFonts w:ascii="Times New Roman" w:cs="Times New Roman" w:eastAsia="Times New Roman" w:hAnsi="Times New Roman"/>
          <w:sz w:val="18"/>
          <w:szCs w:val="18"/>
          <w:u w:val="single" w:color="auto"/>
          <w:color w:val="auto"/>
        </w:rPr>
        <w:t>Other than Death or Disability or for Cause</w:t>
      </w:r>
      <w:r>
        <w:rPr>
          <w:rFonts w:ascii="Times New Roman" w:cs="Times New Roman" w:eastAsia="Times New Roman" w:hAnsi="Times New Roman"/>
          <w:sz w:val="18"/>
          <w:szCs w:val="18"/>
          <w:color w:val="auto"/>
        </w:rPr>
        <w:t>. If the Participant is Terminated for any reason other than death, Disability or for Cause, then the Participant may exercise such Participant’s Options only to the extent that such Options are exercisable as to Vested Shares upon the Termination Date, except as otherwise determined by the Committee or required by applicable law. Such Options must be exercised by the Participant, if at all, as to all or some of the Vested Shares calculated as of the Termination Date or such other date determined by the Committee, within three</w:t>
      </w:r>
    </w:p>
    <w:p>
      <w:pPr>
        <w:spacing w:after="0" w:line="3" w:lineRule="exact"/>
        <w:rPr>
          <w:sz w:val="20"/>
          <w:szCs w:val="20"/>
          <w:color w:val="auto"/>
        </w:rPr>
      </w:pPr>
    </w:p>
    <w:p>
      <w:pPr>
        <w:jc w:val="both"/>
        <w:ind w:left="4" w:right="440" w:hanging="4"/>
        <w:spacing w:after="0" w:line="255" w:lineRule="auto"/>
        <w:tabs>
          <w:tab w:leader="none" w:pos="259"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Termination Date (or within such shorter time period, not less than thirty (30) days, or within such longer time period after the Termination Date as may be determined by the Committee or required by applicable law, with any exercise beyond three (3) months after the date Participant ceases to be an employee deemed to be an NQSO) but, in any event, no later than the expiration date of the Options.</w:t>
      </w:r>
    </w:p>
    <w:p>
      <w:pPr>
        <w:spacing w:after="0" w:line="78" w:lineRule="exact"/>
        <w:rPr>
          <w:sz w:val="20"/>
          <w:szCs w:val="20"/>
          <w:color w:val="auto"/>
        </w:rPr>
      </w:pPr>
    </w:p>
    <w:p>
      <w:pPr>
        <w:ind w:left="4" w:right="8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4.6.2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on the Termination Date, except as otherwise determined by the Committee or required by applicable law. Such Options must be exercised by Participant (or Participant’s legal representative or authorized assignee), if at all, as to all or some of the Vested Shares calculated as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426" w:name="page427"/>
    <w:bookmarkEnd w:id="426"/>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or required by applicable law, with any exercise beyond (a) three (3) months after the date Participant ceases to be an employee when the Termination is for any reason other than the Participant’s death or disability, within the meaning of Section 22(e)(3) of the Code, or (b) twelve (12) months after the date Participant ceases to be an employee when the Termination is for Participant’s disability, within the meaning of Section 22(e)(3) of the Code, deemed to be an NQSO) but in any event no later than the expiration date of the Options.</w:t>
      </w:r>
    </w:p>
    <w:p>
      <w:pPr>
        <w:spacing w:after="0" w:line="79" w:lineRule="exact"/>
        <w:rPr>
          <w:sz w:val="20"/>
          <w:szCs w:val="20"/>
          <w:color w:val="auto"/>
        </w:rPr>
      </w:pPr>
    </w:p>
    <w:p>
      <w:pPr>
        <w:ind w:right="3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4.6.3 </w:t>
      </w:r>
      <w:r>
        <w:rPr>
          <w:rFonts w:ascii="Times New Roman" w:cs="Times New Roman" w:eastAsia="Times New Roman" w:hAnsi="Times New Roman"/>
          <w:sz w:val="18"/>
          <w:szCs w:val="18"/>
          <w:u w:val="single" w:color="auto"/>
          <w:color w:val="auto"/>
        </w:rPr>
        <w:t>For Cause</w:t>
      </w:r>
      <w:r>
        <w:rPr>
          <w:rFonts w:ascii="Times New Roman" w:cs="Times New Roman" w:eastAsia="Times New Roman" w:hAnsi="Times New Roman"/>
          <w:sz w:val="18"/>
          <w:szCs w:val="18"/>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64" w:lineRule="exact"/>
        <w:rPr>
          <w:sz w:val="20"/>
          <w:szCs w:val="20"/>
          <w:color w:val="auto"/>
        </w:rPr>
      </w:pPr>
    </w:p>
    <w:p>
      <w:pPr>
        <w:ind w:right="3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specify a reasonable minimum number of Shares that may be purchased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 of an Option,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such minimum number will not prevent Participant from exercising the Option for the full number of Shares for which it is then exercisable.</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Limitations on ISOs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Fair Market Value (determined as of the date of grant) of Shares with respect to which ISOs 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for the first time by a Participant during any calendar year (under this Plan or under any other incentive stock option plan of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Parent or Subsidiary of the Company) will not exceed One Hundred Thousand Dollars ($100,000). If the Fair Market Value of Shares on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with respect to which ISOs are exercisable for the first time by a Participant during any calendar year exceeds One Hundred Thousand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 then the Options for the first One Hundred Thousand Dollars ($100,000) worth of Shares to become exercisable in such calendar year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ISOs and the Options for the amount in excess of One Hundred Thousand Dollars ($100,000) that become exercisable in that calendar year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NQSOs. In the event that the Code or the regulations promulgated thereunder are amended after the Effective Date (as defined in Section 13.1 hereof)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for a different limit on the Fair Market Value of Shares permitted to be subject to ISOs, then such different limit will be automatically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herein and will apply to any Options granted after the effective date of such amendment.</w:t>
      </w:r>
    </w:p>
    <w:p>
      <w:pPr>
        <w:spacing w:after="0" w:line="9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Modification, Extension or Renewal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modify, extend or renew outstanding Options and authorize the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new Options in substitution therefor,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4.10 hereof, the Committee may reduce the Exercise Price of outstanding Options without the consent of Participants by a written notice to them;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Exercise Price may not be reduced below the minimum Exercise Price that would be permitted under Section 4.4 hereof for Options granted on the date the action is taken to reduce the Exercise Price.</w:t>
      </w:r>
    </w:p>
    <w:p>
      <w:pPr>
        <w:spacing w:after="0" w:line="75"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4.10 </w:t>
      </w:r>
      <w:r>
        <w:rPr>
          <w:rFonts w:ascii="Times New Roman" w:cs="Times New Roman" w:eastAsia="Times New Roman" w:hAnsi="Times New Roman"/>
          <w:sz w:val="18"/>
          <w:szCs w:val="18"/>
          <w:b w:val="1"/>
          <w:bCs w:val="1"/>
          <w:u w:val="single" w:color="auto"/>
          <w:color w:val="auto"/>
        </w:rPr>
        <w:t>No Disqualification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in this Plan, no term of this Plan relating to ISOs will be interpreted,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27" w:name="page428"/>
    <w:bookmarkEnd w:id="427"/>
    <w:p>
      <w:pPr>
        <w:ind w:right="20" w:firstLine="436"/>
        <w:spacing w:after="0" w:line="262" w:lineRule="auto"/>
        <w:tabs>
          <w:tab w:leader="none" w:pos="62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Restricted Stock Award is an offer by the Company to sell to an eligible person Shares that are subject 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restrictions. The Committee will determine to whom an offer will be made, the number of Shares the person may purchase, the Purchase Price, the restrictions to which the Shares will be subject, and all other terms and conditions of the Restricted Stock Award, subject to the following terms and conditions.</w:t>
      </w:r>
    </w:p>
    <w:p>
      <w:pPr>
        <w:spacing w:after="0" w:line="6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Form of Restricted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purchases under a Restricted Stock Award made pursuant to this Plan will be evidenced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w:t>
      </w:r>
      <w:r>
        <w:rPr>
          <w:rFonts w:ascii="Times New Roman" w:cs="Times New Roman" w:eastAsia="Times New Roman" w:hAnsi="Times New Roman"/>
          <w:sz w:val="18"/>
          <w:szCs w:val="18"/>
          <w:b w:val="1"/>
          <w:bCs w:val="1"/>
          <w:i w:val="1"/>
          <w:iCs w:val="1"/>
          <w:color w:val="auto"/>
        </w:rPr>
        <w:t>Restricted Stock Purchase Agreement</w:t>
      </w:r>
      <w:r>
        <w:rPr>
          <w:rFonts w:ascii="Times New Roman" w:cs="Times New Roman" w:eastAsia="Times New Roman" w:hAnsi="Times New Roman"/>
          <w:sz w:val="18"/>
          <w:szCs w:val="18"/>
          <w:color w:val="auto"/>
        </w:rPr>
        <w:t>”) that will be in such form (which may be electronic or written and need not be the same for each Participant) as the Committee will from time to time approve, and will comply with and be subject to the terms and conditions of this Plan. The Restricted Stock Award will be accepted by the Participant’s execution and delivery of the Restricted Stock Purchase Agreement (accepted via written, electronic or other means)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75" w:lineRule="exact"/>
        <w:rPr>
          <w:sz w:val="20"/>
          <w:szCs w:val="20"/>
          <w:color w:val="auto"/>
        </w:rPr>
      </w:pPr>
    </w:p>
    <w:p>
      <w:pPr>
        <w:ind w:right="1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of Shares sold pursuant to a Restricted Stock Award will be determined by the Committee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Restricted Stock Award is granted. Payment of the Purchase Price must be made in accordance with Section 8 hereof.</w:t>
      </w:r>
    </w:p>
    <w:p>
      <w:pPr>
        <w:spacing w:after="0" w:line="47"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Dividends and Other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holding Restricted Stock Awards will be entitled to receive all dividends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paid with respect to such Shares, unless the Committee provides otherwise at the time the Award is granted. If any such dividends or distributions are paid in Shares, the Shares will be subject to the same restrictions on transferability and forfeitability as the Restricted Stock Awards with respect to which they were paid.</w:t>
      </w:r>
    </w:p>
    <w:p>
      <w:pPr>
        <w:spacing w:after="0" w:line="68" w:lineRule="exact"/>
        <w:rPr>
          <w:sz w:val="20"/>
          <w:szCs w:val="20"/>
          <w:color w:val="auto"/>
        </w:rPr>
      </w:pPr>
    </w:p>
    <w:p>
      <w:pPr>
        <w:ind w:right="4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Awards may be subject to the restrictions set forth in Sections 9 and 10 hereof or, with respect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 to which Section 25102(o) is to apply, such other restrictions not inconsistent with Section 25102(o).</w:t>
      </w:r>
    </w:p>
    <w:p>
      <w:pPr>
        <w:spacing w:after="0" w:line="155" w:lineRule="exact"/>
        <w:rPr>
          <w:sz w:val="20"/>
          <w:szCs w:val="20"/>
          <w:color w:val="auto"/>
        </w:rPr>
      </w:pPr>
    </w:p>
    <w:p>
      <w:pPr>
        <w:ind w:left="620" w:hanging="184"/>
        <w:spacing w:after="0"/>
        <w:tabs>
          <w:tab w:leader="none" w:pos="620" w:val="left"/>
        </w:tabs>
        <w:numPr>
          <w:ilvl w:val="0"/>
          <w:numId w:val="3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Awards of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Restricted Stock Unit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is an Award covering a number of Shares that may be settled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by issuance of those Shares at a date in the future, or by a combination of cash and Shares. No Purchase Price shall apply to an RSU settled in Shares. All grants of RSUs will be evidenced by an Award Agreement (the “</w:t>
      </w:r>
      <w:r>
        <w:rPr>
          <w:rFonts w:ascii="Times New Roman" w:cs="Times New Roman" w:eastAsia="Times New Roman" w:hAnsi="Times New Roman"/>
          <w:sz w:val="18"/>
          <w:szCs w:val="18"/>
          <w:b w:val="1"/>
          <w:bCs w:val="1"/>
          <w:i w:val="1"/>
          <w:iCs w:val="1"/>
          <w:color w:val="auto"/>
        </w:rPr>
        <w:t>RSU Agreement</w:t>
      </w:r>
      <w:r>
        <w:rPr>
          <w:rFonts w:ascii="Times New Roman" w:cs="Times New Roman" w:eastAsia="Times New Roman" w:hAnsi="Times New Roman"/>
          <w:sz w:val="18"/>
          <w:szCs w:val="18"/>
          <w:color w:val="auto"/>
        </w:rPr>
        <w:t>”) that will be in such form (which may be electronic or written and need not be the same for each Participant) as the Committee will from time to time approve, and will comply with and be subject to the terms and conditions of this Plan. No RSU will have a term longer than ten (10) years from the date the RSU is granted.</w:t>
      </w:r>
    </w:p>
    <w:p>
      <w:pPr>
        <w:spacing w:after="0" w:line="71"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Form and Timing of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permissible under applicable law, the Committee may permit a Participant to defer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(including settlement) under an RSU to a date or dates after the RSU has vested,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terms of the RSU and any deferral satisfy the requirements of Section 409A of the Code (or any successor) and any regulations or rulings promulgated thereunder, to the extent the Participant is subject to Section 409A of the Code. Payment may be made in the form of cash or whole Shares or a combination thereof, all as the Committee determines.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428" w:name="page429"/>
    <w:bookmarkEnd w:id="428"/>
    <w:p>
      <w:pPr>
        <w:ind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Times New Roman" w:cs="Times New Roman" w:eastAsia="Times New Roman" w:hAnsi="Times New Roman"/>
          <w:sz w:val="18"/>
          <w:szCs w:val="18"/>
          <w:b w:val="1"/>
          <w:bCs w:val="1"/>
          <w:u w:val="single" w:color="auto"/>
          <w:color w:val="auto"/>
        </w:rPr>
        <w:t>Dividend Equivalent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permit Participants holding RSUs to receive dividend equivalent payments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RSUs if and when dividends are paid to stockholders on Shares. In the discretion of the Board, such dividend equivalent payments may be paid in cash or Shares and they may either be paid at the same time as dividend payments are made to stockholders or delayed until Shares are issued pursuant to the RSU grants and may be subject to the same vesting or performance requirements as the RSUs. If the Board permits dividend equivalent payments to be made on RSUs, the terms and conditions for such dividend equivalent payments will be set forth in the RSU Agreement.</w:t>
      </w:r>
    </w:p>
    <w:p>
      <w:pPr>
        <w:spacing w:after="0" w:line="179" w:lineRule="exact"/>
        <w:rPr>
          <w:sz w:val="20"/>
          <w:szCs w:val="20"/>
          <w:color w:val="auto"/>
        </w:rPr>
      </w:pPr>
    </w:p>
    <w:p>
      <w:pPr>
        <w:ind w:left="620" w:hanging="184"/>
        <w:spacing w:after="0"/>
        <w:tabs>
          <w:tab w:leader="none" w:pos="62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Awards of SARs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Appreciation Rights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may be settled in cash or Shares (which may consist of Restricted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RSUs) or a combination thereof, having a value equal to the value determined by multiplying the difference between the Fair Market Value on the date of exercise over the Exercise Price and the number of Shares with respect to which the SAR is being exercised. All grants of SARs made pursuant to this Plan will be evidenced by an Award Agreement (the “</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that will be in such form (which may be electronic or written and need not be the same for each Participant) as the Committee will from time to time approve, and will comply with and be subject to the terms and conditions of this Plan.</w:t>
      </w:r>
    </w:p>
    <w:p>
      <w:pPr>
        <w:spacing w:after="0" w:line="74" w:lineRule="exact"/>
        <w:rPr>
          <w:sz w:val="20"/>
          <w:szCs w:val="20"/>
          <w:color w:val="auto"/>
        </w:rPr>
      </w:pPr>
    </w:p>
    <w:p>
      <w:pPr>
        <w:jc w:val="both"/>
        <w:ind w:right="2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Exercise Period and Expiration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SAR will be exercisable within the times or upon the occurrence of events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Committee and set forth in the SAR Agreement. The SAR Agreement shall set forth the expiration date;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no SAR will be exercisable after the expiration of ten (10) years from the date the SAR is granted.</w:t>
      </w:r>
    </w:p>
    <w:p>
      <w:pPr>
        <w:spacing w:after="0" w:line="63"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will determine the Exercise Price of the SAR when the SAR is granted, which may not be less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Market Value on the date of grant.</w:t>
      </w:r>
    </w:p>
    <w:p>
      <w:pPr>
        <w:spacing w:after="0" w:line="47"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earlier termination pursuant to Sections 11 and 13 hereof and subject to any longer exercise periods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SAR Agreement, exercise of SARs will always be subject to the following terms and conditions.</w:t>
      </w:r>
    </w:p>
    <w:p>
      <w:pPr>
        <w:spacing w:after="0" w:line="51" w:lineRule="exact"/>
        <w:rPr>
          <w:sz w:val="20"/>
          <w:szCs w:val="20"/>
          <w:color w:val="auto"/>
        </w:rPr>
      </w:pPr>
    </w:p>
    <w:p>
      <w:pPr>
        <w:ind w:right="8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7.4.1 </w:t>
      </w:r>
      <w:r>
        <w:rPr>
          <w:rFonts w:ascii="Times New Roman" w:cs="Times New Roman" w:eastAsia="Times New Roman" w:hAnsi="Times New Roman"/>
          <w:sz w:val="18"/>
          <w:szCs w:val="18"/>
          <w:u w:val="single" w:color="auto"/>
          <w:color w:val="auto"/>
        </w:rPr>
        <w:t>Other than Death or Disability or for Cause</w:t>
      </w:r>
      <w:r>
        <w:rPr>
          <w:rFonts w:ascii="Times New Roman" w:cs="Times New Roman" w:eastAsia="Times New Roman" w:hAnsi="Times New Roman"/>
          <w:sz w:val="18"/>
          <w:szCs w:val="18"/>
          <w:color w:val="auto"/>
        </w:rPr>
        <w:t>. If the Participant is Terminated for any reason other than death, Disability or for Cause, then the Participant may exercise such Participant’s SARs only to the extent that such SARs are exercisable as to Vested Shares upon the Termination Date or as otherwise determined by the Committee or as required by applicable law. SARs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or as required by applicable law), but in any event no later than the expiration date of the SARs.</w:t>
      </w:r>
    </w:p>
    <w:p>
      <w:pPr>
        <w:spacing w:after="0" w:line="79" w:lineRule="exact"/>
        <w:rPr>
          <w:sz w:val="20"/>
          <w:szCs w:val="20"/>
          <w:color w:val="auto"/>
        </w:rPr>
      </w:pPr>
    </w:p>
    <w:p>
      <w:pPr>
        <w:ind w:right="40" w:firstLine="1432"/>
        <w:spacing w:after="0" w:line="255" w:lineRule="auto"/>
        <w:rPr>
          <w:sz w:val="20"/>
          <w:szCs w:val="20"/>
          <w:color w:val="auto"/>
        </w:rPr>
      </w:pPr>
      <w:r>
        <w:rPr>
          <w:rFonts w:ascii="Times New Roman" w:cs="Times New Roman" w:eastAsia="Times New Roman" w:hAnsi="Times New Roman"/>
          <w:sz w:val="18"/>
          <w:szCs w:val="18"/>
          <w:color w:val="auto"/>
        </w:rPr>
        <w:t xml:space="preserve">7.4.2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If the Participant is Terminated because of Participant’s death or Disability (or the Participant dies within three (3) months after a Termination other than for Cause), then Participant’s SARs may be exercised only to the extent that such SARs are exercisable as to Vested Shares on the Termination Date or as otherwise determined by the Committee or as required by applicable law. Such SARs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or as required by applicable law), but in any event no later than the expiration date of the SARs.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429" w:name="page430"/>
    <w:bookmarkEnd w:id="429"/>
    <w:p>
      <w:pPr>
        <w:ind w:right="140" w:firstLine="1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7.4.3 </w:t>
      </w:r>
      <w:r>
        <w:rPr>
          <w:rFonts w:ascii="Times New Roman" w:cs="Times New Roman" w:eastAsia="Times New Roman" w:hAnsi="Times New Roman"/>
          <w:sz w:val="18"/>
          <w:szCs w:val="18"/>
          <w:u w:val="single" w:color="auto"/>
          <w:color w:val="auto"/>
        </w:rPr>
        <w:t>For Cause</w:t>
      </w:r>
      <w:r>
        <w:rPr>
          <w:rFonts w:ascii="Times New Roman" w:cs="Times New Roman" w:eastAsia="Times New Roman" w:hAnsi="Times New Roman"/>
          <w:sz w:val="18"/>
          <w:szCs w:val="18"/>
          <w:color w:val="auto"/>
        </w:rPr>
        <w:t>. If the Participant is Terminated for Cause, the Participant may exercise such Participant’s SARs, but not to an extent greater than such SARs are exercisable as to Vested Shares upon the Termination Date and Participant’s SARs shall expire on such Participant’s Termination Date, or at such later time and on such conditions as are determined by the Committee.</w:t>
      </w:r>
    </w:p>
    <w:p>
      <w:pPr>
        <w:spacing w:after="0" w:line="172" w:lineRule="exact"/>
        <w:rPr>
          <w:sz w:val="20"/>
          <w:szCs w:val="20"/>
          <w:color w:val="auto"/>
        </w:rPr>
      </w:pPr>
    </w:p>
    <w:p>
      <w:pPr>
        <w:ind w:left="620" w:hanging="184"/>
        <w:spacing w:after="0"/>
        <w:tabs>
          <w:tab w:leader="none" w:pos="620"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FOR PURCHASES AND EXERCISES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4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Payment in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for Shares acquired pursuant to this Plan may be made in cash equivalents (including by check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Automated Clearing House (“</w:t>
      </w:r>
      <w:r>
        <w:rPr>
          <w:rFonts w:ascii="Times New Roman" w:cs="Times New Roman" w:eastAsia="Times New Roman" w:hAnsi="Times New Roman"/>
          <w:sz w:val="18"/>
          <w:szCs w:val="18"/>
          <w:b w:val="1"/>
          <w:bCs w:val="1"/>
          <w:i w:val="1"/>
          <w:iCs w:val="1"/>
          <w:color w:val="auto"/>
        </w:rPr>
        <w:t>ACH</w:t>
      </w:r>
      <w:r>
        <w:rPr>
          <w:rFonts w:ascii="Times New Roman" w:cs="Times New Roman" w:eastAsia="Times New Roman" w:hAnsi="Times New Roman"/>
          <w:sz w:val="18"/>
          <w:szCs w:val="18"/>
          <w:color w:val="auto"/>
        </w:rPr>
        <w:t>”) transfer) or, where expressly approved for the Participant by the Committee and subject to compliance with applicable law:</w:t>
      </w:r>
    </w:p>
    <w:p>
      <w:pPr>
        <w:spacing w:after="0" w:line="67" w:lineRule="exact"/>
        <w:rPr>
          <w:sz w:val="20"/>
          <w:szCs w:val="20"/>
          <w:color w:val="auto"/>
        </w:rPr>
      </w:pPr>
    </w:p>
    <w:p>
      <w:pPr>
        <w:ind w:left="1680" w:hanging="252"/>
        <w:spacing w:after="0"/>
        <w:tabs>
          <w:tab w:leader="none" w:pos="16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cancellation of indebtedness of the Company owed to the Participant;</w:t>
      </w:r>
    </w:p>
    <w:p>
      <w:pPr>
        <w:spacing w:after="0" w:line="117" w:lineRule="exact"/>
        <w:rPr>
          <w:rFonts w:ascii="Times New Roman" w:cs="Times New Roman" w:eastAsia="Times New Roman" w:hAnsi="Times New Roman"/>
          <w:sz w:val="18"/>
          <w:szCs w:val="18"/>
          <w:color w:val="auto"/>
        </w:rPr>
      </w:pPr>
    </w:p>
    <w:p>
      <w:pPr>
        <w:ind w:right="20" w:firstLine="1428"/>
        <w:spacing w:after="0" w:line="261" w:lineRule="auto"/>
        <w:tabs>
          <w:tab w:leader="none" w:pos="168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surrender of shares of the Company that are clear of all liens, claims, encumbrances or security interests and: (i) for which the Company has received “full payment of the purchase price” within the meaning of SEC Rule 144 (and, if such shares were purchased from the Company by use of a promissory note, such note has been fully paid with respect to such shares) or (ii) that were obtained by Participant in the public market;</w:t>
      </w:r>
    </w:p>
    <w:p>
      <w:pPr>
        <w:spacing w:after="0" w:line="71" w:lineRule="exact"/>
        <w:rPr>
          <w:rFonts w:ascii="Times New Roman" w:cs="Times New Roman" w:eastAsia="Times New Roman" w:hAnsi="Times New Roman"/>
          <w:sz w:val="18"/>
          <w:szCs w:val="18"/>
          <w:color w:val="auto"/>
        </w:rPr>
      </w:pPr>
    </w:p>
    <w:p>
      <w:pPr>
        <w:ind w:right="160" w:firstLine="1428"/>
        <w:spacing w:after="0" w:line="256" w:lineRule="auto"/>
        <w:tabs>
          <w:tab w:leader="none" w:pos="167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tender of a full recourse promissory note having such terms as may be approved by the Committee and bearing interest at a rate sufficient to avoid (i) imputation of income under Sections 483 and 1274 of the Code and (ii) unfavorable accounting treatment as determined by the Committee;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Participants who are not employees or directors of the Company will not be entitled to purchase Shares with a promissory note unless the note is adequately secured by collateral other than the Shares;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the portion of the Exercise Price or Purchase Price, as the case may be, equal to the par value (if any) of the Shares must be paid in cash or other legal consideration permitted by the laws under which the Company is then incorporated or organized;</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waiver of compensation due or accrued to the Participant from the Company for services rendered;</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a formal cashless exercise program implemented by the Committee in connection with the Plan;</w:t>
      </w:r>
    </w:p>
    <w:p>
      <w:pPr>
        <w:spacing w:after="0" w:line="117" w:lineRule="exact"/>
        <w:rPr>
          <w:rFonts w:ascii="Times New Roman" w:cs="Times New Roman" w:eastAsia="Times New Roman" w:hAnsi="Times New Roman"/>
          <w:sz w:val="18"/>
          <w:szCs w:val="18"/>
          <w:color w:val="auto"/>
        </w:rPr>
      </w:pPr>
    </w:p>
    <w:p>
      <w:pPr>
        <w:ind w:firstLine="1428"/>
        <w:spacing w:after="0" w:line="261" w:lineRule="auto"/>
        <w:tabs>
          <w:tab w:leader="none" w:pos="165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 public market for the Company’s common stock exists, by exercising 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 or</w:t>
      </w:r>
    </w:p>
    <w:p>
      <w:pPr>
        <w:spacing w:after="0" w:line="7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foregoing or any other method of payment approved by the Committee.</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avoidance of uncertainty: ACH transfers that have been received by the Company into its bank account designated for receipt of such transfers under this Section 8.1 shall be deemed to have been received for all purposes under this Plan as of the date on which such transfers were initiated from the transferor’s account and made irrevocable by the transferor.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430" w:name="page431"/>
    <w:bookmarkEnd w:id="430"/>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Withholding Generally</w:t>
      </w:r>
      <w:r>
        <w:rPr>
          <w:rFonts w:ascii="Times New Roman" w:cs="Times New Roman" w:eastAsia="Times New Roman" w:hAnsi="Times New Roman"/>
          <w:sz w:val="18"/>
          <w:szCs w:val="18"/>
          <w:color w:val="auto"/>
        </w:rPr>
        <w:t>. Whenever Shares are to be issued in satisfaction of Awards granted under this Plan, the Company may require the Participant to remit to the Company an amount sufficient to satisfy the maximum tax withholding requirements as to income tax, social insurance, payroll tax, fringe benefits tax, payment on account and other tax-related obligations (collectively, “</w:t>
      </w:r>
      <w:r>
        <w:rPr>
          <w:rFonts w:ascii="Times New Roman" w:cs="Times New Roman" w:eastAsia="Times New Roman" w:hAnsi="Times New Roman"/>
          <w:sz w:val="18"/>
          <w:szCs w:val="18"/>
          <w:b w:val="1"/>
          <w:bCs w:val="1"/>
          <w:i w:val="1"/>
          <w:iCs w:val="1"/>
          <w:color w:val="auto"/>
        </w:rPr>
        <w:t>Tax-Related Obligations</w:t>
      </w:r>
      <w:r>
        <w:rPr>
          <w:rFonts w:ascii="Times New Roman" w:cs="Times New Roman" w:eastAsia="Times New Roman" w:hAnsi="Times New Roman"/>
          <w:sz w:val="18"/>
          <w:szCs w:val="18"/>
          <w:color w:val="auto"/>
        </w:rPr>
        <w:t>”) prior to the delivery of any written or electronic certificate or certificates for such Shares. Whenever, under this Plan, payments in satisfaction of Awards are to be made in cash by the Company, such payment will be net of an amount sufficient to satisfy applicable tax withholding requirements.</w:t>
      </w:r>
    </w:p>
    <w:p>
      <w:pPr>
        <w:spacing w:after="0" w:line="75" w:lineRule="exact"/>
        <w:rPr>
          <w:sz w:val="20"/>
          <w:szCs w:val="20"/>
          <w:color w:val="auto"/>
        </w:rPr>
      </w:pPr>
    </w:p>
    <w:p>
      <w:pPr>
        <w:ind w:firstLine="1432"/>
        <w:spacing w:after="0" w:line="253"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Stock Withholding</w:t>
      </w:r>
      <w:r>
        <w:rPr>
          <w:rFonts w:ascii="Times New Roman" w:cs="Times New Roman" w:eastAsia="Times New Roman" w:hAnsi="Times New Roman"/>
          <w:sz w:val="18"/>
          <w:szCs w:val="18"/>
          <w:color w:val="auto"/>
        </w:rPr>
        <w:t>. When, under applicable tax laws, a Participant incurs tax liability in connection with the exercise or vesting of any Award that is subject to tax withholding and the Participant is obligated to pay the Company the amount required to be withheld, the Committee may in its sole discretion allow the Participant to satisfy up to the maximum Tax-Related Obligations in the employee’s applicable jurisdictions by electing to have the Company withhold from the Shares to be issued up to the number of Shares having a Fair Market Value on the date that the amount of tax to be withheld is to be determined that is not more than the maximum Tax-Related Obligations in the employee’s applicable jurisdictions; or to arrange a mandatory “sell to cover” on Participant’s behalf (without further authorization) but in no event will the Company withhold Shares or “sell to cover” if such withholding would result in adverse accounting or compliance consequences to the Company. The maximum Tax-Related Obligations are based on the applicable rates of the relevant tax authorities (for example, federal, state and local), including the employee’s share of payroll or similar taxes, as provided in the tax law, regulations or the authority’s administrative practices, not to exceed the highest statutory rate in that jurisdiction. Any elections to have Shares withheld or sold for this purpose will be made in accordance with the requirements established by the Committee for such elections and be in writing in a form acceptable to the Committee.</w:t>
      </w:r>
    </w:p>
    <w:p>
      <w:pPr>
        <w:spacing w:after="0" w:line="84"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Elections Under Section 83(i) of the Code</w:t>
      </w:r>
      <w:r>
        <w:rPr>
          <w:rFonts w:ascii="Times New Roman" w:cs="Times New Roman" w:eastAsia="Times New Roman" w:hAnsi="Times New Roman"/>
          <w:sz w:val="18"/>
          <w:szCs w:val="18"/>
          <w:color w:val="auto"/>
        </w:rPr>
        <w:t>. A Participant will not make an election under Section 83(i) of the Code if the Company determines that the Participant is then ineligible to make such an election under applicable law or without the Company’s prior written consent (which will not be unreasonably withheld or delayed, but may be conditioned upon the Participant’s entry into additional commitments as determined by the Company).</w:t>
      </w:r>
    </w:p>
    <w:p>
      <w:pPr>
        <w:spacing w:after="0" w:line="176" w:lineRule="exact"/>
        <w:rPr>
          <w:sz w:val="20"/>
          <w:szCs w:val="20"/>
          <w:color w:val="auto"/>
        </w:rPr>
      </w:pPr>
    </w:p>
    <w:p>
      <w:pPr>
        <w:ind w:left="620" w:hanging="184"/>
        <w:spacing w:after="0"/>
        <w:tabs>
          <w:tab w:leader="none" w:pos="620"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 ON AWARDS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permitted by the Committee, Awards granted under this Plan, and any interest therein,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transferable or assignable by Participant, other than by will or by the laws of descent and distribution, and, with respect to NQSOs for Participants in the U.S., by instrument to an inter vivos or testamentary trust in which the NQSOs are to be passed to beneficiaries upon the death of the trustor (settlor), or by gift to “family member” as that term is defined in Rule 701, and may not be made subject to execution, attachment or similar process. For the avoidance of doubt, the prohibition against assignment and transfer applies to Awards and any Shares underlying the Awards prior to the issuance of the Shares, and pursuant to the foregoing sentence shall be understood to include, without limitation, a prohibition against any pledge, hypothecation, or other transfer, including any short position, any “put equivalent position” or any “call equivalent position” (in each case, as defined in Rule 16a-1 promulgated under the Exchange Act). Unless an Award is transferred pursuant to the terms of this Section, during the lifetime of the Participant an Award will be exercisable only by the Participant or Participant’s legal representative and any elections with respect to an Award may be made only by the Participant or Participant’s legal representative. The terms of an Award shall be binding upon the executor, administrator, successors and assigns of the Participant who is a party thereto.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431" w:name="page432"/>
    <w:bookmarkEnd w:id="431"/>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 </w:t>
      </w:r>
      <w:r>
        <w:rPr>
          <w:rFonts w:ascii="Times New Roman" w:cs="Times New Roman" w:eastAsia="Times New Roman" w:hAnsi="Times New Roman"/>
          <w:sz w:val="18"/>
          <w:szCs w:val="18"/>
          <w:b w:val="1"/>
          <w:bCs w:val="1"/>
          <w:u w:val="single" w:color="auto"/>
          <w:color w:val="auto"/>
        </w:rPr>
        <w:t>Securities Law and Other Regulatory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Although this Plan is intended to be a written compensatory benefit plan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of Rule 701 promulgated under the Securities Act, Awards may be made pursuant to this Plan that do not qualify for exemption under Rule 701 or Section 25102(o). Any requirement of this Plan which is required in law only because of Section 25102(o) need not apply with respect to a particular Award to which Section 25102(o) will not apply. An Award will not be effective unless such Award is in compliance with all applicable U.S. and non-U.S. federal, state and local securities laws, rules and regulations of any governmental body, and the requirements of any stock exchange or automated quotation system upon which the Company’s equity securities may then be listed or quoted, as they are in effect on the date of grant of the Award and also on the date of exercise, settlement or other issuance. Notwithstanding any other provision in this Plan, the Company will have no obligation to issue Shares or deliver certificates for Shares under this Plan prior to (a) obtaining any approvals from governmental agencies that the Company determines are necessary or advisable, and/or (b) compliance with any exemption, completion of any registration or other qualification of such Shares under any U.S. and non-U.S. federal, state or local law or ruling of any governmental body that the Company determines to be necessary or advisable. The Company will be under no obligation to register the Shares with the SEC or to effect compliance with the exemption, registration, qualification or listing requirements of any securities laws, stock exchange or automated quotation system, and the Company will have no liability for any inability or failure to do so.</w:t>
      </w:r>
    </w:p>
    <w:p>
      <w:pPr>
        <w:spacing w:after="0" w:line="79"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Exchange and Buyout of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at any time or from time to time, authorize the Company, with the consent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Participants, to issue new Awards in exchange for the surrender and cancellation of any or all outstanding Awards. Without prior stockholder approval the Committee may reprice Options or SARs (and where such repricing is a reduction in the Exercise Price of outstanding Options or SARs, the consent of the affected Participants is not required provided written notice is provided to them).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182" w:lineRule="exact"/>
        <w:rPr>
          <w:sz w:val="20"/>
          <w:szCs w:val="20"/>
          <w:color w:val="auto"/>
        </w:rPr>
      </w:pPr>
    </w:p>
    <w:p>
      <w:pPr>
        <w:ind w:left="700" w:hanging="264"/>
        <w:spacing w:after="0"/>
        <w:tabs>
          <w:tab w:leader="none" w:pos="700" w:val="left"/>
        </w:tabs>
        <w:numPr>
          <w:ilvl w:val="0"/>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 ON SHARES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Privileges of Stock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Participant will have any of the rights of a stockholder with respect to any Shares until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are 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10.</w:t>
      </w:r>
    </w:p>
    <w:p>
      <w:pPr>
        <w:spacing w:after="0" w:line="75" w:lineRule="exact"/>
        <w:rPr>
          <w:sz w:val="20"/>
          <w:szCs w:val="20"/>
          <w:color w:val="auto"/>
        </w:rPr>
      </w:pPr>
    </w:p>
    <w:p>
      <w:pPr>
        <w:ind w:right="1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Rights of First Refusal and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discretion of the Committee, the Company may reserve to itself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assignee(s) in the Award Agreement (a) a right of first refusal to purchase all Shares that a Participant (or a subsequent transferee) may propose to transfer to a third party,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such right of first refusal terminates upon (i) subject to any applicable market standoff restrictions, the effective date of the first sale of common stock of the Company to the general public pursuant to a registration statement filed with and declared effective by the SEC under the Securities Act (other than a registration statement relating solely to the issuance of common stock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432" w:name="page433"/>
    <w:bookmarkEnd w:id="432"/>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a business combination or an employee incentive or benefit plan); (ii) any transfer or conversion of Shares made pursuant to a statutory merger or statutory consolidation of the Company with or into another corporation or corporations if the common stock of the surviving corporation or any direct or indirect Parent thereof is registered under the Exchange Act; or (iii) any transfer or conversion of Shares made pursuant to a statutory conversion of the Company into another form of legal entity if the common equity (or comparable equity security) of entity resulting from such conversion is registered under the Exchange Act; and (b) a right to repurchase Unvested Shares held by a Participant for cash and/or cancellation of purchase money indebtedness owed to the Company by the Participant following such Participant’s Termination at any time.</w:t>
      </w:r>
    </w:p>
    <w:p>
      <w:pPr>
        <w:spacing w:after="0" w:line="75"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Agreement to Vote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discretion of the Committee, the Company may require that, as a condition to the receipt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upon issuance of an Award, exercise of an Option or SAR or settlement of an RSU, the Participant and any transferee of the Shares agree to vote such Shares pursuant to the terms of a Voting Agreement by and between the Company and certain of its stockholders.</w:t>
      </w:r>
    </w:p>
    <w:p>
      <w:pPr>
        <w:spacing w:after="0" w:line="6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b w:val="1"/>
          <w:bCs w:val="1"/>
          <w:u w:val="single" w:color="auto"/>
          <w:color w:val="auto"/>
        </w:rPr>
        <w:t>Escrow; Pledge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enforce any restrictions on a Participant’s Shares, the Committee may require the Participant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deposit 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written or electronic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74"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10.5 </w:t>
      </w:r>
      <w:r>
        <w:rPr>
          <w:rFonts w:ascii="Times New Roman" w:cs="Times New Roman" w:eastAsia="Times New Roman" w:hAnsi="Times New Roman"/>
          <w:sz w:val="18"/>
          <w:szCs w:val="18"/>
          <w:b w:val="1"/>
          <w:bCs w:val="1"/>
          <w:u w:val="single" w:color="auto"/>
          <w:color w:val="auto"/>
        </w:rPr>
        <w:t>Securities Law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written or electronic certificates for Shares or other securities delivered under this Plan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such stock transfer orders, legends and other restrictions as the Committee may deem necessary or advisable, including restrictions under any applicable U.S. and non-U.S. federal, state or local securities law, or any rules, regulations and other requirements of the SEC or any stock exchange or automated quotation system upon which the Company’s equity securities may be listed or quoted.</w:t>
      </w:r>
    </w:p>
    <w:p>
      <w:pPr>
        <w:spacing w:after="0" w:line="176" w:lineRule="exact"/>
        <w:rPr>
          <w:sz w:val="20"/>
          <w:szCs w:val="20"/>
          <w:color w:val="auto"/>
        </w:rPr>
      </w:pPr>
    </w:p>
    <w:p>
      <w:pPr>
        <w:ind w:left="700" w:hanging="264"/>
        <w:spacing w:after="0"/>
        <w:tabs>
          <w:tab w:leader="none" w:pos="700"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CORPORATE TRANSACTIONS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b w:val="1"/>
          <w:bCs w:val="1"/>
          <w:u w:val="single" w:color="auto"/>
          <w:color w:val="auto"/>
        </w:rPr>
        <w:t>Acquisitions or Other Combinations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the Company is subject to an Acquisition or Other Combination,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acquired under the Plan shall be subject to the agreement evidencing the Acquisition or Other Combination, which need not treat all outstanding Awards in an identical manner. Such agreement, without the Participant’s consent, shall provide for one or more of the following with respect to all outstanding Awards as of the effective date of such Acquisition or Other Combination:</w:t>
      </w:r>
    </w:p>
    <w:p>
      <w:pPr>
        <w:spacing w:after="0" w:line="72" w:lineRule="exact"/>
        <w:rPr>
          <w:sz w:val="20"/>
          <w:szCs w:val="20"/>
          <w:color w:val="auto"/>
        </w:rPr>
      </w:pPr>
    </w:p>
    <w:p>
      <w:pPr>
        <w:jc w:val="center"/>
        <w:ind w:left="5420" w:right="1840" w:hanging="3992"/>
        <w:spacing w:after="0" w:line="454" w:lineRule="auto"/>
        <w:tabs>
          <w:tab w:leader="none" w:pos="1679"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such outstanding Awards by the Company (if the Company is the successor entity). 10</w:t>
      </w:r>
    </w:p>
    <w:p>
      <w:pPr>
        <w:sectPr>
          <w:pgSz w:w="11900" w:h="16838" w:orient="portrait"/>
          <w:cols w:equalWidth="0" w:num="1">
            <w:col w:w="10960"/>
          </w:cols>
          <w:pgMar w:left="440" w:top="270" w:right="499" w:bottom="1440" w:gutter="0" w:footer="0" w:header="0"/>
        </w:sectPr>
      </w:pPr>
    </w:p>
    <w:bookmarkStart w:id="433" w:name="page434"/>
    <w:bookmarkEnd w:id="433"/>
    <w:p>
      <w:pPr>
        <w:ind w:firstLine="1428"/>
        <w:spacing w:after="0" w:line="253" w:lineRule="auto"/>
        <w:tabs>
          <w:tab w:leader="none" w:pos="168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assumption of outstanding Awards by the successor or acquiring entity (if any) in such Acquisition or Other Combination (or by any of its Parents, if any), which assumption, will be binding on all Participants; provided that the exercise price and the number and nature of shares issuable upon exercise of any such option or stock appreciation right, or upon the settlement of any award that is subject to Section 409A of the Code, will be adjusted appropriately pursuant to Section 424(a) and Section 409A of the Code. For the purposes of this Section 11, an Award will be considered assumed if, following the Acquisition or Other Combination, the Award confers the right to purchase or receive, for each Share subject to the Award immediately prior to the Acquisition or Other Combination, the consideration (whether stock, cash, or other securities or property) received in the Acquisition or Other Combination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Acquisition or Other Combination is not solely common stock of the successor corporation or its Parent, the Committee may, with the consent of the successor corporation, provide for the consideration to be received upon the exercise of an Option or Stock Appreciation Right or upon the settlement of an RSU, for each Share subject to such Award, to be solely common stock of the successor corporation or its Parent equal in fair market value to the per share consideration received by holders of Common Stock in the Acquisition or Other Combination.</w:t>
      </w:r>
    </w:p>
    <w:p>
      <w:pPr>
        <w:spacing w:after="0" w:line="81" w:lineRule="exact"/>
        <w:rPr>
          <w:rFonts w:ascii="Times New Roman" w:cs="Times New Roman" w:eastAsia="Times New Roman" w:hAnsi="Times New Roman"/>
          <w:sz w:val="18"/>
          <w:szCs w:val="18"/>
          <w:color w:val="auto"/>
        </w:rPr>
      </w:pPr>
    </w:p>
    <w:p>
      <w:pPr>
        <w:jc w:val="both"/>
        <w:ind w:right="140" w:firstLine="1428"/>
        <w:spacing w:after="0" w:line="261" w:lineRule="auto"/>
        <w:tabs>
          <w:tab w:leader="none" w:pos="167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by the successor or acquiring entity in such Acquisition or Other Combination (or by any of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and Section 409A of the Code).</w:t>
      </w:r>
    </w:p>
    <w:p>
      <w:pPr>
        <w:spacing w:after="0" w:line="7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or partial exercisability or vesting and accelerated expiration of outstanding Awards.</w:t>
      </w:r>
    </w:p>
    <w:p>
      <w:pPr>
        <w:spacing w:after="0" w:line="117" w:lineRule="exact"/>
        <w:rPr>
          <w:rFonts w:ascii="Times New Roman" w:cs="Times New Roman" w:eastAsia="Times New Roman" w:hAnsi="Times New Roman"/>
          <w:sz w:val="18"/>
          <w:szCs w:val="18"/>
          <w:color w:val="auto"/>
        </w:rPr>
      </w:pPr>
    </w:p>
    <w:p>
      <w:pPr>
        <w:ind w:right="60" w:firstLine="1428"/>
        <w:spacing w:after="0" w:line="254" w:lineRule="auto"/>
        <w:tabs>
          <w:tab w:leader="none" w:pos="167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the Fair Market Value of such outstanding Award (whether or not then vested or exercisable) in cash, cash equivalents, or securities of the successor entity (or its Parent, if any), followed by the cancellation of such Awards; provided however, that such Award may be cancelled without consideration if such Award has no value, as determined by the Committee, in its discretion. Subject to Section 409A of the Code, such payment may be made in installments and may be deferred until the date or dates when the Award would have become exercisable or vested. Such payment may be subject to vesting based on the Participant’s continued service, provided that without the Participant’s consent, the vesting schedule shall not be less favorable to the Participant than the schedule under which the Award would have become vested or exercisable. For purposes of this Section 11.1(e), the Fair Market Value of any security shall be determined without regard to any vesting conditions that may apply to such security.</w:t>
      </w:r>
    </w:p>
    <w:p>
      <w:pPr>
        <w:spacing w:after="0" w:line="83" w:lineRule="exact"/>
        <w:rPr>
          <w:rFonts w:ascii="Times New Roman" w:cs="Times New Roman" w:eastAsia="Times New Roman" w:hAnsi="Times New Roman"/>
          <w:sz w:val="18"/>
          <w:szCs w:val="18"/>
          <w:color w:val="auto"/>
        </w:rPr>
      </w:pPr>
    </w:p>
    <w:p>
      <w:pPr>
        <w:ind w:right="520" w:firstLine="1428"/>
        <w:spacing w:after="0" w:line="266" w:lineRule="auto"/>
        <w:tabs>
          <w:tab w:leader="none" w:pos="165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in its entirety of any outstanding Award, without payment of any consideration, that is not exercised in accordance with its terms upon or prior to consummation of the transactions contemplated by the Acquisition or Other Combination within a time specified by the Committee, in its discretion, for such exercise, whether or not such Award is then fully exercisable.</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Immediately following an Acquisition or Other Combination, outstanding Awards shall terminate and cease to be outstanding, except to the extent such Awards, have been continued, assumed or substituted, as described in Sections 11.1(a), (b) and/or (c).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434" w:name="page435"/>
    <w:bookmarkEnd w:id="434"/>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 </w:t>
      </w:r>
      <w:r>
        <w:rPr>
          <w:rFonts w:ascii="Times New Roman" w:cs="Times New Roman" w:eastAsia="Times New Roman" w:hAnsi="Times New Roman"/>
          <w:sz w:val="18"/>
          <w:szCs w:val="18"/>
          <w:b w:val="1"/>
          <w:bCs w:val="1"/>
          <w:u w:val="single" w:color="auto"/>
          <w:color w:val="auto"/>
        </w:rPr>
        <w:t>Substitution or Assumption of Awards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from time to time, also may substitute or assume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awards granted by another entity, whether in connection with an acquisition of such other entity or otherwise, by either (a) granting an Award 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entity had applied the rules of this Plan to such grant. In the event the Company assumes an award granted by another entity, the terms and conditions of such award will remain unchanged (except that the exercise price and the number and nature of shares issuable upon exercise of any such option or stock appreciation right, or any award that is subject to Section 409A of the Code, will be adjusted appropriately pursuant to Section 424(a) and Section 409A of the Code). In the event the Company elects to grant a new Option or SAR in substitution for and rather than assuming an existing option or stock appreciation right, such new Option or SAR may be granted with a similarly adjusted Exercise Price and number of underlying Shares and such other changes approved by the Committee, subject to the consent of the Participant.</w:t>
      </w:r>
    </w:p>
    <w:p>
      <w:pPr>
        <w:spacing w:after="0" w:line="182" w:lineRule="exact"/>
        <w:rPr>
          <w:sz w:val="20"/>
          <w:szCs w:val="20"/>
          <w:color w:val="auto"/>
        </w:rPr>
      </w:pPr>
    </w:p>
    <w:p>
      <w:pPr>
        <w:ind w:left="700" w:hanging="264"/>
        <w:spacing w:after="0"/>
        <w:tabs>
          <w:tab w:leader="none" w:pos="700" w:val="left"/>
        </w:tabs>
        <w:numPr>
          <w:ilvl w:val="0"/>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will be administered by the Committee. Subject to the general purposes,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to the direction of the Board, the Committee will have full power to implement and carry out this Plan. Without limitation, the Committee will have the authority to:</w:t>
      </w:r>
    </w:p>
    <w:p>
      <w:pPr>
        <w:spacing w:after="0" w:line="67" w:lineRule="exact"/>
        <w:rPr>
          <w:sz w:val="20"/>
          <w:szCs w:val="20"/>
          <w:color w:val="auto"/>
        </w:rPr>
      </w:pPr>
    </w:p>
    <w:p>
      <w:pPr>
        <w:ind w:left="1680" w:hanging="252"/>
        <w:spacing w:after="0"/>
        <w:tabs>
          <w:tab w:leader="none" w:pos="16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this Plan, any Award Agreement and any other agreement or document executed pursuant to this Plan;</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expand, modify and rescind or terminate rules and regulations relating to this Plan;</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persons to receive Awards;</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form and terms of Awards;</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or other consideration subject to Awards granted under this Plan;</w:t>
      </w:r>
    </w:p>
    <w:p>
      <w:pPr>
        <w:spacing w:after="0" w:line="117" w:lineRule="exact"/>
        <w:rPr>
          <w:rFonts w:ascii="Times New Roman" w:cs="Times New Roman" w:eastAsia="Times New Roman" w:hAnsi="Times New Roman"/>
          <w:sz w:val="18"/>
          <w:szCs w:val="18"/>
          <w:color w:val="auto"/>
        </w:rPr>
      </w:pPr>
    </w:p>
    <w:p>
      <w:pPr>
        <w:ind w:right="500" w:firstLine="1428"/>
        <w:spacing w:after="0" w:line="282" w:lineRule="auto"/>
        <w:tabs>
          <w:tab w:leader="none" w:pos="1657"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53" w:lineRule="exact"/>
        <w:rPr>
          <w:rFonts w:ascii="Times New Roman" w:cs="Times New Roman" w:eastAsia="Times New Roman" w:hAnsi="Times New Roman"/>
          <w:sz w:val="18"/>
          <w:szCs w:val="18"/>
          <w:color w:val="auto"/>
        </w:rPr>
      </w:pPr>
    </w:p>
    <w:p>
      <w:pPr>
        <w:jc w:val="both"/>
        <w:ind w:right="160" w:firstLine="1428"/>
        <w:spacing w:after="0" w:line="312" w:lineRule="auto"/>
        <w:tabs>
          <w:tab w:leader="none" w:pos="1687"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31" w:lineRule="exact"/>
        <w:rPr>
          <w:rFonts w:ascii="Times New Roman" w:cs="Times New Roman" w:eastAsia="Times New Roman" w:hAnsi="Times New Roman"/>
          <w:sz w:val="17"/>
          <w:szCs w:val="17"/>
          <w:color w:val="auto"/>
        </w:rPr>
      </w:pPr>
    </w:p>
    <w:p>
      <w:pPr>
        <w:ind w:left="1680" w:hanging="252"/>
        <w:spacing w:after="0"/>
        <w:tabs>
          <w:tab w:leader="none" w:pos="16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waivers of any conditions of this Plan or any Award;</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of vesting, exercisability, settlement and payment of Awards to be granted pursuant to this Plan;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6" w:right="499" w:bottom="1440" w:gutter="0" w:footer="0" w:header="0"/>
        </w:sectPr>
      </w:pPr>
    </w:p>
    <w:bookmarkStart w:id="435" w:name="page436"/>
    <w:bookmarkEnd w:id="435"/>
    <w:p>
      <w:pPr>
        <w:ind w:left="1640" w:hanging="212"/>
        <w:spacing w:after="0"/>
        <w:tabs>
          <w:tab w:leader="none" w:pos="16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correct any defect, supply any omission, or reconcile any inconsistency in this Plan, any Award, any Award Agreement or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Agreement;</w:t>
      </w:r>
    </w:p>
    <w:p>
      <w:pPr>
        <w:spacing w:after="0" w:line="98"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 Award has vested or become exercisable;</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vesting period beyond a Participant’s Termination Date;</w:t>
      </w:r>
    </w:p>
    <w:p>
      <w:pPr>
        <w:spacing w:after="0" w:line="117" w:lineRule="exact"/>
        <w:rPr>
          <w:rFonts w:ascii="Times New Roman" w:cs="Times New Roman" w:eastAsia="Times New Roman" w:hAnsi="Times New Roman"/>
          <w:sz w:val="18"/>
          <w:szCs w:val="18"/>
          <w:color w:val="auto"/>
        </w:rPr>
      </w:pPr>
    </w:p>
    <w:p>
      <w:pPr>
        <w:ind w:right="1060" w:firstLine="1428"/>
        <w:spacing w:after="0" w:line="282" w:lineRule="auto"/>
        <w:tabs>
          <w:tab w:leader="none" w:pos="1737"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rules and/or procedures (including the adoption of any subplan under this Plan) relating to the operation and administration of the Plan to accommodate or facilitate requirements of local law and procedures outside of the United States;</w:t>
      </w:r>
    </w:p>
    <w:p>
      <w:pPr>
        <w:spacing w:after="0" w:line="53" w:lineRule="exact"/>
        <w:rPr>
          <w:rFonts w:ascii="Times New Roman" w:cs="Times New Roman" w:eastAsia="Times New Roman" w:hAnsi="Times New Roman"/>
          <w:sz w:val="18"/>
          <w:szCs w:val="18"/>
          <w:color w:val="auto"/>
        </w:rPr>
      </w:pPr>
    </w:p>
    <w:p>
      <w:pPr>
        <w:ind w:right="200" w:firstLine="1428"/>
        <w:spacing w:after="0" w:line="282" w:lineRule="auto"/>
        <w:tabs>
          <w:tab w:leader="none" w:pos="1687"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any of the foregoing to a subcommittee consisting of one or more directors or executive officers pursuant to a specific delegation as may otherwise be permitted by applicable law;</w:t>
      </w:r>
    </w:p>
    <w:p>
      <w:pPr>
        <w:spacing w:after="0" w:line="53" w:lineRule="exact"/>
        <w:rPr>
          <w:rFonts w:ascii="Times New Roman" w:cs="Times New Roman" w:eastAsia="Times New Roman" w:hAnsi="Times New Roman"/>
          <w:sz w:val="18"/>
          <w:szCs w:val="18"/>
          <w:color w:val="auto"/>
        </w:rPr>
      </w:pPr>
    </w:p>
    <w:p>
      <w:pPr>
        <w:ind w:right="400" w:firstLine="1428"/>
        <w:spacing w:after="0" w:line="282" w:lineRule="auto"/>
        <w:tabs>
          <w:tab w:leader="none" w:pos="1687"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vesting schedule of Awards under the Plan prospectively in the event that the Participant’s service status changes between full and part time status in accordance with Company policies relating to work schedules and vesting of Awards; and</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determinations necessary or advisable in connection with the administration of this Plan.</w:t>
      </w:r>
    </w:p>
    <w:p>
      <w:pPr>
        <w:spacing w:after="0" w:line="113"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b w:val="1"/>
          <w:bCs w:val="1"/>
          <w:u w:val="single" w:color="auto"/>
          <w:color w:val="auto"/>
        </w:rPr>
        <w:t>Standalone, Tandem and Substitute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granted under the Plan may, in the sole discretion of the Committee,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either alone or in addition to, in tandem with, or in substitution for, any other Award granted under the Plan. Awards granted in addition to or in tandem with other Awards may be granted either at the same time as or at a different time from the grant of such other Awards.</w:t>
      </w:r>
    </w:p>
    <w:p>
      <w:pPr>
        <w:spacing w:after="0" w:line="6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b w:val="1"/>
          <w:bCs w:val="1"/>
          <w:u w:val="single" w:color="auto"/>
          <w:color w:val="auto"/>
        </w:rPr>
        <w:t>Committee Composition and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delegate full administrative authority over the Plan and Awards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consisting of at least one member of the Board (or such greater number as may then be required by applicable law). Unless in contravention of any express terms of this Plan or Award, any determination made by the Committee with respect to any Award will be made in its sole discretion either (a) 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directors or officers of the Company the authority to grant an Award under this Plan.</w:t>
      </w:r>
    </w:p>
    <w:p>
      <w:pPr>
        <w:spacing w:after="0" w:line="74"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b w:val="1"/>
          <w:bCs w:val="1"/>
          <w:u w:val="single" w:color="auto"/>
          <w:color w:val="auto"/>
        </w:rPr>
        <w:t>Nonexclusivity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adoption of this Plan by the Board, the submission of this Plan to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68"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all agreements hereunder shall be governed by and construed in accordance with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California, without giving effect to that body of laws pertaining to conflict of laws.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436" w:name="page437"/>
    <w:bookmarkEnd w:id="436"/>
    <w:p>
      <w:pPr>
        <w:ind w:left="704" w:hanging="264"/>
        <w:spacing w:after="0"/>
        <w:tabs>
          <w:tab w:leader="none" w:pos="704" w:val="left"/>
        </w:tabs>
        <w:numPr>
          <w:ilvl w:val="0"/>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EFFECTIVENESS, AMENDMENT AND TERMINATION OF THE PLAN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13.1 </w:t>
      </w:r>
      <w:r>
        <w:rPr>
          <w:rFonts w:ascii="Times New Roman" w:cs="Times New Roman" w:eastAsia="Times New Roman" w:hAnsi="Times New Roman"/>
          <w:sz w:val="17"/>
          <w:szCs w:val="17"/>
          <w:b w:val="1"/>
          <w:bCs w:val="1"/>
          <w:u w:val="single" w:color="auto"/>
          <w:color w:val="auto"/>
        </w:rPr>
        <w:t>Adoption and Stockholder Approval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Plan will become effective on the date that it is adopted by the Board (the “</w:t>
      </w:r>
      <w:r>
        <w:rPr>
          <w:rFonts w:ascii="Times New Roman" w:cs="Times New Roman" w:eastAsia="Times New Roman" w:hAnsi="Times New Roman"/>
          <w:sz w:val="17"/>
          <w:szCs w:val="17"/>
          <w:b w:val="1"/>
          <w:bCs w:val="1"/>
          <w:i w:val="1"/>
          <w:iCs w:val="1"/>
          <w:color w:val="auto"/>
        </w:rPr>
        <w:t>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Date</w:t>
      </w:r>
      <w:r>
        <w:rPr>
          <w:rFonts w:ascii="Times New Roman" w:cs="Times New Roman" w:eastAsia="Times New Roman" w:hAnsi="Times New Roman"/>
          <w:sz w:val="17"/>
          <w:szCs w:val="17"/>
          <w:color w:val="auto"/>
        </w:rPr>
        <w:t>”). This Plan will be approved by the stockholders of the Company (excluding Shares issued pursuant to this Plan), consistent with applicable laws,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within twelve (12) months before or after the Effective Date. Upon the Effective Date, the Committee may grant Awards pursuant to this Plan; </w:t>
      </w:r>
      <w:r>
        <w:rPr>
          <w:rFonts w:ascii="Times New Roman" w:cs="Times New Roman" w:eastAsia="Times New Roman" w:hAnsi="Times New Roman"/>
          <w:sz w:val="17"/>
          <w:szCs w:val="17"/>
          <w:i w:val="1"/>
          <w:iCs w:val="1"/>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u w:val="single" w:color="auto"/>
          <w:color w:val="auto"/>
        </w:rPr>
        <w:t>however</w:t>
      </w:r>
      <w:r>
        <w:rPr>
          <w:rFonts w:ascii="Times New Roman" w:cs="Times New Roman" w:eastAsia="Times New Roman" w:hAnsi="Times New Roman"/>
          <w:sz w:val="17"/>
          <w:szCs w:val="17"/>
          <w:color w:val="auto"/>
        </w:rPr>
        <w:t>, that: (a) no Option or SAR may be exercised prior to initial stockholder approval of this Plan; (b) no Option or SAR granted pursuant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in the number of Shares approved by the Board shall be exercised prior to the time such increase has been approved by the stockholders of the Company; (c)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(d)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6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b w:val="1"/>
          <w:bCs w:val="1"/>
          <w:u w:val="single" w:color="auto"/>
          <w:color w:val="auto"/>
        </w:rPr>
        <w:t>Term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earlier terminated as provided herein, this Plan will automatically terminate ten (10) years after the Effective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95" w:lineRule="exact"/>
        <w:rPr>
          <w:sz w:val="20"/>
          <w:szCs w:val="20"/>
          <w:color w:val="auto"/>
        </w:rPr>
      </w:pPr>
    </w:p>
    <w:p>
      <w:pPr>
        <w:ind w:left="4" w:right="160" w:firstLine="991"/>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b w:val="1"/>
          <w:bCs w:val="1"/>
          <w:u w:val="single" w:color="auto"/>
          <w:color w:val="auto"/>
        </w:rPr>
        <w:t>Amendment or Termination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4.9 hereof, the Board may at any time (a) terminate or amend this Plan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respect, including without limitation amendment of any form of Award Agreement or instrument to be executed pursuant to this Plan and</w:t>
      </w:r>
    </w:p>
    <w:p>
      <w:pPr>
        <w:spacing w:after="0" w:line="1" w:lineRule="exact"/>
        <w:rPr>
          <w:sz w:val="20"/>
          <w:szCs w:val="20"/>
          <w:color w:val="auto"/>
        </w:rPr>
      </w:pPr>
    </w:p>
    <w:p>
      <w:pPr>
        <w:ind w:left="4" w:right="200" w:hanging="4"/>
        <w:spacing w:after="0" w:line="253" w:lineRule="auto"/>
        <w:tabs>
          <w:tab w:leader="none" w:pos="259"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terminate any and all outstanding Options, SARs or RSUs upon a dissolution or liquidation of the Company, followed by the payment of creditors and the distribution of any remaining funds to the Company’s stockholders;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Board will not, without the approval of the stockholders of the Company, amend this Plan in any manner that requires such stockholder approval pursuant to Section 25102(o) or pursuant to the Code or the regulations promulgated under the Code as such provisions apply to ISO plans. The termination of the Plan, or any amendment thereof, shall not affect any Share previously issued or any Award previously granted under the Plan.</w:t>
      </w:r>
    </w:p>
    <w:p>
      <w:pPr>
        <w:spacing w:after="0" w:line="183" w:lineRule="exact"/>
        <w:rPr>
          <w:sz w:val="20"/>
          <w:szCs w:val="20"/>
          <w:color w:val="auto"/>
        </w:rPr>
      </w:pPr>
    </w:p>
    <w:p>
      <w:pPr>
        <w:ind w:left="984" w:right="2960" w:hanging="544"/>
        <w:spacing w:after="0" w:line="377" w:lineRule="auto"/>
        <w:tabs>
          <w:tab w:leader="none" w:pos="703"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all purposes of this Plan, the following terms will have the following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for purposes of Section 11, means:</w:t>
      </w:r>
    </w:p>
    <w:p>
      <w:pPr>
        <w:spacing w:after="0" w:line="1" w:lineRule="exact"/>
        <w:rPr>
          <w:rFonts w:ascii="Times New Roman" w:cs="Times New Roman" w:eastAsia="Times New Roman" w:hAnsi="Times New Roman"/>
          <w:sz w:val="18"/>
          <w:szCs w:val="18"/>
          <w:b w:val="1"/>
          <w:bCs w:val="1"/>
          <w:color w:val="auto"/>
        </w:rPr>
      </w:pPr>
    </w:p>
    <w:p>
      <w:pPr>
        <w:jc w:val="both"/>
        <w:ind w:left="4" w:firstLine="1428"/>
        <w:spacing w:after="0" w:line="258" w:lineRule="auto"/>
        <w:tabs>
          <w:tab w:leader="none" w:pos="1681"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66" w:right="499" w:bottom="1440" w:gutter="0" w:footer="0" w:header="0"/>
        </w:sectPr>
      </w:pPr>
    </w:p>
    <w:bookmarkStart w:id="437" w:name="page438"/>
    <w:bookmarkEnd w:id="437"/>
    <w:p>
      <w:pPr>
        <w:ind w:left="4" w:firstLine="1428"/>
        <w:spacing w:after="0" w:line="258" w:lineRule="auto"/>
        <w:tabs>
          <w:tab w:leader="none" w:pos="169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75" w:lineRule="exact"/>
        <w:rPr>
          <w:rFonts w:ascii="Times New Roman" w:cs="Times New Roman" w:eastAsia="Times New Roman" w:hAnsi="Times New Roman"/>
          <w:sz w:val="18"/>
          <w:szCs w:val="18"/>
          <w:color w:val="auto"/>
        </w:rPr>
      </w:pPr>
    </w:p>
    <w:p>
      <w:pPr>
        <w:ind w:left="4" w:right="60" w:firstLine="1428"/>
        <w:spacing w:after="0" w:line="258" w:lineRule="auto"/>
        <w:tabs>
          <w:tab w:leader="none" w:pos="168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w:t>
      </w:r>
    </w:p>
    <w:p>
      <w:pPr>
        <w:spacing w:after="0" w:line="183"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following transactions shall not constitute an “Acquisition”: (1) the closing of the Company’s first public offering pursuant to an effective registration statement filed under the Securities Act or (2) any transaction the sole purpose of which is to change the state of incorporation of the Company or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ind w:left="4" w:right="2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 specified person means a person that directly, or indirectly through one or more intermediaries, controls or is controlled by, or is under common control with, the person specified (where, for purposes of this definition, the term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xml:space="preserve"> (including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ind w:left="4" w:right="8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award pursuant to the terms and conditions of this Plan, including any Option, Restricted Stock Unit, Stock Appreciation Right or Restricted Stock Award.</w:t>
      </w:r>
    </w:p>
    <w:p>
      <w:pPr>
        <w:spacing w:after="0" w:line="155" w:lineRule="exact"/>
        <w:rPr>
          <w:sz w:val="20"/>
          <w:szCs w:val="20"/>
          <w:color w:val="auto"/>
        </w:rPr>
      </w:pPr>
    </w:p>
    <w:p>
      <w:pPr>
        <w:ind w:left="4" w:right="1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with respect to each Award, the executed written or electronic agreement between the Company and the Participant setting forth the terms and conditions of the Award as approved by the Committee. For purposes of the Plan, the Award Agreement may be accepted by a Participant via written, electronic or other means, subject to requirements under applicable law.</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 w:right="80" w:firstLine="991"/>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means Termination because of (a) Participant’s unauthorized misuse of the Company or a Parent or Subsidiary of the Company’s trade secrets or proprietary information, (b) Participant’s conviction of or plea of nolo contendere to a felony or a crime involving moral turpitude,</w:t>
      </w:r>
    </w:p>
    <w:p>
      <w:pPr>
        <w:spacing w:after="0" w:line="1" w:lineRule="exact"/>
        <w:rPr>
          <w:sz w:val="20"/>
          <w:szCs w:val="20"/>
          <w:color w:val="auto"/>
        </w:rPr>
      </w:pPr>
    </w:p>
    <w:p>
      <w:pPr>
        <w:ind w:left="4" w:right="100" w:hanging="4"/>
        <w:spacing w:after="0" w:line="255" w:lineRule="auto"/>
        <w:tabs>
          <w:tab w:leader="none" w:pos="24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committing an act of fraud against the Company or a Parent or Subsidiary of the Company or (d) Participant’s gross negligence or willful misconduct in the performance of his or her duties that has had or will have a material adverse effect on the Company or Parent or Subsidiary of the Company’ reputation or business.</w:t>
      </w:r>
    </w:p>
    <w:p>
      <w:pPr>
        <w:spacing w:after="0" w:line="1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4" w:right="7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committee created and appointed by the Board to administer this Plan, or if no committee is created and appointed, the Board.</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438" w:name="page439"/>
    <w:bookmarkEnd w:id="43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Maze Therapeutics, Inc., a Delaware corporation, or any successor corporation.</w:t>
      </w:r>
    </w:p>
    <w:p>
      <w:pPr>
        <w:spacing w:after="0" w:line="225"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Participant is unable to perform the duties of his or her customary position of employment by reason of any medically determinable physical or mental impairment that can be expected to result in death or that can be expected to last for a continuous period of not less than twelve (12) months. The Committee may require such medical or other evidence as it deems necessary to judge the nature and permanency of the Participant’s condition.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the price per Share at which a holder of an Option or a SAR may purchase Shares issuable upon exercise of the Option or the SAR.</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a Share determined as follows:</w:t>
      </w:r>
    </w:p>
    <w:p>
      <w:pPr>
        <w:spacing w:after="0" w:line="121" w:lineRule="exact"/>
        <w:rPr>
          <w:sz w:val="20"/>
          <w:szCs w:val="20"/>
          <w:color w:val="auto"/>
        </w:rPr>
      </w:pPr>
    </w:p>
    <w:p>
      <w:pPr>
        <w:ind w:right="480" w:firstLine="1428"/>
        <w:spacing w:after="0" w:line="282" w:lineRule="auto"/>
        <w:tabs>
          <w:tab w:leader="none" w:pos="167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Share is then publicly traded on a national securities exchange, its closing price on the date of determination on the principal national securities exchange on which the Share is listed or admitted to trading as reported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right="440" w:firstLine="1428"/>
        <w:spacing w:after="0" w:line="266" w:lineRule="auto"/>
        <w:tabs>
          <w:tab w:leader="none" w:pos="168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Share is publicly traded but is not listed or admitted to trading on a national securities exchange, the average of the closing bid and ask prices on the date of determination as reported by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(or as otherwise reported by any newspaper or other source as the Committee may determine); or</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none of the foregoing is applicable to the valuation in question, by the Committee in good faith.</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award of an option to purchase Shares pursuant to Section 4 of this Plan.</w:t>
      </w:r>
    </w:p>
    <w:p>
      <w:pPr>
        <w:spacing w:after="0" w:line="225"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Combination</w:t>
      </w:r>
      <w:r>
        <w:rPr>
          <w:rFonts w:ascii="Times New Roman" w:cs="Times New Roman" w:eastAsia="Times New Roman" w:hAnsi="Times New Roman"/>
          <w:sz w:val="18"/>
          <w:szCs w:val="18"/>
          <w:color w:val="auto"/>
        </w:rPr>
        <w:t xml:space="preserve">” for purposes of Section 11 means any (a) consolidation or merger in which the Company is a constituent entity and is not the surviving entity of such consolidation or merger or (b) any conversion of the Company into another form of entity;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such consolidation, merger or conversion does not constitute an Acquisition.</w:t>
      </w:r>
    </w:p>
    <w:p>
      <w:pPr>
        <w:spacing w:after="0" w:line="171"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 specified entity means, any entity that, either directly or indirectly, owns or controls such specified entity, where for this purpose,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the ownership of stock, securities or other interests that possess at least a majority of the voting power of such specified entity (including indirect ownership or control of such stock, securities or other interests).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who receives an Award under this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2019 Equity Incentive Plan, as amended from time to time.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means the price at which a Participant may purchase Restricted Stock pursuant to this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purchased pursuant to a Restricted Stock Award under this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Shares pursuant to Section 5 hereof.</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6" w:right="499" w:bottom="1440" w:gutter="0" w:footer="0" w:header="0"/>
        </w:sectPr>
      </w:pPr>
    </w:p>
    <w:bookmarkStart w:id="439" w:name="page440"/>
    <w:bookmarkEnd w:id="43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made pursuant to Section 6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701</w:t>
      </w:r>
      <w:r>
        <w:rPr>
          <w:rFonts w:ascii="Times New Roman" w:cs="Times New Roman" w:eastAsia="Times New Roman" w:hAnsi="Times New Roman"/>
          <w:sz w:val="18"/>
          <w:szCs w:val="18"/>
          <w:color w:val="auto"/>
        </w:rPr>
        <w:t xml:space="preserve">” means Rule 701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promulgated by the SEC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25102(o)</w:t>
      </w:r>
      <w:r>
        <w:rPr>
          <w:rFonts w:ascii="Times New Roman" w:cs="Times New Roman" w:eastAsia="Times New Roman" w:hAnsi="Times New Roman"/>
          <w:sz w:val="18"/>
          <w:szCs w:val="18"/>
          <w:color w:val="auto"/>
        </w:rPr>
        <w:t>” means Section 25102(o) of the California Corporations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the Company’s Common Stock, $0.001 par value per share, reserved for issuance under this Plan, as adjusted pursuant to Sections 2.2 and 11 hereof, and any successor security.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an award granted pursuant to Section 7 hereof.</w:t>
      </w:r>
    </w:p>
    <w:p>
      <w:pPr>
        <w:spacing w:after="0" w:line="225" w:lineRule="exact"/>
        <w:rPr>
          <w:sz w:val="20"/>
          <w:szCs w:val="20"/>
          <w:color w:val="auto"/>
        </w:rPr>
      </w:pPr>
    </w:p>
    <w:p>
      <w:pPr>
        <w:ind w:right="4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in an unbroken chain of entities beginning with the Company if each of the entities other than the last entity in the unbroken chain owns stock or other equity securities representing fifty percent (50%) or more of the total combined voting power of all classes of stock or other equity securities in one of the other entities in such chain.</w:t>
      </w:r>
    </w:p>
    <w:p>
      <w:pPr>
        <w:spacing w:after="0" w:line="171"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Terminated</w:t>
      </w:r>
      <w:r>
        <w:rPr>
          <w:rFonts w:ascii="Times New Roman" w:cs="Times New Roman" w:eastAsia="Times New Roman" w:hAnsi="Times New Roman"/>
          <w:sz w:val="18"/>
          <w:szCs w:val="18"/>
          <w:color w:val="auto"/>
        </w:rPr>
        <w:t>”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while the Participant is on a bona fide leave of absence, if such leave was approved by the Company in writing. In the case of an approved leave of absence, the Committee may make such provisions respecting crediting of service, including suspension of vesting of the Award (including pursuant to a formal policy adopted from time to time by the Company) it may deem appropriate. The Committee will have sole discretion to determine whether a Participant has ceased to provide services and the effective date on which the Participant ceased to provide services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 as defined in the Award Agreement for an Award.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 as defined in the Award Agreement for an Award.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 * *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440" w:name="page441"/>
    <w:bookmarkEnd w:id="44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GRANT NO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Optionee named below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has been granted an option (this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shares of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2019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on the terms, and subject to the conditions, described below and in the Stock Option Agreement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including its annexes (the “</w:t>
      </w:r>
      <w:r>
        <w:rPr>
          <w:rFonts w:ascii="Times New Roman" w:cs="Times New Roman" w:eastAsia="Times New Roman" w:hAnsi="Times New Roman"/>
          <w:sz w:val="18"/>
          <w:szCs w:val="18"/>
          <w:b w:val="1"/>
          <w:bCs w:val="1"/>
          <w:i w:val="1"/>
          <w:iCs w:val="1"/>
          <w:color w:val="auto"/>
        </w:rPr>
        <w:t>Stock Option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Maximum Number of Shares Subject to this Option</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b w:val="1"/>
          <w:bCs w:val="1"/>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Start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Option will become exercisable during its term with respect to portions of the Shares in accordance with the Vesting Schedule set forth below.</w:t>
      </w:r>
    </w:p>
    <w:p>
      <w:pPr>
        <w:spacing w:after="0" w:line="50" w:lineRule="exact"/>
        <w:rPr>
          <w:sz w:val="20"/>
          <w:szCs w:val="20"/>
          <w:color w:val="auto"/>
        </w:rPr>
      </w:pPr>
    </w:p>
    <w:p>
      <w:pPr>
        <w:sectPr>
          <w:pgSz w:w="11900" w:h="16838" w:orient="portrait"/>
          <w:cols w:equalWidth="0" w:num="2">
            <w:col w:w="3960" w:space="240"/>
            <w:col w:w="6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20" w:lineRule="exact"/>
        <w:rPr>
          <w:sz w:val="20"/>
          <w:szCs w:val="20"/>
          <w:color w:val="auto"/>
        </w:rPr>
      </w:pPr>
      <w:r>
        <w:rPr>
          <w:sz w:val="20"/>
          <w:szCs w:val="20"/>
          <w:color w:val="auto"/>
        </w:rPr>
        <w:br w:type="column"/>
      </w:r>
    </w:p>
    <w:p>
      <w:pPr>
        <w:ind w:right="140"/>
        <w:spacing w:after="0" w:line="282" w:lineRule="auto"/>
        <w:rPr>
          <w:sz w:val="20"/>
          <w:szCs w:val="20"/>
          <w:color w:val="auto"/>
        </w:rPr>
      </w:pPr>
      <w:r>
        <w:rPr>
          <w:rFonts w:ascii="Times New Roman" w:cs="Times New Roman" w:eastAsia="Times New Roman" w:hAnsi="Times New Roman"/>
          <w:sz w:val="18"/>
          <w:szCs w:val="18"/>
          <w:color w:val="auto"/>
        </w:rPr>
        <w:t>The date ten (10) years after the Date of Grant set forth above, subject to earlier expiration in the event of Termination as provided in Section 3 of the Stock Option Agreement.</w:t>
      </w:r>
    </w:p>
    <w:p>
      <w:pPr>
        <w:spacing w:after="0" w:line="50" w:lineRule="exact"/>
        <w:rPr>
          <w:sz w:val="20"/>
          <w:szCs w:val="20"/>
          <w:color w:val="auto"/>
        </w:rPr>
      </w:pPr>
    </w:p>
    <w:p>
      <w:pPr>
        <w:sectPr>
          <w:pgSz w:w="11900" w:h="16838" w:orient="portrait"/>
          <w:cols w:equalWidth="0" w:num="2">
            <w:col w:w="3480" w:space="720"/>
            <w:col w:w="682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Tax Status of Option: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Schedule:</w:t>
      </w:r>
    </w:p>
    <w:p>
      <w:pPr>
        <w:sectPr>
          <w:pgSz w:w="11900" w:h="16838" w:orient="portrait"/>
          <w:cols w:equalWidth="0" w:num="1">
            <w:col w:w="11020"/>
          </w:cols>
          <w:pgMar w:left="440" w:top="266" w:right="439" w:bottom="1440" w:gutter="0" w:footer="0" w:header="0"/>
          <w:type w:val="continuous"/>
        </w:sectPr>
      </w:pP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General; Agreement: </w:t>
      </w:r>
      <w:r>
        <w:rPr>
          <w:rFonts w:ascii="Times New Roman" w:cs="Times New Roman" w:eastAsia="Times New Roman" w:hAnsi="Times New Roman"/>
          <w:sz w:val="18"/>
          <w:szCs w:val="18"/>
          <w:color w:val="auto"/>
        </w:rPr>
        <w:t>By Optionee’s acceptance of this Option, Optionee and the Company agree that this Option is granted under and governed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Stock Option Grant (this “Grant Notice”)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acceptance of this Option,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 consequences upon exercise of the Option or disposition of the Shares and that Optionee should consult a tax adviser prior to such exercise or disposition.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8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Execution and Delivery: </w:t>
      </w:r>
      <w:r>
        <w:rPr>
          <w:rFonts w:ascii="Times New Roman" w:cs="Times New Roman" w:eastAsia="Times New Roman" w:hAnsi="Times New Roman"/>
          <w:sz w:val="18"/>
          <w:szCs w:val="18"/>
          <w:color w:val="auto"/>
        </w:rPr>
        <w:t>This Grant Notice may be executed and delivered electronically whether via the Company’s intranet or the Internet site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8"/>
          <w:szCs w:val="18"/>
          <w:b w:val="1"/>
          <w:bCs w:val="1"/>
          <w:i w:val="1"/>
          <w:iCs w:val="1"/>
          <w:color w:val="auto"/>
        </w:rPr>
        <w:t>701 Disclosures</w:t>
      </w:r>
      <w:r>
        <w:rPr>
          <w:rFonts w:ascii="Times New Roman" w:cs="Times New Roman" w:eastAsia="Times New Roman" w:hAnsi="Times New Roman"/>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color w:val="auto"/>
        </w:rPr>
        <w:t>: Exhibit A – Stock Option Agreement</w:t>
      </w:r>
    </w:p>
    <w:p>
      <w:pPr>
        <w:sectPr>
          <w:pgSz w:w="11900" w:h="16838" w:orient="portrait"/>
          <w:cols w:equalWidth="0" w:num="1">
            <w:col w:w="11020"/>
          </w:cols>
          <w:pgMar w:left="440" w:top="266" w:right="439" w:bottom="1440" w:gutter="0" w:footer="0" w:header="0"/>
          <w:type w:val="continuous"/>
        </w:sectPr>
      </w:pPr>
    </w:p>
    <w:bookmarkStart w:id="441" w:name="page442"/>
    <w:bookmarkEnd w:id="44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Option Agreement</w:t>
      </w:r>
    </w:p>
    <w:p>
      <w:pPr>
        <w:sectPr>
          <w:pgSz w:w="11900" w:h="16838" w:orient="portrait"/>
          <w:cols w:equalWidth="0" w:num="1">
            <w:col w:w="9019"/>
          </w:cols>
          <w:pgMar w:left="1440" w:top="266" w:right="1440" w:bottom="1440" w:gutter="0" w:footer="0" w:header="0"/>
        </w:sectPr>
      </w:pPr>
    </w:p>
    <w:bookmarkStart w:id="442" w:name="page443"/>
    <w:bookmarkEnd w:id="442"/>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This Stock Option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the date of grant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set forth on the Notice of Stock Option Grant attached as the facing page to this Agreement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by and between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optionee named on the Grant Notice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Capitalized terms not defined in this Agreement shall have the meaning ascribed to them in the Company’s 2019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or in the Grant Notice, as applicable.</w:t>
      </w:r>
    </w:p>
    <w:p>
      <w:pPr>
        <w:spacing w:after="0" w:line="179" w:lineRule="exact"/>
        <w:rPr>
          <w:sz w:val="20"/>
          <w:szCs w:val="20"/>
          <w:color w:val="auto"/>
        </w:rPr>
      </w:pPr>
    </w:p>
    <w:p>
      <w:pPr>
        <w:ind w:right="200" w:firstLine="436"/>
        <w:spacing w:after="0" w:line="257" w:lineRule="auto"/>
        <w:tabs>
          <w:tab w:leader="none" w:pos="62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OPTION. </w:t>
      </w:r>
      <w:r>
        <w:rPr>
          <w:rFonts w:ascii="Times New Roman" w:cs="Times New Roman" w:eastAsia="Times New Roman" w:hAnsi="Times New Roman"/>
          <w:sz w:val="18"/>
          <w:szCs w:val="18"/>
          <w:color w:val="auto"/>
        </w:rPr>
        <w:t>The Company hereby grants to Optionee an option (this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up to the total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of the Company,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set forth in the Grant Notice as the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the Exercise Price Per Share set forth in the Grant Notice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subject to all of the terms and conditions of the Grant Notice, this Agreement and the Plan. If designated as an Incentive Stock Option in the Grant Notice, this Option is intended to qualify as an incentive stock option (the “</w:t>
      </w:r>
      <w:r>
        <w:rPr>
          <w:rFonts w:ascii="Times New Roman" w:cs="Times New Roman" w:eastAsia="Times New Roman" w:hAnsi="Times New Roman"/>
          <w:sz w:val="18"/>
          <w:szCs w:val="18"/>
          <w:b w:val="1"/>
          <w:bCs w:val="1"/>
          <w:i w:val="1"/>
          <w:iCs w:val="1"/>
          <w:color w:val="auto"/>
        </w:rPr>
        <w:t>ISO</w:t>
      </w:r>
      <w:r>
        <w:rPr>
          <w:rFonts w:ascii="Times New Roman" w:cs="Times New Roman" w:eastAsia="Times New Roman" w:hAnsi="Times New Roman"/>
          <w:sz w:val="18"/>
          <w:szCs w:val="18"/>
          <w:color w:val="auto"/>
        </w:rPr>
        <w:t>”) within the meaning of Section 422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except that if on the Date of Grant Optionee is not subject to U.S. income tax, then this Option shall be a NQSO.</w:t>
      </w:r>
    </w:p>
    <w:p>
      <w:pPr>
        <w:spacing w:after="0" w:line="182"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PERIOD.</w:t>
      </w:r>
    </w:p>
    <w:p>
      <w:pPr>
        <w:spacing w:after="0" w:line="117"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Exercise Period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is considered to be “vested” with respect to any particular Shares when this Option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with respect to such Shares.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68" w:lineRule="exact"/>
        <w:rPr>
          <w:sz w:val="20"/>
          <w:szCs w:val="20"/>
          <w:color w:val="auto"/>
        </w:rPr>
      </w:pPr>
    </w:p>
    <w:p>
      <w:pPr>
        <w:ind w:right="2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Vesting of Option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with respect to which this Option is vested and exercisable at a given time pursuant to the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set forth in the Grant Notice are “</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Shares with respect to which this Option is not vested and exercisable at a given time pursuant to the Vesting Schedule set forth in the Grant Notice are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shall expire on the Expiration Date set forth in the Grant Notice or earlier as provided in Section 3 below.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 TERMINATION.</w:t>
      </w:r>
    </w:p>
    <w:p>
      <w:pPr>
        <w:spacing w:after="0" w:line="117"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Termination for Any Reason Except Death, Disability 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provided in subsection 3.2 in a case in which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dies within 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that it is exercisable with respect to Vested Shares on Optionee’s Termination Date, may be exercised by Optionee no later than three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months after Optionee’s Termination Date (but in no event may this Option be exercised after the Expiration Date).</w:t>
      </w:r>
    </w:p>
    <w:p>
      <w:pPr>
        <w:sectPr>
          <w:pgSz w:w="11900" w:h="16838" w:orient="portrait"/>
          <w:cols w:equalWidth="0" w:num="1">
            <w:col w:w="11020"/>
          </w:cols>
          <w:pgMar w:left="440" w:top="270" w:right="439" w:bottom="1440" w:gutter="0" w:footer="0" w:header="0"/>
        </w:sectPr>
      </w:pPr>
    </w:p>
    <w:bookmarkStart w:id="443" w:name="page444"/>
    <w:bookmarkEnd w:id="443"/>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b w:val="1"/>
          <w:bCs w:val="1"/>
          <w:u w:val="single" w:color="auto"/>
          <w:color w:val="auto"/>
        </w:rPr>
        <w:t>Termination Because of Death or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Terminated because of Optionee’s death or Disability (or if Optionee 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three (3) 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that it is exercisable with respect to Vested Shares on Optionee’s Termination Date, may be exercised by Optionee (or 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80"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Termination for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Terminated for Cause, then Optionee may exercise this Option, but only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71"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the Plan or this Agreement shall confer on Optionee any right to continue in the employ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 MANNER OF EXERCISE.</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Stock Option Exercise Notice and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exercise this Option, Optionee (or in the case of exercise after Optionee’s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incapacity, Optionee’s executor, administrator, heir or legatee, as the case may be) must provide an electronic notice (via ), or deliver to the Company an executed Stock Option Exercise Notice and Agreement in the form attached hereto as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or in such other form as may be approved by the Committee from time to time (the “</w:t>
      </w:r>
      <w:r>
        <w:rPr>
          <w:rFonts w:ascii="Times New Roman" w:cs="Times New Roman" w:eastAsia="Times New Roman" w:hAnsi="Times New Roman"/>
          <w:sz w:val="18"/>
          <w:szCs w:val="18"/>
          <w:b w:val="1"/>
          <w:bCs w:val="1"/>
          <w:i w:val="1"/>
          <w:iCs w:val="1"/>
          <w:color w:val="auto"/>
        </w:rPr>
        <w:t>Exercise Agreement</w:t>
      </w:r>
      <w:r>
        <w:rPr>
          <w:rFonts w:ascii="Times New Roman" w:cs="Times New Roman" w:eastAsia="Times New Roman" w:hAnsi="Times New Roman"/>
          <w:sz w:val="18"/>
          <w:szCs w:val="18"/>
          <w:color w:val="auto"/>
        </w:rPr>
        <w:t>”) and payment for the shares being purchased in accordance with this Agreement. The Exercise Agreement shall set forth, among other things, (i) 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and (iv) any other agreements required by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77"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may not be exercised unless such exercise is in compliance with all applicable federal and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as they are in effect on the date of exercise.</w:t>
      </w:r>
    </w:p>
    <w:p>
      <w:pPr>
        <w:spacing w:after="0" w:line="47" w:lineRule="exact"/>
        <w:rPr>
          <w:sz w:val="20"/>
          <w:szCs w:val="20"/>
          <w:color w:val="auto"/>
        </w:rPr>
      </w:pPr>
    </w:p>
    <w:p>
      <w:pPr>
        <w:ind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Agreement shall be accompanied by full payment of the Exercise Price for the shares being purchased in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check, Automated Clearing House (“</w:t>
      </w:r>
      <w:r>
        <w:rPr>
          <w:rFonts w:ascii="Times New Roman" w:cs="Times New Roman" w:eastAsia="Times New Roman" w:hAnsi="Times New Roman"/>
          <w:sz w:val="18"/>
          <w:szCs w:val="18"/>
          <w:b w:val="1"/>
          <w:bCs w:val="1"/>
          <w:i w:val="1"/>
          <w:iCs w:val="1"/>
          <w:color w:val="auto"/>
        </w:rPr>
        <w:t>ACH</w:t>
      </w:r>
      <w:r>
        <w:rPr>
          <w:rFonts w:ascii="Times New Roman" w:cs="Times New Roman" w:eastAsia="Times New Roman" w:hAnsi="Times New Roman"/>
          <w:sz w:val="18"/>
          <w:szCs w:val="18"/>
          <w:color w:val="auto"/>
        </w:rPr>
        <w:t>”) transfer, or wire transfer), or where permitted by law:</w:t>
      </w:r>
    </w:p>
    <w:p>
      <w:pPr>
        <w:spacing w:after="0" w:line="51" w:lineRule="exact"/>
        <w:rPr>
          <w:sz w:val="20"/>
          <w:szCs w:val="20"/>
          <w:color w:val="auto"/>
        </w:rPr>
      </w:pPr>
    </w:p>
    <w:p>
      <w:pPr>
        <w:ind w:left="5460" w:right="4460" w:hanging="4032"/>
        <w:spacing w:after="0" w:line="454" w:lineRule="auto"/>
        <w:tabs>
          <w:tab w:leader="none" w:pos="1674"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cancellation of indebtedness of the Company owed to Optionee; 3</w:t>
      </w:r>
    </w:p>
    <w:p>
      <w:pPr>
        <w:sectPr>
          <w:pgSz w:w="11900" w:h="16838" w:orient="portrait"/>
          <w:cols w:equalWidth="0" w:num="1">
            <w:col w:w="10980"/>
          </w:cols>
          <w:pgMar w:left="440" w:top="266" w:right="479" w:bottom="1440" w:gutter="0" w:footer="0" w:header="0"/>
        </w:sectPr>
      </w:pPr>
    </w:p>
    <w:bookmarkStart w:id="444" w:name="page445"/>
    <w:bookmarkEnd w:id="444"/>
    <w:p>
      <w:pPr>
        <w:ind w:left="4" w:right="340" w:firstLine="1428"/>
        <w:spacing w:after="0" w:line="261" w:lineRule="auto"/>
        <w:tabs>
          <w:tab w:leader="none" w:pos="169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7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a formal cashless exercise program implemented by the Committee in connection with the Plan;</w:t>
      </w:r>
    </w:p>
    <w:p>
      <w:pPr>
        <w:spacing w:after="0" w:line="117" w:lineRule="exact"/>
        <w:rPr>
          <w:rFonts w:ascii="Times New Roman" w:cs="Times New Roman" w:eastAsia="Times New Roman" w:hAnsi="Times New Roman"/>
          <w:sz w:val="18"/>
          <w:szCs w:val="18"/>
          <w:color w:val="auto"/>
        </w:rPr>
      </w:pPr>
    </w:p>
    <w:p>
      <w:pPr>
        <w:ind w:left="4" w:right="40" w:firstLine="1428"/>
        <w:spacing w:after="0" w:line="261" w:lineRule="auto"/>
        <w:tabs>
          <w:tab w:leader="none" w:pos="169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 public market for the Common Stock exists and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71" w:lineRule="exact"/>
        <w:rPr>
          <w:rFonts w:ascii="Times New Roman" w:cs="Times New Roman" w:eastAsia="Times New Roman" w:hAnsi="Times New Roman"/>
          <w:sz w:val="18"/>
          <w:szCs w:val="18"/>
          <w:color w:val="auto"/>
        </w:rPr>
      </w:pPr>
    </w:p>
    <w:p>
      <w:pPr>
        <w:ind w:left="4" w:right="760" w:firstLine="1428"/>
        <w:spacing w:after="0" w:line="282" w:lineRule="auto"/>
        <w:tabs>
          <w:tab w:leader="none" w:pos="168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foregoing or any other method of payment approved by the Committee that constitutes legal consideration for the issuance of Shares.</w:t>
      </w:r>
    </w:p>
    <w:p>
      <w:pPr>
        <w:spacing w:after="0" w:line="162"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For avoidance of uncertainty: ACH transfers that have been successfully received by the Company into its bank account designated via for receipt of such transfers shall be deemed to have been received for all purposes of this Option as of the date on which such transfers were initiated from the Optionee’s account and made irrevocable by Optionee.</w:t>
      </w:r>
    </w:p>
    <w:p>
      <w:pPr>
        <w:spacing w:after="0" w:line="64" w:lineRule="exact"/>
        <w:rPr>
          <w:sz w:val="20"/>
          <w:szCs w:val="20"/>
          <w:color w:val="auto"/>
        </w:rPr>
      </w:pPr>
    </w:p>
    <w:p>
      <w:pPr>
        <w:ind w:left="4" w:right="14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issuance of the Shares upon exercise of the Option, Optionee must pay or provide for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state and local withholding obligations of the Company. If the Committee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Optionee’s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w:t>
      </w:r>
    </w:p>
    <w:p>
      <w:pPr>
        <w:spacing w:after="0" w:line="75" w:lineRule="exact"/>
        <w:rPr>
          <w:sz w:val="20"/>
          <w:szCs w:val="20"/>
          <w:color w:val="auto"/>
        </w:rPr>
      </w:pPr>
    </w:p>
    <w:p>
      <w:pPr>
        <w:ind w:left="4" w:right="2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the Exercise Agreement and payment are in form and substance satisfactory to counsel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Company shall issue the Shares issuable upon a valid exercise of this Option registered in the name of Optionee, Optionee’s authorized assignee, or Optionee’s legal representative, and shall deliver electronic certificates via representing the Shares with the appropriate legends affixed thereto.</w:t>
      </w:r>
    </w:p>
    <w:p>
      <w:pPr>
        <w:spacing w:after="0" w:line="176" w:lineRule="exact"/>
        <w:rPr>
          <w:sz w:val="20"/>
          <w:szCs w:val="20"/>
          <w:color w:val="auto"/>
        </w:rPr>
      </w:pPr>
    </w:p>
    <w:p>
      <w:pPr>
        <w:ind w:left="624" w:hanging="184"/>
        <w:spacing w:after="0"/>
        <w:tabs>
          <w:tab w:leader="none" w:pos="624" w:val="left"/>
        </w:tabs>
        <w:numPr>
          <w:ilvl w:val="1"/>
          <w:numId w:val="3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COMPLIANCE WITH LAWS AND REGULATIONS. </w:t>
      </w:r>
      <w:r>
        <w:rPr>
          <w:rFonts w:ascii="Times New Roman" w:cs="Times New Roman" w:eastAsia="Times New Roman" w:hAnsi="Times New Roman"/>
          <w:sz w:val="17"/>
          <w:szCs w:val="17"/>
          <w:color w:val="auto"/>
        </w:rPr>
        <w:t>The Plan and this Agreement are intended to comply with Section 25102(o) and Rule</w:t>
      </w:r>
    </w:p>
    <w:p>
      <w:pPr>
        <w:spacing w:after="0" w:line="42" w:lineRule="exact"/>
        <w:rPr>
          <w:rFonts w:ascii="Times New Roman" w:cs="Times New Roman" w:eastAsia="Times New Roman" w:hAnsi="Times New Roman"/>
          <w:sz w:val="17"/>
          <w:szCs w:val="17"/>
          <w:b w:val="1"/>
          <w:bCs w:val="1"/>
          <w:color w:val="auto"/>
        </w:rPr>
      </w:pPr>
    </w:p>
    <w:p>
      <w:pPr>
        <w:ind w:left="4" w:hanging="4"/>
        <w:spacing w:after="0" w:line="252" w:lineRule="auto"/>
        <w:tabs>
          <w:tab w:leader="none" w:pos="36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445" w:name="page446"/>
    <w:bookmarkEnd w:id="445"/>
    <w:p>
      <w:pPr>
        <w:ind w:right="40" w:firstLine="436"/>
        <w:spacing w:after="0" w:line="259" w:lineRule="auto"/>
        <w:tabs>
          <w:tab w:leader="none" w:pos="62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NONTRANSFERABILITY OF OPTION. </w:t>
      </w:r>
      <w:r>
        <w:rPr>
          <w:rFonts w:ascii="Times New Roman" w:cs="Times New Roman" w:eastAsia="Times New Roman" w:hAnsi="Times New Roman"/>
          <w:sz w:val="18"/>
          <w:szCs w:val="18"/>
          <w:color w:val="auto"/>
        </w:rPr>
        <w:t>This Option may not be transferred in any manner other than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79"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w:t>
      </w:r>
    </w:p>
    <w:p>
      <w:pPr>
        <w:spacing w:after="0" w:line="117"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Disposition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hereby agrees that Optionee shall make no disposition of any of the Shares (other than as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unless and until:</w:t>
      </w:r>
    </w:p>
    <w:p>
      <w:pPr>
        <w:spacing w:after="0" w:line="51" w:lineRule="exact"/>
        <w:rPr>
          <w:sz w:val="20"/>
          <w:szCs w:val="20"/>
          <w:color w:val="auto"/>
        </w:rPr>
      </w:pPr>
    </w:p>
    <w:p>
      <w:pPr>
        <w:ind w:right="700" w:firstLine="1428"/>
        <w:spacing w:after="0" w:line="282" w:lineRule="auto"/>
        <w:tabs>
          <w:tab w:leader="none" w:pos="1677"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notified the Company of the proposed disposition and provided a written summary of the terms and conditions of the proposed disposition;</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complied with all requirements of this Agreement applicable to the disposition of the Shares;</w:t>
      </w:r>
    </w:p>
    <w:p>
      <w:pPr>
        <w:spacing w:after="0" w:line="117" w:lineRule="exact"/>
        <w:rPr>
          <w:rFonts w:ascii="Times New Roman" w:cs="Times New Roman" w:eastAsia="Times New Roman" w:hAnsi="Times New Roman"/>
          <w:sz w:val="18"/>
          <w:szCs w:val="18"/>
          <w:color w:val="auto"/>
        </w:rPr>
      </w:pPr>
    </w:p>
    <w:p>
      <w:pPr>
        <w:ind w:right="260" w:firstLine="1428"/>
        <w:spacing w:after="0" w:line="261" w:lineRule="auto"/>
        <w:tabs>
          <w:tab w:leader="none" w:pos="1677"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provided the Company with written assurances, in form and substance satisfactory to counsel for the Company, that (i) the proposed disposition does not require registration of the Shares under the Securities Act or under any 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71" w:lineRule="exact"/>
        <w:rPr>
          <w:rFonts w:ascii="Times New Roman" w:cs="Times New Roman" w:eastAsia="Times New Roman" w:hAnsi="Times New Roman"/>
          <w:sz w:val="18"/>
          <w:szCs w:val="18"/>
          <w:color w:val="auto"/>
        </w:rPr>
      </w:pPr>
    </w:p>
    <w:p>
      <w:pPr>
        <w:ind w:right="80" w:firstLine="1428"/>
        <w:spacing w:after="0" w:line="258" w:lineRule="auto"/>
        <w:tabs>
          <w:tab w:leader="none" w:pos="1687"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71" w:lineRule="exact"/>
        <w:rPr>
          <w:sz w:val="20"/>
          <w:szCs w:val="20"/>
          <w:color w:val="auto"/>
        </w:rPr>
      </w:pPr>
    </w:p>
    <w:p>
      <w:pPr>
        <w:ind w:right="4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Restriction on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shall not transfer, assign, grant a lien or security interest in, pledge, hypothecate, encumber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dispose of any of the Shares which are subject to the Company’s Right of First Refusal described below, except as permitted by this Agreement.</w:t>
      </w:r>
    </w:p>
    <w:p>
      <w:pPr>
        <w:spacing w:after="0" w:line="63"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7.3 </w:t>
      </w:r>
      <w:r>
        <w:rPr>
          <w:rFonts w:ascii="Times New Roman" w:cs="Times New Roman" w:eastAsia="Times New Roman" w:hAnsi="Times New Roman"/>
          <w:sz w:val="17"/>
          <w:szCs w:val="17"/>
          <w:b w:val="1"/>
          <w:bCs w:val="1"/>
          <w:u w:val="single" w:color="auto"/>
          <w:color w:val="auto"/>
        </w:rPr>
        <w:t>Transferee Obligations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person (other than the Company) to whom the Shares are transferred by means of one of the permitted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transfers specified in this Agreement must, as a condition precedent to the validity of such transfer, acknowledge in writing to the Company that such person is bound by the provisions of this Agreement and that the transferred Shares are subject to (i) the Company’s Right of First Refusal granted hereunder and (ii) the market stand-off provisions of Section 8 below, to the same extent such Shares would be so subject if retained by Optionee.</w:t>
      </w:r>
    </w:p>
    <w:p>
      <w:pPr>
        <w:spacing w:after="0" w:line="161" w:lineRule="exact"/>
        <w:rPr>
          <w:sz w:val="20"/>
          <w:szCs w:val="20"/>
          <w:color w:val="auto"/>
        </w:rPr>
      </w:pPr>
    </w:p>
    <w:p>
      <w:pPr>
        <w:ind w:firstLine="436"/>
        <w:spacing w:after="0" w:line="255" w:lineRule="auto"/>
        <w:tabs>
          <w:tab w:leader="none" w:pos="620"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MARKET STANDOFF AGREEMENT. </w:t>
      </w:r>
      <w:r>
        <w:rPr>
          <w:rFonts w:ascii="Times New Roman" w:cs="Times New Roman" w:eastAsia="Times New Roman" w:hAnsi="Times New Roman"/>
          <w:sz w:val="18"/>
          <w:szCs w:val="18"/>
          <w:color w:val="auto"/>
        </w:rPr>
        <w:t>Optionee agrees that, subject to any early release provisions that apply pro rata to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xml:space="preserve">”), directly or indirectly sell, offer to sell, grant any option for the sale of, or otherwise dispose of any Common Stock or securities convertible into Common Stock, </w:t>
      </w:r>
      <w:r>
        <w:rPr>
          <w:rFonts w:ascii="Times New Roman" w:cs="Times New Roman" w:eastAsia="Times New Roman" w:hAnsi="Times New Roman"/>
          <w:sz w:val="18"/>
          <w:szCs w:val="18"/>
          <w:u w:val="single" w:color="auto"/>
          <w:color w:val="auto"/>
        </w:rPr>
        <w:t>except for:</w:t>
      </w:r>
      <w:r>
        <w:rPr>
          <w:rFonts w:ascii="Times New Roman" w:cs="Times New Roman" w:eastAsia="Times New Roman" w:hAnsi="Times New Roman"/>
          <w:sz w:val="18"/>
          <w:szCs w:val="18"/>
          <w:color w:val="auto"/>
        </w:rPr>
        <w:t xml:space="preserve"> (i) transfers of Shares permitted under Section 9.6 hereof so long as such transferee furnishes to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446" w:name="page447"/>
    <w:bookmarkEnd w:id="446"/>
    <w:p>
      <w:pPr>
        <w:ind w:left="4" w:right="2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and the managing underwriter their written consent to be bound by this Section 8 as a condition precedent to such transfer; and (ii) 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88" w:lineRule="exact"/>
        <w:rPr>
          <w:sz w:val="20"/>
          <w:szCs w:val="20"/>
          <w:color w:val="auto"/>
        </w:rPr>
      </w:pPr>
    </w:p>
    <w:p>
      <w:pPr>
        <w:jc w:val="both"/>
        <w:ind w:left="4" w:right="100" w:firstLine="436"/>
        <w:spacing w:after="0" w:line="262" w:lineRule="auto"/>
        <w:tabs>
          <w:tab w:leader="none" w:pos="624"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COMPANY’S RIGHT OF FIRST REFUSAL. </w:t>
      </w:r>
      <w:r>
        <w:rPr>
          <w:rFonts w:ascii="Times New Roman" w:cs="Times New Roman" w:eastAsia="Times New Roman" w:hAnsi="Times New Roman"/>
          <w:sz w:val="18"/>
          <w:szCs w:val="18"/>
          <w:color w:val="auto"/>
        </w:rPr>
        <w:t>Before any Shares held by Optionee or any transferee of such Shares (either sometimes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referred to herein as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may be sold or otherwise transferred (including, without limitation, a transfer by gift or operation of law), the Company and/or its assignee(s) will have a right of first refusal to purchase the Shares to be sold or transferred (the “</w:t>
      </w:r>
      <w:r>
        <w:rPr>
          <w:rFonts w:ascii="Times New Roman" w:cs="Times New Roman" w:eastAsia="Times New Roman" w:hAnsi="Times New Roman"/>
          <w:sz w:val="18"/>
          <w:szCs w:val="18"/>
          <w:b w:val="1"/>
          <w:bCs w:val="1"/>
          <w:i w:val="1"/>
          <w:iCs w:val="1"/>
          <w:color w:val="auto"/>
        </w:rPr>
        <w:t>Offered Shares”</w:t>
      </w:r>
      <w:r>
        <w:rPr>
          <w:rFonts w:ascii="Times New Roman" w:cs="Times New Roman" w:eastAsia="Times New Roman" w:hAnsi="Times New Roman"/>
          <w:sz w:val="18"/>
          <w:szCs w:val="18"/>
          <w:color w:val="auto"/>
        </w:rPr>
        <w:t>) on the terms and conditions set forth in this Section (the “</w:t>
      </w:r>
      <w:r>
        <w:rPr>
          <w:rFonts w:ascii="Times New Roman" w:cs="Times New Roman" w:eastAsia="Times New Roman" w:hAnsi="Times New Roman"/>
          <w:sz w:val="18"/>
          <w:szCs w:val="18"/>
          <w:b w:val="1"/>
          <w:bCs w:val="1"/>
          <w:i w:val="1"/>
          <w:iCs w:val="1"/>
          <w:color w:val="auto"/>
        </w:rPr>
        <w:t>Right of First Refusal”</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Notice of Proposed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the Offered Shares will deliver to the Company a written notice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stating:</w:t>
      </w:r>
    </w:p>
    <w:p>
      <w:pPr>
        <w:spacing w:after="0" w:line="31" w:lineRule="exact"/>
        <w:rPr>
          <w:sz w:val="20"/>
          <w:szCs w:val="20"/>
          <w:color w:val="auto"/>
        </w:rPr>
      </w:pPr>
    </w:p>
    <w:p>
      <w:pPr>
        <w:ind w:left="4" w:hanging="4"/>
        <w:spacing w:after="0" w:line="253" w:lineRule="auto"/>
        <w:tabs>
          <w:tab w:leader="none" w:pos="21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bona fide intention to sell or otherwise transfer the Offered Shares; (ii) the name and address of each proposed purchaser or other transferee (the “</w:t>
      </w:r>
      <w:r>
        <w:rPr>
          <w:rFonts w:ascii="Times New Roman" w:cs="Times New Roman" w:eastAsia="Times New Roman" w:hAnsi="Times New Roman"/>
          <w:sz w:val="18"/>
          <w:szCs w:val="18"/>
          <w:b w:val="1"/>
          <w:bCs w:val="1"/>
          <w:i w:val="1"/>
          <w:iCs w:val="1"/>
          <w:color w:val="auto"/>
        </w:rPr>
        <w:t>Proposed Transferee”</w:t>
      </w:r>
      <w:r>
        <w:rPr>
          <w:rFonts w:ascii="Times New Roman" w:cs="Times New Roman" w:eastAsia="Times New Roman" w:hAnsi="Times New Roman"/>
          <w:sz w:val="18"/>
          <w:szCs w:val="18"/>
          <w:color w:val="auto"/>
        </w:rPr>
        <w:t>); (iii) the number of Offered Shares to be transferred to each Proposed Transferee; (iv) the bona fide cash price or other consideration for which the Holder proposes to transfer the Offered Shares (the “</w:t>
      </w:r>
      <w:r>
        <w:rPr>
          <w:rFonts w:ascii="Times New Roman" w:cs="Times New Roman" w:eastAsia="Times New Roman" w:hAnsi="Times New Roman"/>
          <w:sz w:val="18"/>
          <w:szCs w:val="18"/>
          <w:b w:val="1"/>
          <w:bCs w:val="1"/>
          <w:i w:val="1"/>
          <w:iCs w:val="1"/>
          <w:color w:val="auto"/>
        </w:rPr>
        <w:t>Offered Price”</w:t>
      </w:r>
      <w:r>
        <w:rPr>
          <w:rFonts w:ascii="Times New Roman" w:cs="Times New Roman" w:eastAsia="Times New Roman" w:hAnsi="Times New Roman"/>
          <w:sz w:val="18"/>
          <w:szCs w:val="18"/>
          <w:color w:val="auto"/>
        </w:rPr>
        <w:t>); and (v) that the Holder acknowledges this Notice is an offer to sell the Offered Shares to the Company and/or its assignee(s) pursuant to the Company’s Right of First Refusal at the Offered Price as provided for in this Agreement.</w:t>
      </w:r>
    </w:p>
    <w:p>
      <w:pPr>
        <w:spacing w:after="0" w:line="75"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Exercise of Right of First Refusal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within thirty (30) days after the date of the Notice, the Company and/or its assignee(s)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63" w:lineRule="exact"/>
        <w:rPr>
          <w:sz w:val="20"/>
          <w:szCs w:val="20"/>
          <w:color w:val="auto"/>
        </w:rPr>
      </w:pPr>
    </w:p>
    <w:p>
      <w:pPr>
        <w:ind w:left="4"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for the Offered Shares purchased under this Section will be the Offered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Price consists of no legal consideration (as, for example, in the case of a transfer by gift) then the purchase price will be the fair market value of the Offered Shares as determined in good faith by the Committee. If the Offered Price includes consideration other than cash, then the value of the non-cash consideration, as determined in good faith by the Committee, will conclusively be deemed to be the cash equivalent value of such non-cash consideration.</w:t>
      </w:r>
    </w:p>
    <w:p>
      <w:pPr>
        <w:spacing w:after="0" w:line="71" w:lineRule="exact"/>
        <w:rPr>
          <w:sz w:val="20"/>
          <w:szCs w:val="20"/>
          <w:color w:val="auto"/>
        </w:rPr>
      </w:pPr>
    </w:p>
    <w:p>
      <w:pPr>
        <w:ind w:left="4"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9.4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the purchase price for the Offered Shares will be payable, at the option of the Company and/or its assignee(s)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71" w:lineRule="exact"/>
        <w:rPr>
          <w:sz w:val="20"/>
          <w:szCs w:val="20"/>
          <w:color w:val="auto"/>
        </w:rPr>
      </w:pPr>
    </w:p>
    <w:p>
      <w:pPr>
        <w:ind w:left="4" w:right="1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9.5 </w:t>
      </w:r>
      <w:r>
        <w:rPr>
          <w:rFonts w:ascii="Times New Roman" w:cs="Times New Roman" w:eastAsia="Times New Roman" w:hAnsi="Times New Roman"/>
          <w:sz w:val="18"/>
          <w:szCs w:val="18"/>
          <w:b w:val="1"/>
          <w:bCs w:val="1"/>
          <w:u w:val="single" w:color="auto"/>
          <w:color w:val="auto"/>
        </w:rPr>
        <w:t>Holder’s Right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all of the Offered Shares proposed in the Notice to be transferred to a given Proposed Transferee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purchased by the Company and/or its assignee(s) as provided in this Section, then the Holder may sell or otherwise transfer such Offered Shares to each Proposed Transferee at the Offered Price or at a higher price,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447" w:name="page448"/>
    <w:bookmarkEnd w:id="447"/>
    <w:p>
      <w:pPr>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68"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9.6 </w:t>
      </w:r>
      <w:r>
        <w:rPr>
          <w:rFonts w:ascii="Times New Roman" w:cs="Times New Roman" w:eastAsia="Times New Roman" w:hAnsi="Times New Roman"/>
          <w:sz w:val="18"/>
          <w:szCs w:val="18"/>
          <w:b w:val="1"/>
          <w:bCs w:val="1"/>
          <w:u w:val="single" w:color="auto"/>
          <w:color w:val="auto"/>
        </w:rPr>
        <w:t>Exempt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in this Section, the following transfers of Shares will be exempt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 of First Refusal: (i) the transfer of any or all of the Shares during Optionee’s lifetime by gift or on Optionee’s death by will or intestacy to any member(s) of Optionee’s “Immediate Family” (as defined below) or to a trust for the benefit of Optionee and/or member(s) of Optionee’s Immediate Family,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each transferee or other recipient agrees in a writing satisfactory to the Company that the provisions of this Section will continue to apply to the transferred Shares in the hands of such transferee or other recipient; (ii) any transfer of Shares made pursuant to a statutory merger, statutory consolidation of the Company with or into another corporation or corporations or a conversion of the Company into another form of legal entity (except that the Right of First Refusal will continue to apply thereafter to such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Shares pursuant to the winding up and dissolution of the Company. As used herein, the term “</w:t>
      </w:r>
      <w:r>
        <w:rPr>
          <w:rFonts w:ascii="Times New Roman" w:cs="Times New Roman" w:eastAsia="Times New Roman" w:hAnsi="Times New Roman"/>
          <w:sz w:val="18"/>
          <w:szCs w:val="18"/>
          <w:b w:val="1"/>
          <w:bCs w:val="1"/>
          <w:i w:val="1"/>
          <w:iCs w:val="1"/>
          <w:color w:val="auto"/>
        </w:rPr>
        <w:t>Immediate Family”</w:t>
      </w:r>
      <w:r>
        <w:rPr>
          <w:rFonts w:ascii="Times New Roman" w:cs="Times New Roman" w:eastAsia="Times New Roman" w:hAnsi="Times New Roman"/>
          <w:sz w:val="18"/>
          <w:szCs w:val="18"/>
          <w:color w:val="auto"/>
        </w:rPr>
        <w:t xml:space="preserve">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Times New Roman" w:cs="Times New Roman" w:eastAsia="Times New Roman" w:hAnsi="Times New Roman"/>
          <w:sz w:val="18"/>
          <w:szCs w:val="18"/>
          <w:b w:val="1"/>
          <w:bCs w:val="1"/>
          <w:i w:val="1"/>
          <w:iCs w:val="1"/>
          <w:color w:val="auto"/>
        </w:rPr>
        <w:t>Spousal Equivalent”</w:t>
      </w:r>
      <w:r>
        <w:rPr>
          <w:rFonts w:ascii="Times New Roman" w:cs="Times New Roman" w:eastAsia="Times New Roman" w:hAnsi="Times New Roman"/>
          <w:sz w:val="18"/>
          <w:szCs w:val="18"/>
          <w:color w:val="auto"/>
        </w:rPr>
        <w:t xml:space="preserve"> provided the following circumstances are true: (i) 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w:t>
      </w:r>
    </w:p>
    <w:p>
      <w:pPr>
        <w:spacing w:after="0" w:line="2" w:lineRule="exact"/>
        <w:rPr>
          <w:sz w:val="20"/>
          <w:szCs w:val="20"/>
          <w:color w:val="auto"/>
        </w:rPr>
      </w:pPr>
    </w:p>
    <w:p>
      <w:pPr>
        <w:ind w:left="4" w:right="200" w:hanging="4"/>
        <w:spacing w:after="0" w:line="260" w:lineRule="auto"/>
        <w:tabs>
          <w:tab w:leader="none" w:pos="30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jointly responsible for each other’s common welfare and financial obligations, and (vii) they reside together in the same residence for the last twelve (12) months and intend to do so indefinitely.</w:t>
      </w:r>
    </w:p>
    <w:p>
      <w:pPr>
        <w:spacing w:after="0" w:line="69" w:lineRule="exact"/>
        <w:rPr>
          <w:sz w:val="20"/>
          <w:szCs w:val="20"/>
          <w:color w:val="auto"/>
        </w:rPr>
      </w:pPr>
    </w:p>
    <w:p>
      <w:pPr>
        <w:ind w:left="4" w:right="20" w:firstLine="99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9.7 </w:t>
      </w:r>
      <w:r>
        <w:rPr>
          <w:rFonts w:ascii="Times New Roman" w:cs="Times New Roman" w:eastAsia="Times New Roman" w:hAnsi="Times New Roman"/>
          <w:sz w:val="17"/>
          <w:szCs w:val="17"/>
          <w:b w:val="1"/>
          <w:bCs w:val="1"/>
          <w:u w:val="single" w:color="auto"/>
          <w:color w:val="auto"/>
        </w:rPr>
        <w:t>Termination of Right of First Refusal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Right of First Refusal will terminate as to all Shares: (i) on the effective date of the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or (iii) on any transfer or conversion of Shares made pursuant to a statutory conversion of the Company into another form of legal entity if the common equity (or comparable equity security) of entity resulting from such conversion is registered under the Exchange Act.</w:t>
      </w:r>
    </w:p>
    <w:p>
      <w:pPr>
        <w:spacing w:after="0" w:line="63" w:lineRule="exact"/>
        <w:rPr>
          <w:sz w:val="20"/>
          <w:szCs w:val="20"/>
          <w:color w:val="auto"/>
        </w:rPr>
      </w:pPr>
    </w:p>
    <w:p>
      <w:pPr>
        <w:ind w:left="4" w:right="1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9.8 </w:t>
      </w:r>
      <w:r>
        <w:rPr>
          <w:rFonts w:ascii="Times New Roman" w:cs="Times New Roman" w:eastAsia="Times New Roman" w:hAnsi="Times New Roman"/>
          <w:sz w:val="18"/>
          <w:szCs w:val="18"/>
          <w:b w:val="1"/>
          <w:bCs w:val="1"/>
          <w:u w:val="single" w:color="auto"/>
          <w:color w:val="auto"/>
        </w:rPr>
        <w:t>Encumbrances 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may grant a lien or security interest in, or pledge, hypothecate or encumber Shares only if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Shares after they are acquired by the Company and/or its assignees under this Section; and (ii) the provisions of this Agreement will continue to apply to such Shares in the hands of such party and any transferee of such party.</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448" w:name="page449"/>
    <w:bookmarkEnd w:id="448"/>
    <w:p>
      <w:pPr>
        <w:ind w:lef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9.9 </w:t>
      </w:r>
      <w:r>
        <w:rPr>
          <w:rFonts w:ascii="Times New Roman" w:cs="Times New Roman" w:eastAsia="Times New Roman" w:hAnsi="Times New Roman"/>
          <w:sz w:val="18"/>
          <w:szCs w:val="18"/>
          <w:b w:val="1"/>
          <w:bCs w:val="1"/>
          <w:u w:val="single" w:color="auto"/>
          <w:color w:val="auto"/>
        </w:rPr>
        <w:t>Effect of Company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or at any time hereafter becomes, a party to or otherwise bound by</w:t>
      </w:r>
    </w:p>
    <w:p>
      <w:pPr>
        <w:spacing w:after="0" w:line="31" w:lineRule="exact"/>
        <w:rPr>
          <w:sz w:val="20"/>
          <w:szCs w:val="20"/>
          <w:color w:val="auto"/>
        </w:rPr>
      </w:pPr>
    </w:p>
    <w:p>
      <w:pPr>
        <w:ind w:left="4" w:right="40" w:hanging="4"/>
        <w:spacing w:after="0" w:line="251" w:lineRule="auto"/>
        <w:tabs>
          <w:tab w:leader="none" w:pos="21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Amended and Restated Stockholders Agreement dated as of February 15, 2019 among the Company and certain stockholders of the Company, as such may be amended and/or restated from time to time, and/or (ii) any other agreement that is a successor to or replacement of such agreement (collectively, the “</w:t>
      </w:r>
      <w:r>
        <w:rPr>
          <w:rFonts w:ascii="Times New Roman" w:cs="Times New Roman" w:eastAsia="Times New Roman" w:hAnsi="Times New Roman"/>
          <w:sz w:val="18"/>
          <w:szCs w:val="18"/>
          <w:b w:val="1"/>
          <w:bCs w:val="1"/>
          <w:i w:val="1"/>
          <w:iCs w:val="1"/>
          <w:color w:val="auto"/>
        </w:rPr>
        <w:t>Company Stockholders Agreement</w:t>
      </w:r>
      <w:r>
        <w:rPr>
          <w:rFonts w:ascii="Times New Roman" w:cs="Times New Roman" w:eastAsia="Times New Roman" w:hAnsi="Times New Roman"/>
          <w:sz w:val="18"/>
          <w:szCs w:val="18"/>
          <w:color w:val="auto"/>
        </w:rPr>
        <w:t>”), then, in the event of any conflict or inconsistency between the provisions of Section 8 hereof and/or this Section 9 and any provisions in the Company Stockholders Agreement granting the Company and/or other security holders of the Company rights of first refusal and/or co-sale rights with respect to any or all of the Shares or imposing market stand-off restrictions, Optionee agrees with the Company that the terms and conditions of the Company Stockholders Agreement shall apply, govern, supersede and prevail over (and in lieu of) the provisions of Section 8 hereof and/or of this Section 9 (as applicable) so long as the Company Stockholders Agreement is in effect and Optionee is a party to or bound thereby. If the Company Stockholders Agreement is no longer in effect or if Optionee is not a party to or bound thereby, then the provisions of this Section 9 shall apply in full force and effect until termination of the Right of First Refusal and the provisions of Section 8 hereof shall apply in full force and effect in accordance with its terms.</w:t>
      </w:r>
    </w:p>
    <w:p>
      <w:pPr>
        <w:spacing w:after="0" w:line="188" w:lineRule="exact"/>
        <w:rPr>
          <w:rFonts w:ascii="Times New Roman" w:cs="Times New Roman" w:eastAsia="Times New Roman" w:hAnsi="Times New Roman"/>
          <w:sz w:val="18"/>
          <w:szCs w:val="18"/>
          <w:color w:val="auto"/>
        </w:rPr>
      </w:pPr>
    </w:p>
    <w:p>
      <w:pPr>
        <w:ind w:left="4" w:firstLine="436"/>
        <w:spacing w:after="0" w:line="256" w:lineRule="auto"/>
        <w:tabs>
          <w:tab w:leader="none" w:pos="714" w:val="left"/>
        </w:tabs>
        <w:numPr>
          <w:ilvl w:val="1"/>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AS A STOCKHOLDER. </w:t>
      </w:r>
      <w:r>
        <w:rPr>
          <w:rFonts w:ascii="Times New Roman" w:cs="Times New Roman" w:eastAsia="Times New Roman" w:hAnsi="Times New Roman"/>
          <w:sz w:val="18"/>
          <w:szCs w:val="18"/>
          <w:color w:val="auto"/>
        </w:rPr>
        <w:t>Optionee shall not have any of the rights of a stockholder with respect to any Shares unless and until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Right of First Refusal. Upon an exercise of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82" w:lineRule="exact"/>
        <w:rPr>
          <w:rFonts w:ascii="Times New Roman" w:cs="Times New Roman" w:eastAsia="Times New Roman" w:hAnsi="Times New Roman"/>
          <w:sz w:val="18"/>
          <w:szCs w:val="18"/>
          <w:b w:val="1"/>
          <w:bCs w:val="1"/>
          <w:color w:val="auto"/>
        </w:rPr>
      </w:pPr>
    </w:p>
    <w:p>
      <w:pPr>
        <w:ind w:left="4" w:firstLine="436"/>
        <w:spacing w:after="0" w:line="254" w:lineRule="auto"/>
        <w:tabs>
          <w:tab w:leader="none" w:pos="704" w:val="left"/>
        </w:tabs>
        <w:numPr>
          <w:ilvl w:val="1"/>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ESCROW. </w:t>
      </w:r>
      <w:r>
        <w:rPr>
          <w:rFonts w:ascii="Times New Roman" w:cs="Times New Roman" w:eastAsia="Times New Roman" w:hAnsi="Times New Roman"/>
          <w:sz w:val="18"/>
          <w:szCs w:val="18"/>
          <w:color w:val="auto"/>
        </w:rPr>
        <w:t>As security for Optionee’s faithful performance of this Agreement, Optionee agrees, immediately upon receipt of the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certificate(s) evidencing the Shares via , to deliver such certificate(s) to the Secretary of the Company or other designee of the Company (the “</w:t>
      </w:r>
      <w:r>
        <w:rPr>
          <w:rFonts w:ascii="Times New Roman" w:cs="Times New Roman" w:eastAsia="Times New Roman" w:hAnsi="Times New Roman"/>
          <w:sz w:val="18"/>
          <w:szCs w:val="18"/>
          <w:b w:val="1"/>
          <w:bCs w:val="1"/>
          <w:i w:val="1"/>
          <w:iCs w:val="1"/>
          <w:color w:val="auto"/>
        </w:rPr>
        <w:t>Escrow Holder</w:t>
      </w:r>
      <w:r>
        <w:rPr>
          <w:rFonts w:ascii="Times New Roman" w:cs="Times New Roman" w:eastAsia="Times New Roman" w:hAnsi="Times New Roman"/>
          <w:sz w:val="18"/>
          <w:szCs w:val="18"/>
          <w:color w:val="auto"/>
        </w:rPr>
        <w:t>”), who is hereby appointed to hold such certificate(s) in escrow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the Right of First Refusal.</w:t>
      </w:r>
    </w:p>
    <w:p>
      <w:pPr>
        <w:spacing w:after="0" w:line="188" w:lineRule="exact"/>
        <w:rPr>
          <w:rFonts w:ascii="Times New Roman" w:cs="Times New Roman" w:eastAsia="Times New Roman" w:hAnsi="Times New Roman"/>
          <w:sz w:val="18"/>
          <w:szCs w:val="18"/>
          <w:b w:val="1"/>
          <w:bCs w:val="1"/>
          <w:color w:val="auto"/>
        </w:rPr>
      </w:pPr>
    </w:p>
    <w:p>
      <w:pPr>
        <w:ind w:left="4" w:right="120" w:firstLine="436"/>
        <w:spacing w:after="0" w:line="256" w:lineRule="auto"/>
        <w:tabs>
          <w:tab w:leader="none" w:pos="714" w:val="left"/>
        </w:tabs>
        <w:numPr>
          <w:ilvl w:val="1"/>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material inducement and consideration for the Company to enter into this Agreement,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agrees that if, the Company requests Optionee to enter into and become a party to the Company Stockholders Agreement (and to subject the Shares to the rights of first refusal held by the Company and other Company investors thereunder and the co-sale rights of other investors thereunder, and pursuant to which Optionee would agree to vote all shares of Company stock held by Optionee for the election of directors and in favor of certain material transactions (such as mergers or sales of the Company)), then Optionee will enter into such agreement and execute and deliver signature pages thereto (as requested by the Company) in such capacities as the Company requests, at the time of exercising this Option and as a condition to such exercise or at any later time.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449" w:name="page450"/>
    <w:bookmarkEnd w:id="44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RESTRICTIVE LEGENDS AND STOP-TRANSFER ORDERS.</w:t>
      </w:r>
    </w:p>
    <w:p>
      <w:pPr>
        <w:spacing w:after="0" w:line="117" w:lineRule="exact"/>
        <w:rPr>
          <w:sz w:val="20"/>
          <w:szCs w:val="20"/>
          <w:color w:val="auto"/>
        </w:rPr>
      </w:pPr>
    </w:p>
    <w:p>
      <w:pPr>
        <w:ind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understands and agrees that the Company will place the legends set forth below or similar legends on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75" w:lineRule="exact"/>
        <w:rPr>
          <w:sz w:val="20"/>
          <w:szCs w:val="20"/>
          <w:color w:val="auto"/>
        </w:rPr>
      </w:pPr>
    </w:p>
    <w:p>
      <w:pPr>
        <w:ind w:firstLine="1428"/>
        <w:spacing w:after="0" w:line="254" w:lineRule="auto"/>
        <w:tabs>
          <w:tab w:leader="none" w:pos="167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83" w:lineRule="exact"/>
        <w:rPr>
          <w:rFonts w:ascii="Times New Roman" w:cs="Times New Roman" w:eastAsia="Times New Roman" w:hAnsi="Times New Roman"/>
          <w:sz w:val="18"/>
          <w:szCs w:val="18"/>
          <w:color w:val="auto"/>
        </w:rPr>
      </w:pPr>
    </w:p>
    <w:p>
      <w:pPr>
        <w:ind w:right="60" w:firstLine="1428"/>
        <w:spacing w:after="0" w:line="258" w:lineRule="auto"/>
        <w:tabs>
          <w:tab w:leader="none" w:pos="168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ARE SUBJECT TO CERTAIN RESTRICTIONS ON RESALE AND TRANSFER, INCLUDING THE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RIGHT OF FIRST REFUSAL, ARE BINDING ON TRANSFEREES OF THESE SHARES.</w:t>
      </w:r>
    </w:p>
    <w:p>
      <w:pPr>
        <w:spacing w:after="0" w:line="75" w:lineRule="exact"/>
        <w:rPr>
          <w:rFonts w:ascii="Times New Roman" w:cs="Times New Roman" w:eastAsia="Times New Roman" w:hAnsi="Times New Roman"/>
          <w:sz w:val="18"/>
          <w:szCs w:val="18"/>
          <w:color w:val="auto"/>
        </w:rPr>
      </w:pPr>
    </w:p>
    <w:p>
      <w:pPr>
        <w:ind w:right="40" w:firstLine="1428"/>
        <w:spacing w:after="0" w:line="258" w:lineRule="auto"/>
        <w:tabs>
          <w:tab w:leader="none" w:pos="167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AFTER THE EFFECTIVE DATE OF CERTAIN PUBLIC OFFERINGS OF THE COMMON STOCK OF THE ISSUER HEREOF. SUCH RESTRICTION IS BINDING ON TRANSFEREES OF THESE SHARES.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Optionee agrees that if Optionee becomes a party to the Company Stockholders Agreement, then Optionee agrees that the stock certificate(s) evidencing the Shares shall, in addition, bear any legends required under the Company Stockholders Agreement.</w:t>
      </w:r>
    </w:p>
    <w:p>
      <w:pPr>
        <w:spacing w:after="0" w:line="50" w:lineRule="exact"/>
        <w:rPr>
          <w:sz w:val="20"/>
          <w:szCs w:val="20"/>
          <w:color w:val="auto"/>
        </w:rPr>
      </w:pPr>
    </w:p>
    <w:p>
      <w:pPr>
        <w:ind w:right="3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b w:val="1"/>
          <w:bCs w:val="1"/>
          <w:u w:val="single" w:color="auto"/>
          <w:color w:val="auto"/>
        </w:rPr>
        <w:t>Stop-Transfer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agrees that, to ensure compliance with the restrictions imposed by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issue appropriate “stop-transfer” instructions to its transfer agent, if any, and if the Company transfers its own securities, it may make appropriate notations to the same effect in its own records.</w:t>
      </w:r>
    </w:p>
    <w:p>
      <w:pPr>
        <w:spacing w:after="0" w:line="63"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b w:val="1"/>
          <w:bCs w:val="1"/>
          <w:u w:val="single" w:color="auto"/>
          <w:color w:val="auto"/>
        </w:rPr>
        <w:t>Refusal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not be required (i) to transfer on its books any Shares that have been sold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in violation of any of the provisions of this Agreement or (ii) to treat as owner of such Shares, or to accord the right to vote or pay dividends to any purchaser or other transferee to whom such Shares have been so transferred.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450" w:name="page451"/>
    <w:bookmarkEnd w:id="450"/>
    <w:p>
      <w:pPr>
        <w:ind w:right="120" w:firstLine="436"/>
        <w:spacing w:after="0" w:line="262" w:lineRule="auto"/>
        <w:tabs>
          <w:tab w:leader="none" w:pos="71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CERTAIN TAX CONSEQUENCES. </w:t>
      </w:r>
      <w:r>
        <w:rPr>
          <w:rFonts w:ascii="Times New Roman" w:cs="Times New Roman" w:eastAsia="Times New Roman" w:hAnsi="Times New Roman"/>
          <w:sz w:val="18"/>
          <w:szCs w:val="18"/>
          <w:color w:val="auto"/>
        </w:rPr>
        <w:t>Set forth below is a brief summary as of the Effective Date of the Plan of some of the federal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exercise of the Option and disposition of the Shares. THIS SUMMARY IS NECESSARILY INCOMPLETE, AND THE TAX LAWS AND REGULATIONS ARE SUBJECT TO CHANGE. OPTIONEE SHOULD CONSULT A TAX ADVISER BEFORE EXERCISING THE OPTION OR DISPOSING OF THE SHARES.</w:t>
      </w:r>
    </w:p>
    <w:p>
      <w:pPr>
        <w:spacing w:after="0" w:line="68" w:lineRule="exact"/>
        <w:rPr>
          <w:sz w:val="20"/>
          <w:szCs w:val="20"/>
          <w:color w:val="auto"/>
        </w:rPr>
      </w:pPr>
    </w:p>
    <w:p>
      <w:pPr>
        <w:ind w:right="52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14.1 </w:t>
      </w:r>
      <w:r>
        <w:rPr>
          <w:rFonts w:ascii="Times New Roman" w:cs="Times New Roman" w:eastAsia="Times New Roman" w:hAnsi="Times New Roman"/>
          <w:sz w:val="17"/>
          <w:szCs w:val="17"/>
          <w:b w:val="1"/>
          <w:bCs w:val="1"/>
          <w:u w:val="single" w:color="auto"/>
          <w:color w:val="auto"/>
        </w:rPr>
        <w:t>Exercise of ISO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the Option qualifies as an ISO, there will be no regular federal income tax liability upon the exercise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although the excess, if any, of the Fair Market Value of the Shares on the date of exercise over the Exercise Price will be treated as a tax preference item for federal alternative minimum tax purposes and may subject Optionee to the alternative minimum tax in the year of exercise.</w:t>
      </w:r>
    </w:p>
    <w:p>
      <w:pPr>
        <w:spacing w:after="0" w:line="45" w:lineRule="exact"/>
        <w:rPr>
          <w:sz w:val="20"/>
          <w:szCs w:val="20"/>
          <w:color w:val="auto"/>
        </w:rPr>
      </w:pPr>
    </w:p>
    <w:p>
      <w:pPr>
        <w:ind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b w:val="1"/>
          <w:bCs w:val="1"/>
          <w:u w:val="single" w:color="auto"/>
          <w:color w:val="auto"/>
        </w:rPr>
        <w:t>Exercise of Nonqualified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Option does not qualify as an ISO, there may be a regular federal income tax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exercise of the Option. Optionee will be treated as having received compensation income (taxable at ordinary income tax rates) equal to the excess, if any, of the Fair Market Value of the Shares on the date of exercise over the Exercise Price. If Optionee is a current or former employee of the Company, the Company may be required to withhold from Optionee’s compensation or collect from Optionee and pay to the applicable taxing authorities an amount equal to a percentage of this compensation income at the time of exercise.</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b w:val="1"/>
          <w:bCs w:val="1"/>
          <w:u w:val="single" w:color="auto"/>
          <w:color w:val="auto"/>
        </w:rPr>
        <w:t>Disposition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tax consequences may apply upon disposition of the Shares.</w:t>
      </w:r>
    </w:p>
    <w:p>
      <w:pPr>
        <w:spacing w:after="0" w:line="121" w:lineRule="exact"/>
        <w:rPr>
          <w:sz w:val="20"/>
          <w:szCs w:val="20"/>
          <w:color w:val="auto"/>
        </w:rPr>
      </w:pPr>
    </w:p>
    <w:p>
      <w:pPr>
        <w:ind w:firstLine="1428"/>
        <w:spacing w:after="0" w:line="258" w:lineRule="auto"/>
        <w:tabs>
          <w:tab w:leader="none" w:pos="1677"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federal income tax purposes. If Shares purchased under an ISO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75" w:lineRule="exact"/>
        <w:rPr>
          <w:rFonts w:ascii="Times New Roman" w:cs="Times New Roman" w:eastAsia="Times New Roman" w:hAnsi="Times New Roman"/>
          <w:sz w:val="18"/>
          <w:szCs w:val="18"/>
          <w:color w:val="auto"/>
        </w:rPr>
      </w:pPr>
    </w:p>
    <w:p>
      <w:pPr>
        <w:ind w:right="380" w:firstLine="1428"/>
        <w:spacing w:after="0" w:line="282" w:lineRule="auto"/>
        <w:tabs>
          <w:tab w:leader="none" w:pos="1687"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Nonqualified Stock Options</w:t>
      </w:r>
      <w:r>
        <w:rPr>
          <w:rFonts w:ascii="Times New Roman" w:cs="Times New Roman" w:eastAsia="Times New Roman" w:hAnsi="Times New Roman"/>
          <w:sz w:val="18"/>
          <w:szCs w:val="18"/>
          <w:color w:val="auto"/>
        </w:rPr>
        <w:t>. If the Shares are held for more than twelve (12) months after the date of purchase of the Shares pursuant to the exercise of an NQSO, any gain realized on disposition of the Shares will be treated as long term capital gain.</w:t>
      </w:r>
    </w:p>
    <w:p>
      <w:pPr>
        <w:spacing w:after="0" w:line="15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17" w:lineRule="exact"/>
        <w:rPr>
          <w:sz w:val="20"/>
          <w:szCs w:val="20"/>
          <w:color w:val="auto"/>
        </w:rPr>
      </w:pPr>
    </w:p>
    <w:p>
      <w:pPr>
        <w:ind w:right="3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15.1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dispute regarding the interpretation of this Agreement shall be submitted by Optionee or the Company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for review. The resolution of such a dispute by the Committee shall be final and binding on the Company and Optionee.</w:t>
      </w:r>
    </w:p>
    <w:p>
      <w:pPr>
        <w:spacing w:after="0" w:line="47"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15.2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Grant Notice and the Exercise Agreement are each incorporated herein by reference.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Grant Notice, the Plan and the Exercise Agreement constitute the entire agreement of the parties with respect to the subject matter hereof and supersede all prior undertakings and agreements with respect to such subject matter.</w:t>
      </w:r>
    </w:p>
    <w:p>
      <w:pPr>
        <w:spacing w:after="0" w:line="171" w:lineRule="exact"/>
        <w:rPr>
          <w:sz w:val="20"/>
          <w:szCs w:val="20"/>
          <w:color w:val="auto"/>
        </w:rPr>
      </w:pPr>
    </w:p>
    <w:p>
      <w:pPr>
        <w:ind w:right="20" w:firstLine="436"/>
        <w:spacing w:after="0" w:line="259" w:lineRule="auto"/>
        <w:tabs>
          <w:tab w:leader="none" w:pos="71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and all notices required or permitted to be given to a party pursuant to the provisions of this Agreement will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451" w:name="page452"/>
    <w:bookmarkEnd w:id="45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188" w:lineRule="exact"/>
        <w:rPr>
          <w:sz w:val="20"/>
          <w:szCs w:val="20"/>
          <w:color w:val="auto"/>
        </w:rPr>
      </w:pPr>
    </w:p>
    <w:p>
      <w:pPr>
        <w:ind w:right="20" w:firstLine="436"/>
        <w:spacing w:after="0" w:line="262" w:lineRule="auto"/>
        <w:tabs>
          <w:tab w:leader="none" w:pos="71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AND ASSIGNS. </w:t>
      </w:r>
      <w:r>
        <w:rPr>
          <w:rFonts w:ascii="Times New Roman" w:cs="Times New Roman" w:eastAsia="Times New Roman" w:hAnsi="Times New Roman"/>
          <w:sz w:val="18"/>
          <w:szCs w:val="18"/>
          <w:color w:val="auto"/>
        </w:rPr>
        <w:t>The Company may assign any of its rights under this Agreement including its rights to purchase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76" w:lineRule="exact"/>
        <w:rPr>
          <w:rFonts w:ascii="Times New Roman" w:cs="Times New Roman" w:eastAsia="Times New Roman" w:hAnsi="Times New Roman"/>
          <w:sz w:val="18"/>
          <w:szCs w:val="18"/>
          <w:b w:val="1"/>
          <w:bCs w:val="1"/>
          <w:color w:val="auto"/>
        </w:rPr>
      </w:pPr>
    </w:p>
    <w:p>
      <w:pPr>
        <w:ind w:right="140" w:firstLine="436"/>
        <w:spacing w:after="0" w:line="262" w:lineRule="auto"/>
        <w:tabs>
          <w:tab w:leader="none" w:pos="71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internal laws of the State of California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laws are applied to agreements between California residents entered into and to be performed entirely within California. If any provision of this Agreement is determined by a court of law to be illegal or unenforceable, then such provision will be enforced to the maximum extent possible and the other provisions will remain fully effective and enforceable.</w:t>
      </w:r>
    </w:p>
    <w:p>
      <w:pPr>
        <w:spacing w:after="0" w:line="176" w:lineRule="exact"/>
        <w:rPr>
          <w:rFonts w:ascii="Times New Roman" w:cs="Times New Roman" w:eastAsia="Times New Roman" w:hAnsi="Times New Roman"/>
          <w:sz w:val="18"/>
          <w:szCs w:val="18"/>
          <w:b w:val="1"/>
          <w:bCs w:val="1"/>
          <w:color w:val="auto"/>
        </w:rPr>
      </w:pPr>
    </w:p>
    <w:p>
      <w:pPr>
        <w:ind w:right="80" w:firstLine="436"/>
        <w:spacing w:after="0" w:line="286" w:lineRule="auto"/>
        <w:tabs>
          <w:tab w:leader="none" w:pos="71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FURTHER ASSURANCES. </w:t>
      </w:r>
      <w:r>
        <w:rPr>
          <w:rFonts w:ascii="Times New Roman" w:cs="Times New Roman" w:eastAsia="Times New Roman" w:hAnsi="Times New Roman"/>
          <w:sz w:val="18"/>
          <w:szCs w:val="18"/>
          <w:color w:val="auto"/>
        </w:rPr>
        <w:t>The parties agree to execute such further documents and instruments and to take such further actions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necessary to carry out the purposes and intent of this Agreement.</w:t>
      </w:r>
    </w:p>
    <w:p>
      <w:pPr>
        <w:spacing w:after="0" w:line="154" w:lineRule="exact"/>
        <w:rPr>
          <w:rFonts w:ascii="Times New Roman" w:cs="Times New Roman" w:eastAsia="Times New Roman" w:hAnsi="Times New Roman"/>
          <w:sz w:val="18"/>
          <w:szCs w:val="18"/>
          <w:b w:val="1"/>
          <w:bCs w:val="1"/>
          <w:color w:val="auto"/>
        </w:rPr>
      </w:pPr>
    </w:p>
    <w:p>
      <w:pPr>
        <w:ind w:right="360" w:firstLine="436"/>
        <w:spacing w:after="0" w:line="268" w:lineRule="auto"/>
        <w:tabs>
          <w:tab w:leader="none" w:pos="71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TITLES AND HEADINGS. </w:t>
      </w:r>
      <w:r>
        <w:rPr>
          <w:rFonts w:ascii="Times New Roman" w:cs="Times New Roman" w:eastAsia="Times New Roman" w:hAnsi="Times New Roman"/>
          <w:sz w:val="18"/>
          <w:szCs w:val="18"/>
          <w:color w:val="auto"/>
        </w:rPr>
        <w:t>The titles, captions and headings of this Agreement are included for ease of reference only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disregarded in interpreting or construing this Agreement. Unless otherwise specifically stated, all references herein to “sections” and “exhibits” will mean “sections” and “exhibits” to this Agreement.</w:t>
      </w:r>
    </w:p>
    <w:p>
      <w:pPr>
        <w:spacing w:after="0" w:line="170"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71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when so executed and delivered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together shall constitute one and the same agreement.</w:t>
      </w:r>
    </w:p>
    <w:p>
      <w:pPr>
        <w:spacing w:after="0" w:line="154" w:lineRule="exact"/>
        <w:rPr>
          <w:rFonts w:ascii="Times New Roman" w:cs="Times New Roman" w:eastAsia="Times New Roman" w:hAnsi="Times New Roman"/>
          <w:sz w:val="18"/>
          <w:szCs w:val="18"/>
          <w:b w:val="1"/>
          <w:bCs w:val="1"/>
          <w:color w:val="auto"/>
        </w:rPr>
      </w:pPr>
    </w:p>
    <w:p>
      <w:pPr>
        <w:ind w:right="100" w:firstLine="436"/>
        <w:spacing w:after="0" w:line="256" w:lineRule="auto"/>
        <w:tabs>
          <w:tab w:leader="none" w:pos="71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is determined by any court or arbitrator of competent jurisdiction to be invalid,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6" w:lineRule="exact"/>
        <w:rPr>
          <w:rFonts w:ascii="Times New Roman" w:cs="Times New Roman" w:eastAsia="Times New Roman" w:hAnsi="Times New Roman"/>
          <w:sz w:val="18"/>
          <w:szCs w:val="18"/>
          <w:b w:val="1"/>
          <w:bCs w:val="1"/>
          <w:color w:val="auto"/>
        </w:rPr>
      </w:pPr>
    </w:p>
    <w:p>
      <w:pPr>
        <w:ind w:left="5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Attachment: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Form of Stock Option Exercise Notice and Agreement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52" w:name="page453"/>
    <w:bookmarkEnd w:id="45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STOCK OPTION EXERCISE NOTICE AND AGREEMENT</w:t>
      </w:r>
    </w:p>
    <w:p>
      <w:pPr>
        <w:sectPr>
          <w:pgSz w:w="11900" w:h="16838" w:orient="portrait"/>
          <w:cols w:equalWidth="0" w:num="1">
            <w:col w:w="9019"/>
          </w:cols>
          <w:pgMar w:left="1440" w:top="266" w:right="1440" w:bottom="1440" w:gutter="0" w:footer="0" w:header="0"/>
        </w:sectPr>
      </w:pPr>
    </w:p>
    <w:bookmarkStart w:id="453" w:name="page454"/>
    <w:bookmarkEnd w:id="453"/>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OPTION EXERCISE NOTICE AND AGREEMENT</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2019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sign this Notice on Page 3 before submitting it to Maze Therapeutics, Inc. (the “Company”) </w:t>
      </w:r>
      <w:r>
        <w:rPr>
          <w:rFonts w:ascii="Times New Roman" w:cs="Times New Roman" w:eastAsia="Times New Roman" w:hAnsi="Times New Roman"/>
          <w:sz w:val="18"/>
          <w:szCs w:val="18"/>
          <w:b w:val="1"/>
          <w:bCs w:val="1"/>
          <w:i w:val="1"/>
          <w:iCs w:val="1"/>
          <w:u w:val="single" w:color="auto"/>
          <w:color w:val="auto"/>
        </w:rPr>
        <w:t>AND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if requested to do so by the Company,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also sign the signature pages to the Company’s then-current Company Stockholders Agreement (as defined in the Stock Option Agreement) before submitting this Notice to the Company.</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Please provide the following information about yourself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5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tcBorders>
              <w:bottom w:val="single" w:sz="8" w:color="auto"/>
            </w:tcBorders>
          </w:tcPr>
          <w:p>
            <w:pPr>
              <w:spacing w:after="0"/>
              <w:rPr>
                <w:sz w:val="20"/>
                <w:szCs w:val="20"/>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    Social Security Number</w:t>
            </w:r>
          </w:p>
        </w:tc>
      </w:tr>
      <w:tr>
        <w:trPr>
          <w:trHeight w:val="223"/>
        </w:trPr>
        <w:tc>
          <w:tcPr>
            <w:tcW w:w="86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2140" w:type="dxa"/>
            <w:vAlign w:val="bottom"/>
          </w:tcPr>
          <w:p>
            <w:pPr>
              <w:spacing w:after="0"/>
              <w:rPr>
                <w:sz w:val="19"/>
                <w:szCs w:val="19"/>
                <w:color w:val="auto"/>
              </w:rPr>
            </w:pPr>
          </w:p>
        </w:tc>
      </w:tr>
      <w:tr>
        <w:trPr>
          <w:trHeight w:val="33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20" w:type="dxa"/>
            <w:vAlign w:val="bottom"/>
            <w:tcBorders>
              <w:bottom w:val="single" w:sz="8" w:color="auto"/>
            </w:tcBorders>
          </w:tcPr>
          <w:p>
            <w:pPr>
              <w:spacing w:after="0"/>
              <w:rPr>
                <w:sz w:val="24"/>
                <w:szCs w:val="24"/>
                <w:color w:val="auto"/>
              </w:rPr>
            </w:pPr>
          </w:p>
        </w:tc>
        <w:tc>
          <w:tcPr>
            <w:tcW w:w="2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Number:</w:t>
            </w:r>
          </w:p>
        </w:tc>
      </w:tr>
      <w:tr>
        <w:trPr>
          <w:trHeight w:val="324"/>
        </w:trPr>
        <w:tc>
          <w:tcPr>
            <w:tcW w:w="86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Email 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-607695</wp:posOffset>
            </wp:positionV>
            <wp:extent cx="264033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-230505</wp:posOffset>
            </wp:positionV>
            <wp:extent cx="264033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-7620</wp:posOffset>
            </wp:positionV>
            <wp:extent cx="264033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Please provide this information on the option being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4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Grant No.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4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left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4"/>
              </w:rPr>
              <w:t>Date of Grant: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4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spacing w:after="0"/>
              <w:rPr>
                <w:sz w:val="24"/>
                <w:szCs w:val="24"/>
                <w:color w:val="auto"/>
              </w:rPr>
            </w:pPr>
          </w:p>
        </w:tc>
        <w:tc>
          <w:tcPr>
            <w:tcW w:w="38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Type of Stock Option:</w:t>
            </w:r>
          </w:p>
        </w:tc>
      </w:tr>
      <w:tr>
        <w:trPr>
          <w:trHeight w:val="20"/>
        </w:trPr>
        <w:tc>
          <w:tcPr>
            <w:tcW w:w="1080" w:type="dxa"/>
            <w:vAlign w:val="bottom"/>
            <w:gridSpan w:val="2"/>
          </w:tcPr>
          <w:p>
            <w:pPr>
              <w:spacing w:after="0" w:line="20" w:lineRule="exact"/>
              <w:rPr>
                <w:sz w:val="1"/>
                <w:szCs w:val="1"/>
                <w:color w:val="auto"/>
              </w:rPr>
            </w:pPr>
          </w:p>
        </w:tc>
        <w:tc>
          <w:tcPr>
            <w:tcW w:w="720" w:type="dxa"/>
            <w:vAlign w:val="bottom"/>
            <w:tcBorders>
              <w:right w:val="single" w:sz="8" w:color="auto"/>
            </w:tcBorders>
            <w:gridSpan w:val="4"/>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04"/>
        </w:trPr>
        <w:tc>
          <w:tcPr>
            <w:tcW w:w="5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xml:space="preserve">Option Price per Share:                 </w:t>
            </w:r>
          </w:p>
        </w:tc>
        <w:tc>
          <w:tcPr>
            <w:tcW w:w="96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0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800" w:type="dxa"/>
            <w:vAlign w:val="bottom"/>
            <w:tcBorders>
              <w:right w:val="single" w:sz="8" w:color="auto"/>
            </w:tcBorders>
            <w:gridSpan w:val="6"/>
          </w:tcPr>
          <w:p>
            <w:pPr>
              <w:spacing w:after="0" w:line="20" w:lineRule="exact"/>
              <w:rPr>
                <w:sz w:val="1"/>
                <w:szCs w:val="1"/>
                <w:color w:val="auto"/>
              </w:rPr>
            </w:pP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04"/>
        </w:trPr>
        <w:tc>
          <w:tcPr>
            <w:tcW w:w="598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8"/>
              </w:rPr>
              <w:t>Total number of shares of Common Stock of the Company subject to the Option:  </w:t>
            </w: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561"/>
        </w:trPr>
        <w:tc>
          <w:tcPr>
            <w:tcW w:w="58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97"/>
        </w:trPr>
        <w:tc>
          <w:tcPr>
            <w:tcW w:w="726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8"/>
              </w:rPr>
              <w:t>Number of shares of Common Stock of the Company for which the Option is now being exercised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0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7"/>
              </w:rPr>
              <w:t>      . (These shares are referred to below</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the “</w:t>
      </w:r>
      <w:r>
        <w:rPr>
          <w:rFonts w:ascii="Times New Roman" w:cs="Times New Roman" w:eastAsia="Times New Roman" w:hAnsi="Times New Roman"/>
          <w:sz w:val="18"/>
          <w:szCs w:val="18"/>
          <w:b w:val="1"/>
          <w:bCs w:val="1"/>
          <w:i w:val="1"/>
          <w:iCs w:val="1"/>
          <w:color w:val="auto"/>
        </w:rPr>
        <w:t>Purchased Shares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Total Exercise Price Being Paid for the Purchased Shares: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-7620</wp:posOffset>
            </wp:positionV>
            <wp:extent cx="11430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Form of payment enclosed </w:t>
      </w:r>
      <w:r>
        <w:rPr>
          <w:rFonts w:ascii="Times New Roman" w:cs="Times New Roman" w:eastAsia="Times New Roman" w:hAnsi="Times New Roman"/>
          <w:sz w:val="18"/>
          <w:szCs w:val="18"/>
          <w:b w:val="1"/>
          <w:bCs w:val="1"/>
          <w:i w:val="1"/>
          <w:iCs w:val="1"/>
          <w:color w:val="auto"/>
        </w:rPr>
        <w:t>[check all that apply]</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for $____________, payable to “</w:t>
      </w:r>
      <w:r>
        <w:rPr>
          <w:rFonts w:ascii="Times New Roman" w:cs="Times New Roman" w:eastAsia="Times New Roman" w:hAnsi="Times New Roman"/>
          <w:sz w:val="18"/>
          <w:szCs w:val="18"/>
          <w:b w:val="1"/>
          <w:bCs w:val="1"/>
          <w:i w:val="1"/>
          <w:iCs w:val="1"/>
          <w:color w:val="auto"/>
        </w:rPr>
        <w:t>Maze Therapeutics, Inc.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Certificate(s) for ________________ shares of Common Stock of the Company. These shares will be valued as of the date this notice is received by</w:t>
      </w:r>
    </w:p>
    <w:p>
      <w:pPr>
        <w:spacing w:after="0" w:line="81"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 xml:space="preserve">the Company. </w:t>
      </w:r>
      <w:r>
        <w:rPr>
          <w:rFonts w:ascii="Times New Roman" w:cs="Times New Roman" w:eastAsia="Times New Roman" w:hAnsi="Times New Roman"/>
          <w:sz w:val="18"/>
          <w:szCs w:val="18"/>
          <w:b w:val="1"/>
          <w:bCs w:val="1"/>
          <w:i w:val="1"/>
          <w:iCs w:val="1"/>
          <w:color w:val="auto"/>
        </w:rPr>
        <w:t>[Requires Company consent.]</w:t>
      </w:r>
    </w:p>
    <w:p>
      <w:pPr>
        <w:spacing w:after="0" w:line="56" w:lineRule="exact"/>
        <w:rPr>
          <w:sz w:val="20"/>
          <w:szCs w:val="20"/>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by Automated Clearing House (“</w:t>
      </w:r>
      <w:r>
        <w:rPr>
          <w:rFonts w:ascii="Times New Roman" w:cs="Times New Roman" w:eastAsia="Times New Roman" w:hAnsi="Times New Roman"/>
          <w:sz w:val="18"/>
          <w:szCs w:val="18"/>
          <w:b w:val="1"/>
          <w:bCs w:val="1"/>
          <w:i w:val="1"/>
          <w:iCs w:val="1"/>
          <w:color w:val="auto"/>
        </w:rPr>
        <w:t>ACH</w:t>
      </w:r>
      <w:r>
        <w:rPr>
          <w:rFonts w:ascii="Times New Roman" w:cs="Times New Roman" w:eastAsia="Times New Roman" w:hAnsi="Times New Roman"/>
          <w:sz w:val="18"/>
          <w:szCs w:val="18"/>
          <w:color w:val="auto"/>
        </w:rPr>
        <w:t>”) transfer in the amount of $_________________.</w:t>
      </w:r>
    </w:p>
    <w:p>
      <w:pPr>
        <w:spacing w:after="0" w:line="262" w:lineRule="exact"/>
        <w:rPr>
          <w:sz w:val="20"/>
          <w:szCs w:val="20"/>
          <w:color w:val="auto"/>
        </w:rPr>
      </w:pPr>
    </w:p>
    <w:p>
      <w:pPr>
        <w:ind w:left="4" w:right="580"/>
        <w:spacing w:after="0" w:line="28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CKNOWLEDGMENTS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signing this Stock Option Exercise Notice and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via          , Optionee hereby agrees with, and represents to, the Company as follows:</w:t>
      </w:r>
    </w:p>
    <w:p>
      <w:pPr>
        <w:spacing w:after="0" w:line="60" w:lineRule="exact"/>
        <w:rPr>
          <w:sz w:val="20"/>
          <w:szCs w:val="20"/>
          <w:color w:val="auto"/>
        </w:rPr>
      </w:pPr>
    </w:p>
    <w:p>
      <w:pPr>
        <w:ind w:left="424" w:right="100" w:hanging="424"/>
        <w:spacing w:after="0" w:line="268" w:lineRule="auto"/>
        <w:tabs>
          <w:tab w:leader="none" w:pos="424"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Terms Governing. </w:t>
      </w:r>
      <w:r>
        <w:rPr>
          <w:rFonts w:ascii="Times New Roman" w:cs="Times New Roman" w:eastAsia="Times New Roman" w:hAnsi="Times New Roman"/>
          <w:sz w:val="18"/>
          <w:szCs w:val="18"/>
          <w:color w:val="auto"/>
        </w:rPr>
        <w:t>I acknowledge and agree with the Company that I am acquiring the Purchased Shares by exercise of this Option subject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terms and conditions of the Notice of Stock Option Grant and the Stock Option Agreement that govern the Option, including without limitation the terms of the Company’s 2019 Equity Incentive Plan, as it may be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ectPr>
          <w:pgSz w:w="11900" w:h="16838" w:orient="portrait"/>
          <w:cols w:equalWidth="0" w:num="1">
            <w:col w:w="10984"/>
          </w:cols>
          <w:pgMar w:left="436" w:top="266" w:right="479" w:bottom="1440" w:gutter="0" w:footer="0" w:header="0"/>
        </w:sectPr>
      </w:pPr>
    </w:p>
    <w:bookmarkStart w:id="454" w:name="page455"/>
    <w:bookmarkEnd w:id="454"/>
    <w:p>
      <w:pPr>
        <w:ind w:left="424" w:right="60" w:hanging="424"/>
        <w:spacing w:after="0" w:line="256" w:lineRule="auto"/>
        <w:tabs>
          <w:tab w:leader="none" w:pos="424"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Investment Intent; Securities Law Restrictions. </w:t>
      </w:r>
      <w:r>
        <w:rPr>
          <w:rFonts w:ascii="Times New Roman" w:cs="Times New Roman" w:eastAsia="Times New Roman" w:hAnsi="Times New Roman"/>
          <w:sz w:val="18"/>
          <w:szCs w:val="18"/>
          <w:color w:val="auto"/>
        </w:rPr>
        <w:t>I represent and warrant to the Company that I am acquiring and will hold the Purchased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investment for my account only, and not with a view to, or for resale in connection with, any “distribution” of the Purchased Shares within the meaning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88" w:lineRule="exact"/>
        <w:rPr>
          <w:rFonts w:ascii="Times New Roman" w:cs="Times New Roman" w:eastAsia="Times New Roman" w:hAnsi="Times New Roman"/>
          <w:sz w:val="18"/>
          <w:szCs w:val="18"/>
          <w:b w:val="1"/>
          <w:bCs w:val="1"/>
          <w:color w:val="auto"/>
        </w:rPr>
      </w:pPr>
    </w:p>
    <w:p>
      <w:pPr>
        <w:ind w:left="424" w:hanging="424"/>
        <w:spacing w:after="0" w:line="255" w:lineRule="auto"/>
        <w:tabs>
          <w:tab w:leader="none" w:pos="424"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Rule 144. </w:t>
      </w:r>
      <w:r>
        <w:rPr>
          <w:rFonts w:ascii="Times New Roman" w:cs="Times New Roman" w:eastAsia="Times New Roman" w:hAnsi="Times New Roman"/>
          <w:sz w:val="18"/>
          <w:szCs w:val="18"/>
          <w:color w:val="auto"/>
        </w:rPr>
        <w:t>I will not sell, transfer or otherwise dispose of the Purchased Shares in violation of the Securities Act,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Exchange Act of 1934, or the rules promulgated thereunder (including Rule 144 under the Securities Act described below (“</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90" w:lineRule="exact"/>
        <w:rPr>
          <w:rFonts w:ascii="Times New Roman" w:cs="Times New Roman" w:eastAsia="Times New Roman" w:hAnsi="Times New Roman"/>
          <w:sz w:val="18"/>
          <w:szCs w:val="18"/>
          <w:b w:val="1"/>
          <w:bCs w:val="1"/>
          <w:color w:val="auto"/>
        </w:rPr>
      </w:pPr>
    </w:p>
    <w:p>
      <w:pPr>
        <w:ind w:left="424" w:hanging="424"/>
        <w:spacing w:after="0" w:line="259" w:lineRule="auto"/>
        <w:tabs>
          <w:tab w:leader="none" w:pos="424"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Access to Information; Understanding of Risk in Investment. </w:t>
      </w:r>
      <w:r>
        <w:rPr>
          <w:rFonts w:ascii="Times New Roman" w:cs="Times New Roman" w:eastAsia="Times New Roman" w:hAnsi="Times New Roman"/>
          <w:sz w:val="18"/>
          <w:szCs w:val="18"/>
          <w:color w:val="auto"/>
        </w:rPr>
        <w:t>I acknowledge that I have received and had access to such information as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84" w:lineRule="exact"/>
        <w:rPr>
          <w:rFonts w:ascii="Times New Roman" w:cs="Times New Roman" w:eastAsia="Times New Roman" w:hAnsi="Times New Roman"/>
          <w:sz w:val="18"/>
          <w:szCs w:val="18"/>
          <w:b w:val="1"/>
          <w:bCs w:val="1"/>
          <w:color w:val="auto"/>
        </w:rPr>
      </w:pPr>
    </w:p>
    <w:p>
      <w:pPr>
        <w:ind w:left="424" w:right="20" w:hanging="424"/>
        <w:spacing w:after="0" w:line="268" w:lineRule="auto"/>
        <w:tabs>
          <w:tab w:leader="none" w:pos="424"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of First Refusal; Market Stand-off. </w:t>
      </w:r>
      <w:r>
        <w:rPr>
          <w:rFonts w:ascii="Times New Roman" w:cs="Times New Roman" w:eastAsia="Times New Roman" w:hAnsi="Times New Roman"/>
          <w:sz w:val="18"/>
          <w:szCs w:val="18"/>
          <w:color w:val="auto"/>
        </w:rPr>
        <w:t>I acknowledge that the Purchased Shares remain subject to the Company’s Right of First Refusal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market stand-off covenants (sometimes referred to as the “lock-up”), all in accordance with the applicable Notice of Stock Option Grant and the Stock Option Agreement that govern the Option.</w:t>
      </w:r>
    </w:p>
    <w:p>
      <w:pPr>
        <w:spacing w:after="0" w:line="76" w:lineRule="exact"/>
        <w:rPr>
          <w:rFonts w:ascii="Times New Roman" w:cs="Times New Roman" w:eastAsia="Times New Roman" w:hAnsi="Times New Roman"/>
          <w:sz w:val="18"/>
          <w:szCs w:val="18"/>
          <w:b w:val="1"/>
          <w:bCs w:val="1"/>
          <w:color w:val="auto"/>
        </w:rPr>
      </w:pPr>
    </w:p>
    <w:p>
      <w:pPr>
        <w:ind w:left="424" w:right="100" w:hanging="424"/>
        <w:spacing w:after="0" w:line="259" w:lineRule="auto"/>
        <w:tabs>
          <w:tab w:leader="none" w:pos="424"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Form of Ownership. </w:t>
      </w:r>
      <w:r>
        <w:rPr>
          <w:rFonts w:ascii="Times New Roman" w:cs="Times New Roman" w:eastAsia="Times New Roman" w:hAnsi="Times New Roman"/>
          <w:sz w:val="18"/>
          <w:szCs w:val="18"/>
          <w:color w:val="auto"/>
        </w:rPr>
        <w:t>I acknowledge that the Company has encouraged me to consult my own adviser to determine the form of ownership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4" w:lineRule="exact"/>
        <w:rPr>
          <w:rFonts w:ascii="Times New Roman" w:cs="Times New Roman" w:eastAsia="Times New Roman" w:hAnsi="Times New Roman"/>
          <w:sz w:val="18"/>
          <w:szCs w:val="18"/>
          <w:b w:val="1"/>
          <w:bCs w:val="1"/>
          <w:color w:val="auto"/>
        </w:rPr>
      </w:pPr>
    </w:p>
    <w:p>
      <w:pPr>
        <w:ind w:left="424" w:right="600" w:hanging="424"/>
        <w:spacing w:after="0" w:line="286" w:lineRule="auto"/>
        <w:tabs>
          <w:tab w:leader="none" w:pos="424"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Investigation of Tax Consequences. </w:t>
      </w:r>
      <w:r>
        <w:rPr>
          <w:rFonts w:ascii="Times New Roman" w:cs="Times New Roman" w:eastAsia="Times New Roman" w:hAnsi="Times New Roman"/>
          <w:sz w:val="18"/>
          <w:szCs w:val="18"/>
          <w:color w:val="auto"/>
        </w:rPr>
        <w:t>I acknowledge that the Company has encouraged me to consult my own adviser to determine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acquiring the Purchased Shares at this time.</w:t>
      </w:r>
    </w:p>
    <w:p>
      <w:pPr>
        <w:spacing w:after="0" w:line="60" w:lineRule="exact"/>
        <w:rPr>
          <w:rFonts w:ascii="Times New Roman" w:cs="Times New Roman" w:eastAsia="Times New Roman" w:hAnsi="Times New Roman"/>
          <w:sz w:val="18"/>
          <w:szCs w:val="18"/>
          <w:b w:val="1"/>
          <w:bCs w:val="1"/>
          <w:color w:val="auto"/>
        </w:rPr>
      </w:pPr>
    </w:p>
    <w:p>
      <w:pPr>
        <w:ind w:left="424" w:right="40" w:hanging="424"/>
        <w:spacing w:after="0" w:line="272" w:lineRule="auto"/>
        <w:tabs>
          <w:tab w:leader="none" w:pos="424" w:val="left"/>
        </w:tabs>
        <w:numPr>
          <w:ilvl w:val="0"/>
          <w:numId w:val="3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Other Tax Matters. </w:t>
      </w:r>
      <w:r>
        <w:rPr>
          <w:rFonts w:ascii="Times New Roman" w:cs="Times New Roman" w:eastAsia="Times New Roman" w:hAnsi="Times New Roman"/>
          <w:sz w:val="17"/>
          <w:szCs w:val="17"/>
          <w:color w:val="auto"/>
        </w:rPr>
        <w:t>I agree that the Company does not have a duty to design or administer the Plan or its other compensation programs in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manner 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455" w:name="page456"/>
    <w:bookmarkEnd w:id="455"/>
    <w:p>
      <w:pPr>
        <w:ind w:left="424" w:hanging="424"/>
        <w:spacing w:after="0"/>
        <w:tabs>
          <w:tab w:leader="none" w:pos="424"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Spouse Consent. </w:t>
      </w:r>
      <w:r>
        <w:rPr>
          <w:rFonts w:ascii="Times New Roman" w:cs="Times New Roman" w:eastAsia="Times New Roman" w:hAnsi="Times New Roman"/>
          <w:sz w:val="18"/>
          <w:szCs w:val="18"/>
          <w:color w:val="auto"/>
        </w:rPr>
        <w:t>I agree to seek the consent of my spouse to the extent required by the Company to enforce the foregoing.</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line="257" w:lineRule="auto"/>
        <w:tabs>
          <w:tab w:leader="none" w:pos="424"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 to Enter into Company Stockholders Agreement. </w:t>
      </w:r>
      <w:r>
        <w:rPr>
          <w:rFonts w:ascii="Times New Roman" w:cs="Times New Roman" w:eastAsia="Times New Roman" w:hAnsi="Times New Roman"/>
          <w:sz w:val="18"/>
          <w:szCs w:val="18"/>
          <w:color w:val="auto"/>
        </w:rPr>
        <w:t>Pursuant to the Stock Option Agreement, if requested to do so by the Company,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to enter into and execute the then-current Company Stockholders Agreement concurrently with my exercise of the Option or at any other time I am requested to do so by the Company. I acknowledge that by entering into the Company Stockholders Agreement I will be subjecting the Purchased Shares to the rights of first refusal, co-sale rights as well as voting and other obligations and covenants regarding all Company shares I own and all other provisions of the Company Stockholders Agreement, in addition to the right of first refusal, repurchase option and market stand-off provisions described above.</w:t>
      </w:r>
    </w:p>
    <w:p>
      <w:pPr>
        <w:spacing w:after="0" w:line="87" w:lineRule="exact"/>
        <w:rPr>
          <w:rFonts w:ascii="Times New Roman" w:cs="Times New Roman" w:eastAsia="Times New Roman" w:hAnsi="Times New Roman"/>
          <w:sz w:val="18"/>
          <w:szCs w:val="18"/>
          <w:b w:val="1"/>
          <w:bCs w:val="1"/>
          <w:color w:val="auto"/>
        </w:rPr>
      </w:pPr>
    </w:p>
    <w:p>
      <w:pPr>
        <w:jc w:val="both"/>
        <w:ind w:left="424" w:right="40" w:hanging="424"/>
        <w:spacing w:after="0" w:line="268" w:lineRule="auto"/>
        <w:tabs>
          <w:tab w:leader="none" w:pos="424"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Withholding. </w:t>
      </w:r>
      <w:r>
        <w:rPr>
          <w:rFonts w:ascii="Times New Roman" w:cs="Times New Roman" w:eastAsia="Times New Roman" w:hAnsi="Times New Roman"/>
          <w:sz w:val="18"/>
          <w:szCs w:val="18"/>
          <w:color w:val="auto"/>
        </w:rPr>
        <w:t>As a condition of exercising this Option, I agree to make adequate provision for foreign, federal, state or other 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if any, which arise upon the grant, vesting or exercise of this Option, or disposition of the Purchased Shares, whether by withholding, direct payment to the Company, or otherwise.</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hereby executes and delivers this Stock Option Exercise Notice and Agreement and agrees to be bound by its terms</w:t>
      </w:r>
    </w:p>
    <w:p>
      <w:pPr>
        <w:spacing w:after="0" w:line="248" w:lineRule="exact"/>
        <w:rPr>
          <w:sz w:val="20"/>
          <w:szCs w:val="20"/>
          <w:color w:val="auto"/>
        </w:rPr>
      </w:pPr>
    </w:p>
    <w:p>
      <w:pPr>
        <w:ind w:left="4"/>
        <w:spacing w:after="0"/>
        <w:tabs>
          <w:tab w:leader="none" w:pos="5924"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699516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Optionee’s Name:</w:t>
      </w:r>
    </w:p>
    <w:p>
      <w:pPr>
        <w:spacing w:after="0" w:line="2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[Signature Page to Stock Option Exercise Notice and Agreement]</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66" w:right="499" w:bottom="1440" w:gutter="0" w:footer="0" w:header="0"/>
        </w:sectPr>
      </w:pPr>
    </w:p>
    <w:bookmarkStart w:id="456" w:name="page457"/>
    <w:bookmarkEnd w:id="456"/>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 FORM</w:t>
      </w:r>
    </w:p>
    <w:p>
      <w:pPr>
        <w:spacing w:after="0" w:line="1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OPTION GRANT NO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Optionee named below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has been granted an option (this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shares of Common Stock,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2019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on the terms, and subject to the conditions, described below and in the Stock Option Agreement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including its annexes (the “</w:t>
      </w:r>
      <w:r>
        <w:rPr>
          <w:rFonts w:ascii="Times New Roman" w:cs="Times New Roman" w:eastAsia="Times New Roman" w:hAnsi="Times New Roman"/>
          <w:sz w:val="18"/>
          <w:szCs w:val="18"/>
          <w:b w:val="1"/>
          <w:bCs w:val="1"/>
          <w:i w:val="1"/>
          <w:iCs w:val="1"/>
          <w:color w:val="auto"/>
        </w:rPr>
        <w:t>Stock Option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Optionee:</w:t>
      </w:r>
    </w:p>
    <w:p>
      <w:pPr>
        <w:spacing w:after="0" w:line="117" w:lineRule="exact"/>
        <w:rPr>
          <w:sz w:val="20"/>
          <w:szCs w:val="20"/>
          <w:color w:val="auto"/>
        </w:rPr>
      </w:pPr>
    </w:p>
    <w:p>
      <w:pPr>
        <w:ind w:left="1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Maximum Number of Shares Subject to this Option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b w:val="1"/>
          <w:bCs w:val="1"/>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Start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Schedule: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Status of 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97" w:lineRule="exact"/>
        <w:rPr>
          <w:sz w:val="20"/>
          <w:szCs w:val="20"/>
          <w:color w:val="auto"/>
        </w:rPr>
      </w:pPr>
    </w:p>
    <w:p>
      <w:pPr>
        <w:ind w:left="100" w:right="300"/>
        <w:spacing w:after="0" w:line="282" w:lineRule="auto"/>
        <w:rPr>
          <w:sz w:val="20"/>
          <w:szCs w:val="20"/>
          <w:color w:val="auto"/>
        </w:rPr>
      </w:pPr>
      <w:r>
        <w:rPr>
          <w:rFonts w:ascii="Times New Roman" w:cs="Times New Roman" w:eastAsia="Times New Roman" w:hAnsi="Times New Roman"/>
          <w:sz w:val="18"/>
          <w:szCs w:val="18"/>
          <w:color w:val="auto"/>
        </w:rPr>
        <w:t>This Option is immediately exercisable for all of the Shares, subject to the terms of the Stock Option Agreement</w:t>
      </w:r>
    </w:p>
    <w:p>
      <w:pPr>
        <w:spacing w:after="0" w:line="54" w:lineRule="exact"/>
        <w:rPr>
          <w:sz w:val="20"/>
          <w:szCs w:val="20"/>
          <w:color w:val="auto"/>
        </w:rPr>
      </w:pPr>
    </w:p>
    <w:p>
      <w:pPr>
        <w:ind w:left="100" w:right="160"/>
        <w:spacing w:after="0" w:line="282" w:lineRule="auto"/>
        <w:rPr>
          <w:sz w:val="20"/>
          <w:szCs w:val="20"/>
          <w:color w:val="auto"/>
        </w:rPr>
      </w:pPr>
      <w:r>
        <w:rPr>
          <w:rFonts w:ascii="Times New Roman" w:cs="Times New Roman" w:eastAsia="Times New Roman" w:hAnsi="Times New Roman"/>
          <w:sz w:val="18"/>
          <w:szCs w:val="18"/>
          <w:color w:val="auto"/>
        </w:rPr>
        <w:t>The date ten (10) years after the Date of Grant set forth above, subject to earlier expiration in the event of Termination as provided in Section 3 of the Stock Option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-7620</wp:posOffset>
            </wp:positionV>
            <wp:extent cx="114300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300"/>
            <w:col w:w="7660"/>
          </w:cols>
          <w:pgMar w:left="440" w:top="270" w:right="439" w:bottom="1440" w:gutter="0" w:footer="0" w:header="0"/>
          <w:type w:val="continuous"/>
        </w:sectPr>
      </w:pPr>
    </w:p>
    <w:p>
      <w:pPr>
        <w:spacing w:after="0" w:line="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General; Agreement: </w:t>
      </w:r>
      <w:r>
        <w:rPr>
          <w:rFonts w:ascii="Times New Roman" w:cs="Times New Roman" w:eastAsia="Times New Roman" w:hAnsi="Times New Roman"/>
          <w:sz w:val="18"/>
          <w:szCs w:val="18"/>
          <w:color w:val="auto"/>
        </w:rPr>
        <w:t>By Optionee’s acceptance of this Option, Optionee and the Company agree that this Option is granted under and governed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Stock Option Grant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acceptance of this Option,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 consequences upon exercise of the Option or disposition of the Shares and that Optionee should consult a tax adviser prior to such exercise or disposition.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18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Execution and Delivery: </w:t>
      </w:r>
      <w:r>
        <w:rPr>
          <w:rFonts w:ascii="Times New Roman" w:cs="Times New Roman" w:eastAsia="Times New Roman" w:hAnsi="Times New Roman"/>
          <w:sz w:val="18"/>
          <w:szCs w:val="18"/>
          <w:color w:val="auto"/>
        </w:rPr>
        <w:t>This Grant Notice may be executed and delivered electronically whether via the Company’s intranet or the Internet site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8"/>
          <w:szCs w:val="18"/>
          <w:b w:val="1"/>
          <w:bCs w:val="1"/>
          <w:i w:val="1"/>
          <w:iCs w:val="1"/>
          <w:color w:val="auto"/>
        </w:rPr>
        <w:t>701 Disclosures</w:t>
      </w:r>
      <w:r>
        <w:rPr>
          <w:rFonts w:ascii="Times New Roman" w:cs="Times New Roman" w:eastAsia="Times New Roman" w:hAnsi="Times New Roman"/>
          <w:sz w:val="18"/>
          <w:szCs w:val="18"/>
          <w:color w:val="auto"/>
        </w:rPr>
        <w:t>”), account statements, or other communications or information) whether via the Company’s intranet or the Internet site of such third party or via email or such other means of electronic delivery specified by the Company.</w:t>
      </w:r>
    </w:p>
    <w:p>
      <w:pPr>
        <w:spacing w:after="0" w:line="210"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Exhibit A – Stock Option Agreement</w:t>
      </w:r>
    </w:p>
    <w:p>
      <w:pPr>
        <w:sectPr>
          <w:pgSz w:w="11900" w:h="16838" w:orient="portrait"/>
          <w:cols w:equalWidth="0" w:num="1">
            <w:col w:w="11020"/>
          </w:cols>
          <w:pgMar w:left="440" w:top="270" w:right="439" w:bottom="1440" w:gutter="0" w:footer="0" w:header="0"/>
          <w:type w:val="continuous"/>
        </w:sectPr>
      </w:pPr>
    </w:p>
    <w:bookmarkStart w:id="457" w:name="page458"/>
    <w:bookmarkEnd w:id="45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Option Agreement</w:t>
      </w:r>
    </w:p>
    <w:p>
      <w:pPr>
        <w:sectPr>
          <w:pgSz w:w="11900" w:h="16838" w:orient="portrait"/>
          <w:cols w:equalWidth="0" w:num="1">
            <w:col w:w="9019"/>
          </w:cols>
          <w:pgMar w:left="1440" w:top="266" w:right="1440" w:bottom="1440" w:gutter="0" w:footer="0" w:header="0"/>
        </w:sectPr>
      </w:pPr>
    </w:p>
    <w:bookmarkStart w:id="458" w:name="page459"/>
    <w:bookmarkEnd w:id="458"/>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EARLY EXERCISE FORM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AZE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This Stock Option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the date of grant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set forth on the Notice of Stock Option Grant attached as the facing page to this Agreement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by and between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optionee named on the Grant Notice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color w:val="auto"/>
        </w:rPr>
        <w:t>”). Capitalized terms not defined in this Agreement shall have the meaning ascribed to them in the Company’s 2019 Equity Incentive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or in the Grant Notice, as applicable.</w:t>
      </w:r>
    </w:p>
    <w:p>
      <w:pPr>
        <w:spacing w:after="0" w:line="71" w:lineRule="exact"/>
        <w:rPr>
          <w:sz w:val="20"/>
          <w:szCs w:val="20"/>
          <w:color w:val="auto"/>
        </w:rPr>
      </w:pPr>
    </w:p>
    <w:p>
      <w:pPr>
        <w:ind w:right="200" w:firstLine="436"/>
        <w:spacing w:after="0" w:line="257" w:lineRule="auto"/>
        <w:tabs>
          <w:tab w:leader="none" w:pos="620"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OPTION. </w:t>
      </w:r>
      <w:r>
        <w:rPr>
          <w:rFonts w:ascii="Times New Roman" w:cs="Times New Roman" w:eastAsia="Times New Roman" w:hAnsi="Times New Roman"/>
          <w:sz w:val="18"/>
          <w:szCs w:val="18"/>
          <w:color w:val="auto"/>
        </w:rPr>
        <w:t>The Company hereby grants to Optionee an option (this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to purchase up to the total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of the Company, $0.001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set forth in the Grant Notice as the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the Exercise Price Per Share set forth in the Grant Notice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subject to all of the terms and conditions of the Grant Notice, this Agreement and the Plan. If designated as an Incentive Stock Option in the Grant Notice, this Option is intended to qualify as an incentive stock option (the “</w:t>
      </w:r>
      <w:r>
        <w:rPr>
          <w:rFonts w:ascii="Times New Roman" w:cs="Times New Roman" w:eastAsia="Times New Roman" w:hAnsi="Times New Roman"/>
          <w:sz w:val="18"/>
          <w:szCs w:val="18"/>
          <w:b w:val="1"/>
          <w:bCs w:val="1"/>
          <w:i w:val="1"/>
          <w:iCs w:val="1"/>
          <w:color w:val="auto"/>
        </w:rPr>
        <w:t>ISO</w:t>
      </w:r>
      <w:r>
        <w:rPr>
          <w:rFonts w:ascii="Times New Roman" w:cs="Times New Roman" w:eastAsia="Times New Roman" w:hAnsi="Times New Roman"/>
          <w:sz w:val="18"/>
          <w:szCs w:val="18"/>
          <w:color w:val="auto"/>
        </w:rPr>
        <w:t>”) within the meaning of Section 422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except that if on the Date of Grant Optionee is not subject to U.S. income tax, then this Option shall be a NQSO.</w:t>
      </w:r>
    </w:p>
    <w:p>
      <w:pPr>
        <w:spacing w:after="0" w:line="182"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PERIOD.</w:t>
      </w:r>
    </w:p>
    <w:p>
      <w:pPr>
        <w:spacing w:after="0" w:line="117" w:lineRule="exact"/>
        <w:rPr>
          <w:sz w:val="20"/>
          <w:szCs w:val="20"/>
          <w:color w:val="auto"/>
        </w:rPr>
      </w:pPr>
    </w:p>
    <w:p>
      <w:pPr>
        <w:jc w:val="both"/>
        <w:ind w:right="2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Exercise Period of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conditions set forth in this Agreement, all or part of this Option may be exercised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after the Date of Grant. Shares purchased by exercising this Option may be subject to the Repurchase Option as set forth in Section 7 below. This Option will become vested during its term as to portions of the Shares in accordance with the Vesting Schedule set forth in the Grant Notice.</w:t>
      </w:r>
    </w:p>
    <w:p>
      <w:pPr>
        <w:ind w:right="120"/>
        <w:spacing w:after="0" w:line="260" w:lineRule="auto"/>
        <w:rPr>
          <w:sz w:val="20"/>
          <w:szCs w:val="20"/>
          <w:color w:val="auto"/>
        </w:rPr>
      </w:pPr>
      <w:r>
        <w:rPr>
          <w:rFonts w:ascii="Times New Roman" w:cs="Times New Roman" w:eastAsia="Times New Roman" w:hAnsi="Times New Roman"/>
          <w:sz w:val="18"/>
          <w:szCs w:val="18"/>
          <w:color w:val="auto"/>
        </w:rPr>
        <w:t>Notwithstanding any provision in the Plan or this Agreement to the contrary, on or after Optionee’s Termination Date, this Option may not be exercised with respect to any Shares that are Unvested Shares on Optionee’s Termination Date.</w:t>
      </w:r>
    </w:p>
    <w:p>
      <w:pPr>
        <w:spacing w:after="0" w:line="69" w:lineRule="exact"/>
        <w:rPr>
          <w:sz w:val="20"/>
          <w:szCs w:val="20"/>
          <w:color w:val="auto"/>
        </w:rPr>
      </w:pPr>
    </w:p>
    <w:p>
      <w:pPr>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Vesting of Option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with respect to which this Option is vested at a given time pursuant to the Vesting Schedule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Grant Notice are “</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Shares with respect to which this Option is not vested at a given time pursuant to the Vesting Schedule set forth in the Grant Notice are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shall expire on the Expiration Date set forth in the Grant Notice or earlier as provided in Section 3 below.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 TERMINATION.</w:t>
      </w:r>
    </w:p>
    <w:p>
      <w:pPr>
        <w:spacing w:after="0" w:line="117" w:lineRule="exact"/>
        <w:rPr>
          <w:sz w:val="20"/>
          <w:szCs w:val="20"/>
          <w:color w:val="auto"/>
        </w:rPr>
      </w:pPr>
    </w:p>
    <w:p>
      <w:pPr>
        <w:ind w:right="100" w:firstLine="991"/>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b w:val="1"/>
          <w:bCs w:val="1"/>
          <w:u w:val="single" w:color="auto"/>
          <w:color w:val="auto"/>
        </w:rPr>
        <w:t>Termination for Any Reason Except Death, Disability or Cause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provided in subsection 3.2 in a case in which Optionee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dies within 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that it is exercisable with respect to Vested Shares on Optionee’s Termination Date, may be exercised by Optionee no later than three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months after Optionee’s Termination Date (but in no event may this Option be exercised after the Expiration Date).</w:t>
      </w:r>
    </w:p>
    <w:p>
      <w:pPr>
        <w:sectPr>
          <w:pgSz w:w="11900" w:h="16838" w:orient="portrait"/>
          <w:cols w:equalWidth="0" w:num="1">
            <w:col w:w="11020"/>
          </w:cols>
          <w:pgMar w:left="440" w:top="270" w:right="439" w:bottom="1440" w:gutter="0" w:footer="0" w:header="0"/>
        </w:sectPr>
      </w:pPr>
    </w:p>
    <w:bookmarkStart w:id="459" w:name="page460"/>
    <w:bookmarkEnd w:id="459"/>
    <w:p>
      <w:pPr>
        <w:ind w:right="6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b w:val="1"/>
          <w:bCs w:val="1"/>
          <w:u w:val="single" w:color="auto"/>
          <w:color w:val="auto"/>
        </w:rPr>
        <w:t>Termination Because of Death or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Terminated because of Optionee’s death or Disability (or if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dies within three (3) 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that it is exercisable with respect to Vested Shares on Optionee’s Termination Date, may be exercised by Optionee (or 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80"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Termination for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Terminated for Cause, then Optionee may exercise this Option, but only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71"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the Plan or this Agreement shall confer on Optionee any right to continue in the employ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 MANNER OF EXERCISE.</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Stock Option Exercise Notice and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exercise this Option, Optionee (or in the case of exercise after Optionee’s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incapacity, Optionee’s executor, administrator, heir or legatee, as the case may be) must provide an electronic notice (via ) or deliver to the Company an executed Stock Option Exercise Notice and Agreement in the form attached hereto as </w:t>
      </w:r>
      <w:r>
        <w:rPr>
          <w:rFonts w:ascii="Times New Roman" w:cs="Times New Roman" w:eastAsia="Times New Roman" w:hAnsi="Times New Roman"/>
          <w:sz w:val="18"/>
          <w:szCs w:val="18"/>
          <w:b w:val="1"/>
          <w:bCs w:val="1"/>
          <w:u w:val="single" w:color="auto"/>
          <w:color w:val="auto"/>
        </w:rPr>
        <w:t>Annex A</w:t>
      </w:r>
      <w:r>
        <w:rPr>
          <w:rFonts w:ascii="Times New Roman" w:cs="Times New Roman" w:eastAsia="Times New Roman" w:hAnsi="Times New Roman"/>
          <w:sz w:val="18"/>
          <w:szCs w:val="18"/>
          <w:color w:val="auto"/>
        </w:rPr>
        <w:t>, or in such other form as may be approved by the Committee from time to time (the “</w:t>
      </w:r>
      <w:r>
        <w:rPr>
          <w:rFonts w:ascii="Times New Roman" w:cs="Times New Roman" w:eastAsia="Times New Roman" w:hAnsi="Times New Roman"/>
          <w:sz w:val="18"/>
          <w:szCs w:val="18"/>
          <w:b w:val="1"/>
          <w:bCs w:val="1"/>
          <w:i w:val="1"/>
          <w:iCs w:val="1"/>
          <w:color w:val="auto"/>
        </w:rPr>
        <w:t>Exercise Agreement</w:t>
      </w:r>
      <w:r>
        <w:rPr>
          <w:rFonts w:ascii="Times New Roman" w:cs="Times New Roman" w:eastAsia="Times New Roman" w:hAnsi="Times New Roman"/>
          <w:sz w:val="18"/>
          <w:szCs w:val="18"/>
          <w:color w:val="auto"/>
        </w:rPr>
        <w:t>”) and payment for the shares being purchased in accordance with this Agreement. The Exercise Agreement shall set forth, among other things, (i) 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and (iv) any other agreements required by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77"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Option may not be exercised unless such exercise is in compliance with all applicable federal and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as they are in effect on the date of exercise.</w:t>
      </w:r>
    </w:p>
    <w:p>
      <w:pPr>
        <w:spacing w:after="0" w:line="47"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Agreement shall be accompanied by full payment of the Exercise Price for the shares being purchased in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check, Automated Clearing House (“</w:t>
      </w:r>
      <w:r>
        <w:rPr>
          <w:rFonts w:ascii="Times New Roman" w:cs="Times New Roman" w:eastAsia="Times New Roman" w:hAnsi="Times New Roman"/>
          <w:sz w:val="18"/>
          <w:szCs w:val="18"/>
          <w:b w:val="1"/>
          <w:bCs w:val="1"/>
          <w:i w:val="1"/>
          <w:iCs w:val="1"/>
          <w:color w:val="auto"/>
        </w:rPr>
        <w:t>ACH</w:t>
      </w:r>
      <w:r>
        <w:rPr>
          <w:rFonts w:ascii="Times New Roman" w:cs="Times New Roman" w:eastAsia="Times New Roman" w:hAnsi="Times New Roman"/>
          <w:sz w:val="18"/>
          <w:szCs w:val="18"/>
          <w:color w:val="auto"/>
        </w:rPr>
        <w:t>”) transfer, or wire transfer), or where permitted by law:</w:t>
      </w:r>
    </w:p>
    <w:p>
      <w:pPr>
        <w:spacing w:after="0" w:line="51" w:lineRule="exact"/>
        <w:rPr>
          <w:sz w:val="20"/>
          <w:szCs w:val="20"/>
          <w:color w:val="auto"/>
        </w:rPr>
      </w:pPr>
    </w:p>
    <w:p>
      <w:pPr>
        <w:ind w:left="5460" w:right="4480" w:hanging="4032"/>
        <w:spacing w:after="0" w:line="454" w:lineRule="auto"/>
        <w:tabs>
          <w:tab w:leader="none" w:pos="167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cancellation of indebtedness of the Company owed to Optionee; 2</w:t>
      </w:r>
    </w:p>
    <w:p>
      <w:pPr>
        <w:sectPr>
          <w:pgSz w:w="11900" w:h="16838" w:orient="portrait"/>
          <w:cols w:equalWidth="0" w:num="1">
            <w:col w:w="11000"/>
          </w:cols>
          <w:pgMar w:left="440" w:top="266" w:right="459" w:bottom="1440" w:gutter="0" w:footer="0" w:header="0"/>
        </w:sectPr>
      </w:pPr>
    </w:p>
    <w:bookmarkStart w:id="460" w:name="page461"/>
    <w:bookmarkEnd w:id="460"/>
    <w:p>
      <w:pPr>
        <w:ind w:left="4" w:right="340" w:firstLine="1428"/>
        <w:spacing w:after="0" w:line="261" w:lineRule="auto"/>
        <w:tabs>
          <w:tab w:leader="none" w:pos="1691"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7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a formal cashless exercise program implemented by the Committee in connection with the Plan;</w:t>
      </w:r>
    </w:p>
    <w:p>
      <w:pPr>
        <w:spacing w:after="0" w:line="117" w:lineRule="exact"/>
        <w:rPr>
          <w:rFonts w:ascii="Times New Roman" w:cs="Times New Roman" w:eastAsia="Times New Roman" w:hAnsi="Times New Roman"/>
          <w:sz w:val="18"/>
          <w:szCs w:val="18"/>
          <w:color w:val="auto"/>
        </w:rPr>
      </w:pPr>
    </w:p>
    <w:p>
      <w:pPr>
        <w:ind w:left="4" w:right="60" w:firstLine="1428"/>
        <w:spacing w:after="0" w:line="261" w:lineRule="auto"/>
        <w:tabs>
          <w:tab w:leader="none" w:pos="1691"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 public market for the Common Stock exists,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71" w:lineRule="exact"/>
        <w:rPr>
          <w:rFonts w:ascii="Times New Roman" w:cs="Times New Roman" w:eastAsia="Times New Roman" w:hAnsi="Times New Roman"/>
          <w:sz w:val="18"/>
          <w:szCs w:val="18"/>
          <w:color w:val="auto"/>
        </w:rPr>
      </w:pPr>
    </w:p>
    <w:p>
      <w:pPr>
        <w:ind w:left="4" w:right="760" w:firstLine="1428"/>
        <w:spacing w:after="0" w:line="282" w:lineRule="auto"/>
        <w:tabs>
          <w:tab w:leader="none" w:pos="1681"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foregoing or any other method of payment approved by the Committee that constitutes legal consideration for the issuance of Shares.</w:t>
      </w:r>
    </w:p>
    <w:p>
      <w:pPr>
        <w:spacing w:after="0" w:line="162" w:lineRule="exact"/>
        <w:rPr>
          <w:sz w:val="20"/>
          <w:szCs w:val="20"/>
          <w:color w:val="auto"/>
        </w:rPr>
      </w:pPr>
    </w:p>
    <w:p>
      <w:pPr>
        <w:ind w:left="4" w:right="300"/>
        <w:spacing w:after="0" w:line="266" w:lineRule="auto"/>
        <w:rPr>
          <w:sz w:val="20"/>
          <w:szCs w:val="20"/>
          <w:color w:val="auto"/>
        </w:rPr>
      </w:pPr>
      <w:r>
        <w:rPr>
          <w:rFonts w:ascii="Times New Roman" w:cs="Times New Roman" w:eastAsia="Times New Roman" w:hAnsi="Times New Roman"/>
          <w:sz w:val="18"/>
          <w:szCs w:val="18"/>
          <w:color w:val="auto"/>
        </w:rPr>
        <w:t>For avoidance of uncertainty: ACH transfers that have been successfully received by the Company into its bank account designated via for receipt of such transfers shall be deemed to have been received for all purposes of this Option as of the date on which such transfers were initiated from the Optionee’s account and made irrevocable by Optionee.</w:t>
      </w:r>
    </w:p>
    <w:p>
      <w:pPr>
        <w:spacing w:after="0" w:line="64" w:lineRule="exact"/>
        <w:rPr>
          <w:sz w:val="20"/>
          <w:szCs w:val="20"/>
          <w:color w:val="auto"/>
        </w:rPr>
      </w:pPr>
    </w:p>
    <w:p>
      <w:pPr>
        <w:ind w:left="4" w:right="14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issuance of the Shares upon exercise of the Option, Optionee must pay or provide for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state and local withholding obligations of the Company. If the Committee permits, Optionee may provide for payment of withholding taxes upon exercise of the Option by requesting that the Company retain the minimum number of Shares with a Fair Market Value equal to the minimum amount of taxes required to be withheld; or to arrange a mandatory “sell to cover” on Optionee’s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w:t>
      </w:r>
    </w:p>
    <w:p>
      <w:pPr>
        <w:spacing w:after="0" w:line="75" w:lineRule="exact"/>
        <w:rPr>
          <w:sz w:val="20"/>
          <w:szCs w:val="20"/>
          <w:color w:val="auto"/>
        </w:rPr>
      </w:pPr>
    </w:p>
    <w:p>
      <w:pPr>
        <w:ind w:left="4" w:right="2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the Exercise Agreement and payment are in form and substance satisfactory to counsel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Company shall issue the Shares issuable upon a valid exercise of this Option registered in the name of Optionee, Optionee’s authorized assignee, or Optionee’s legal representative, and shall deliver electronic certificates via representing the Shares with the appropriate legends affixed thereto.</w:t>
      </w:r>
    </w:p>
    <w:p>
      <w:pPr>
        <w:spacing w:after="0" w:line="176" w:lineRule="exact"/>
        <w:rPr>
          <w:sz w:val="20"/>
          <w:szCs w:val="20"/>
          <w:color w:val="auto"/>
        </w:rPr>
      </w:pPr>
    </w:p>
    <w:p>
      <w:pPr>
        <w:ind w:left="624" w:hanging="184"/>
        <w:spacing w:after="0"/>
        <w:tabs>
          <w:tab w:leader="none" w:pos="624" w:val="left"/>
        </w:tabs>
        <w:numPr>
          <w:ilvl w:val="1"/>
          <w:numId w:val="3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COMPLIANCE WITH LAWS AND REGULATIONS. </w:t>
      </w:r>
      <w:r>
        <w:rPr>
          <w:rFonts w:ascii="Times New Roman" w:cs="Times New Roman" w:eastAsia="Times New Roman" w:hAnsi="Times New Roman"/>
          <w:sz w:val="17"/>
          <w:szCs w:val="17"/>
          <w:color w:val="auto"/>
        </w:rPr>
        <w:t>The Plan and this Agreement are intended to comply with Section 25102(o) and Rule</w:t>
      </w:r>
    </w:p>
    <w:p>
      <w:pPr>
        <w:spacing w:after="0" w:line="42" w:lineRule="exact"/>
        <w:rPr>
          <w:rFonts w:ascii="Times New Roman" w:cs="Times New Roman" w:eastAsia="Times New Roman" w:hAnsi="Times New Roman"/>
          <w:sz w:val="17"/>
          <w:szCs w:val="17"/>
          <w:b w:val="1"/>
          <w:bCs w:val="1"/>
          <w:color w:val="auto"/>
        </w:rPr>
      </w:pPr>
    </w:p>
    <w:p>
      <w:pPr>
        <w:ind w:left="4" w:hanging="4"/>
        <w:spacing w:after="0" w:line="252" w:lineRule="auto"/>
        <w:tabs>
          <w:tab w:leader="none" w:pos="364"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461" w:name="page462"/>
    <w:bookmarkEnd w:id="461"/>
    <w:p>
      <w:pPr>
        <w:ind w:firstLine="436"/>
        <w:spacing w:after="0" w:line="259" w:lineRule="auto"/>
        <w:tabs>
          <w:tab w:leader="none" w:pos="62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NONTRANSFERABILITY OF OPTION. </w:t>
      </w:r>
      <w:r>
        <w:rPr>
          <w:rFonts w:ascii="Times New Roman" w:cs="Times New Roman" w:eastAsia="Times New Roman" w:hAnsi="Times New Roman"/>
          <w:sz w:val="18"/>
          <w:szCs w:val="18"/>
          <w:color w:val="auto"/>
        </w:rPr>
        <w:t>This Option may not be transferred in any manner other than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79" w:lineRule="exact"/>
        <w:rPr>
          <w:rFonts w:ascii="Times New Roman" w:cs="Times New Roman" w:eastAsia="Times New Roman" w:hAnsi="Times New Roman"/>
          <w:sz w:val="18"/>
          <w:szCs w:val="18"/>
          <w:b w:val="1"/>
          <w:bCs w:val="1"/>
          <w:color w:val="auto"/>
        </w:rPr>
      </w:pPr>
    </w:p>
    <w:p>
      <w:pPr>
        <w:ind w:right="60" w:firstLine="436"/>
        <w:spacing w:after="0" w:line="259" w:lineRule="auto"/>
        <w:tabs>
          <w:tab w:leader="none" w:pos="62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COMPANY’S REPURCHASE OPTION FOR UNVESTED SHARES. </w:t>
      </w:r>
      <w:r>
        <w:rPr>
          <w:rFonts w:ascii="Times New Roman" w:cs="Times New Roman" w:eastAsia="Times New Roman" w:hAnsi="Times New Roman"/>
          <w:sz w:val="18"/>
          <w:szCs w:val="18"/>
          <w:color w:val="auto"/>
        </w:rPr>
        <w:t>If Optionee is Terminated for any reason, or no reason,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Optionee’s death, Disability, voluntary resignation or termination by the Company with or without Cause and Optionee has acquired Unvested Shares by exercising this Option, then the Company and/or its assignee(s) shall have the option to repurchase all or a portion of Optionee’s Unvested Shares (as defined in Section 2.2 of this Agreement) as of the Termination Date on the terms and conditions set forth in this Section 7 (the “</w:t>
      </w:r>
      <w:r>
        <w:rPr>
          <w:rFonts w:ascii="Times New Roman" w:cs="Times New Roman" w:eastAsia="Times New Roman" w:hAnsi="Times New Roman"/>
          <w:sz w:val="18"/>
          <w:szCs w:val="18"/>
          <w:b w:val="1"/>
          <w:bCs w:val="1"/>
          <w:i w:val="1"/>
          <w:iCs w:val="1"/>
          <w:color w:val="auto"/>
        </w:rPr>
        <w:t>Repurchase Option</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right="6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Termination and Termination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of any dispute as to whether Optionee is Terminated, the Committee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to determine whether Optionee has been Terminated and the effective date of such Termination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right="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Exercise of Repurchase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foregoing provisions of this Section, at any time within ninety (90) days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Optionee’s Termination Date, the Company and/or its assignee(s), may elect to repurchase any or all of Optionee’s Unvested Shares by giving Optionee written notice of exercise of the Repurchase Option.</w:t>
      </w:r>
    </w:p>
    <w:p>
      <w:pPr>
        <w:spacing w:after="0" w:line="63"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Calculation of Repurchase Price for Unvested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its assignee shall have the option to repurchase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(or from Optionee’s personal representative as the case may be) the Unvested Shares at the lower of (a) the Fair Market Value (as defined in the Plan) per Share of such Shares on the Termination Date or (b) Optionee’s Exercise Price, as such may be proportionately adjusted for any stock split or similar change in the capital structure of the Company as set forth in Section 2.2 of the Plan (the “</w:t>
      </w:r>
      <w:r>
        <w:rPr>
          <w:rFonts w:ascii="Times New Roman" w:cs="Times New Roman" w:eastAsia="Times New Roman" w:hAnsi="Times New Roman"/>
          <w:sz w:val="18"/>
          <w:szCs w:val="18"/>
          <w:b w:val="1"/>
          <w:bCs w:val="1"/>
          <w:i w:val="1"/>
          <w:iCs w:val="1"/>
          <w:color w:val="auto"/>
        </w:rPr>
        <w:t>Repurchase Price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u w:val="single" w:color="auto"/>
          <w:color w:val="auto"/>
        </w:rPr>
        <w:t>Payment of Repurchase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Repurchase Price shall be payable, at the option of the Company or its assignee, by check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cancellation of all or a portion of any outstanding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owed by Optionee to the Company and/or such assignee, or by any combination thereof. The Repurchase Price shall be paid without interest within the term of the Repurchase Option as described in Section 7.2.</w:t>
      </w:r>
    </w:p>
    <w:p>
      <w:pPr>
        <w:spacing w:after="0" w:line="63"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b w:val="1"/>
          <w:bCs w:val="1"/>
          <w:u w:val="single" w:color="auto"/>
          <w:color w:val="auto"/>
        </w:rPr>
        <w:t>Right of Termination Unaffected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shall be construed to limit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in any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the right or power of the Company (or any Parent or Subsidiary of the Company) to terminate Optionee’s employment or other relationship with Company (or any Parent or Subsidiary of the Company) at any time, for any reason or no reason, with or without Cause.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 RESTRICTIONS ON TRANSFER.</w:t>
      </w:r>
    </w:p>
    <w:p>
      <w:pPr>
        <w:spacing w:after="0" w:line="117"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Disposition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hereby agrees that Optionee shall make no disposition of any of the Shares (other than as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this Agreement) unless and until:</w:t>
      </w:r>
    </w:p>
    <w:p>
      <w:pPr>
        <w:spacing w:after="0" w:line="51" w:lineRule="exact"/>
        <w:rPr>
          <w:sz w:val="20"/>
          <w:szCs w:val="20"/>
          <w:color w:val="auto"/>
        </w:rPr>
      </w:pPr>
    </w:p>
    <w:p>
      <w:pPr>
        <w:ind w:right="660" w:firstLine="1428"/>
        <w:spacing w:after="0" w:line="282" w:lineRule="auto"/>
        <w:tabs>
          <w:tab w:leader="none" w:pos="1677"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notified the Company of the proposed disposition and provided a written summary of the terms and conditions of the proposed disposition;</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complied with all requirements of this Agreement applicable to the disposition of the Shares;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6" w:right="499" w:bottom="1440" w:gutter="0" w:footer="0" w:header="0"/>
        </w:sectPr>
      </w:pPr>
    </w:p>
    <w:bookmarkStart w:id="462" w:name="page463"/>
    <w:bookmarkEnd w:id="462"/>
    <w:p>
      <w:pPr>
        <w:ind w:left="4" w:right="260" w:firstLine="1428"/>
        <w:spacing w:after="0" w:line="261" w:lineRule="auto"/>
        <w:tabs>
          <w:tab w:leader="none" w:pos="1681"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Optionee shall have provided the Company with written assurances, in form and substance satisfactory to counsel for the Company, that (i) the proposed disposition does not require registration of the Shares under the Securities Act or under any 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71" w:lineRule="exact"/>
        <w:rPr>
          <w:rFonts w:ascii="Times New Roman" w:cs="Times New Roman" w:eastAsia="Times New Roman" w:hAnsi="Times New Roman"/>
          <w:sz w:val="18"/>
          <w:szCs w:val="18"/>
          <w:color w:val="auto"/>
        </w:rPr>
      </w:pPr>
    </w:p>
    <w:p>
      <w:pPr>
        <w:ind w:left="4" w:right="80" w:firstLine="1428"/>
        <w:spacing w:after="0" w:line="258" w:lineRule="auto"/>
        <w:tabs>
          <w:tab w:leader="none" w:pos="1691"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71" w:lineRule="exact"/>
        <w:rPr>
          <w:sz w:val="20"/>
          <w:szCs w:val="20"/>
          <w:color w:val="auto"/>
        </w:rPr>
      </w:pPr>
    </w:p>
    <w:p>
      <w:pPr>
        <w:ind w:left="4"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Restriction on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shall not transfer, assign, grant a lien or security interest in, pledge, hypothecate, encumber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dispose of any of the Shares which are subject to the Company’s Repurchase Option or the Right of First Refusal described below, except as permitted by this Agreement.</w:t>
      </w:r>
    </w:p>
    <w:p>
      <w:pPr>
        <w:spacing w:after="0" w:line="63" w:lineRule="exact"/>
        <w:rPr>
          <w:sz w:val="20"/>
          <w:szCs w:val="20"/>
          <w:color w:val="auto"/>
        </w:rPr>
      </w:pPr>
    </w:p>
    <w:p>
      <w:pPr>
        <w:ind w:left="4"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u w:val="single" w:color="auto"/>
          <w:color w:val="auto"/>
        </w:rPr>
        <w:t>Transferee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(other than the Company) to whom the Shares are transferred by means of one of the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specified in this Agreement must, as a condition precedent to the validity of such transfer, acknowledge in writing to the Company that such person is bound by the provisions of this Agreement and that the transferred Shares are subject to (i) both the Company’s Repurchase Option and the Company’s Right of First Refusal granted hereunder and (ii) the market stand-off provisions of Section 9 below, to the same extent such Shares would be so subject if retained by Optionee.</w:t>
      </w:r>
    </w:p>
    <w:p>
      <w:pPr>
        <w:spacing w:after="0" w:line="179" w:lineRule="exact"/>
        <w:rPr>
          <w:sz w:val="20"/>
          <w:szCs w:val="20"/>
          <w:color w:val="auto"/>
        </w:rPr>
      </w:pPr>
    </w:p>
    <w:p>
      <w:pPr>
        <w:ind w:left="4" w:firstLine="436"/>
        <w:spacing w:after="0" w:line="252" w:lineRule="auto"/>
        <w:tabs>
          <w:tab w:leader="none" w:pos="624" w:val="left"/>
        </w:tabs>
        <w:numPr>
          <w:ilvl w:val="1"/>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MARKET STANDOFF AGREEMENT. </w:t>
      </w:r>
      <w:r>
        <w:rPr>
          <w:rFonts w:ascii="Times New Roman" w:cs="Times New Roman" w:eastAsia="Times New Roman" w:hAnsi="Times New Roman"/>
          <w:sz w:val="18"/>
          <w:szCs w:val="18"/>
          <w:color w:val="auto"/>
        </w:rPr>
        <w:t>Optionee agrees that, subject to any early release provisions that apply pro rata to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xml:space="preserve">”), directly or indirectly sell, offer to sell, grant any option for the sale of, or otherwise dispose of any Common Stock or securities convertible into Common Stock, </w:t>
      </w:r>
      <w:r>
        <w:rPr>
          <w:rFonts w:ascii="Times New Roman" w:cs="Times New Roman" w:eastAsia="Times New Roman" w:hAnsi="Times New Roman"/>
          <w:sz w:val="18"/>
          <w:szCs w:val="18"/>
          <w:u w:val="single" w:color="auto"/>
          <w:color w:val="auto"/>
        </w:rPr>
        <w:t>except for:</w:t>
      </w:r>
      <w:r>
        <w:rPr>
          <w:rFonts w:ascii="Times New Roman" w:cs="Times New Roman" w:eastAsia="Times New Roman" w:hAnsi="Times New Roman"/>
          <w:sz w:val="18"/>
          <w:szCs w:val="18"/>
          <w:color w:val="auto"/>
        </w:rPr>
        <w:t xml:space="preserve"> (i) transfers of Shares permitted under Section 10.6 hereof so long as such transferee furnishes to the Company and the managing underwriter their written consent to be bound by this Section 9 as a condition precedent to such transfer; and (ii) 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w:t>
      </w:r>
    </w:p>
    <w:p>
      <w:pPr>
        <w:spacing w:after="0" w:line="3"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merger, consolidation, business combination or similar transaction.</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63" w:name="page464"/>
    <w:bookmarkEnd w:id="463"/>
    <w:p>
      <w:pPr>
        <w:ind w:left="4" w:right="40" w:firstLine="436"/>
        <w:spacing w:after="0" w:line="257" w:lineRule="auto"/>
        <w:tabs>
          <w:tab w:leader="none" w:pos="714" w:val="left"/>
        </w:tabs>
        <w:numPr>
          <w:ilvl w:val="0"/>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COMPANY’S RIGHT OF FIRST REFUSAL. </w:t>
      </w:r>
      <w:r>
        <w:rPr>
          <w:rFonts w:ascii="Times New Roman" w:cs="Times New Roman" w:eastAsia="Times New Roman" w:hAnsi="Times New Roman"/>
          <w:sz w:val="18"/>
          <w:szCs w:val="18"/>
          <w:color w:val="auto"/>
        </w:rPr>
        <w:t>Unvested Shares may not be sold or otherwise transferred, or pledged by Optionee or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 security interest, pledge or other lien without the Company’s prior written consent, which may be withheld in the Company’s sole and absolute discretion. Before any Vested Shares held by Optionee or any transferee of such Vested Shares (either sometimes referred to herein as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may be sold or otherwise transferred (including, without limitation, a transfer by gift or operation of law), the Company and/or its assignee(s) will have a right of first refusal to purchase the Vested Shares to be sold or transferred (the “</w:t>
      </w:r>
      <w:r>
        <w:rPr>
          <w:rFonts w:ascii="Times New Roman" w:cs="Times New Roman" w:eastAsia="Times New Roman" w:hAnsi="Times New Roman"/>
          <w:sz w:val="18"/>
          <w:szCs w:val="18"/>
          <w:b w:val="1"/>
          <w:bCs w:val="1"/>
          <w:i w:val="1"/>
          <w:iCs w:val="1"/>
          <w:color w:val="auto"/>
        </w:rPr>
        <w:t>Offered Shares”</w:t>
      </w:r>
      <w:r>
        <w:rPr>
          <w:rFonts w:ascii="Times New Roman" w:cs="Times New Roman" w:eastAsia="Times New Roman" w:hAnsi="Times New Roman"/>
          <w:sz w:val="18"/>
          <w:szCs w:val="18"/>
          <w:color w:val="auto"/>
        </w:rPr>
        <w:t>) on the terms and conditions set forth in this Section (the “</w:t>
      </w:r>
      <w:r>
        <w:rPr>
          <w:rFonts w:ascii="Times New Roman" w:cs="Times New Roman" w:eastAsia="Times New Roman" w:hAnsi="Times New Roman"/>
          <w:sz w:val="18"/>
          <w:szCs w:val="18"/>
          <w:b w:val="1"/>
          <w:bCs w:val="1"/>
          <w:i w:val="1"/>
          <w:iCs w:val="1"/>
          <w:color w:val="auto"/>
        </w:rPr>
        <w:t>Right of First Refusal”</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Notice of Proposed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the Offered Shares will deliver to the Company a written notice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stating:</w:t>
      </w:r>
    </w:p>
    <w:p>
      <w:pPr>
        <w:spacing w:after="0" w:line="31" w:lineRule="exact"/>
        <w:rPr>
          <w:sz w:val="20"/>
          <w:szCs w:val="20"/>
          <w:color w:val="auto"/>
        </w:rPr>
      </w:pPr>
    </w:p>
    <w:p>
      <w:pPr>
        <w:ind w:left="4" w:hanging="4"/>
        <w:spacing w:after="0" w:line="253" w:lineRule="auto"/>
        <w:tabs>
          <w:tab w:leader="none" w:pos="219"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bona fide intention to sell or otherwise transfer the Offered Shares; (ii) the name and address of each proposed purchaser or other transferee (the “</w:t>
      </w:r>
      <w:r>
        <w:rPr>
          <w:rFonts w:ascii="Times New Roman" w:cs="Times New Roman" w:eastAsia="Times New Roman" w:hAnsi="Times New Roman"/>
          <w:sz w:val="18"/>
          <w:szCs w:val="18"/>
          <w:b w:val="1"/>
          <w:bCs w:val="1"/>
          <w:i w:val="1"/>
          <w:iCs w:val="1"/>
          <w:color w:val="auto"/>
        </w:rPr>
        <w:t>Proposed Transferee”</w:t>
      </w:r>
      <w:r>
        <w:rPr>
          <w:rFonts w:ascii="Times New Roman" w:cs="Times New Roman" w:eastAsia="Times New Roman" w:hAnsi="Times New Roman"/>
          <w:sz w:val="18"/>
          <w:szCs w:val="18"/>
          <w:color w:val="auto"/>
        </w:rPr>
        <w:t>); (iii) the number of Offered Shares to be transferred to each Proposed Transferee; (iv) the bona fide cash price or other consideration for which the Holder proposes to transfer the Offered Shares (the “</w:t>
      </w:r>
      <w:r>
        <w:rPr>
          <w:rFonts w:ascii="Times New Roman" w:cs="Times New Roman" w:eastAsia="Times New Roman" w:hAnsi="Times New Roman"/>
          <w:sz w:val="18"/>
          <w:szCs w:val="18"/>
          <w:b w:val="1"/>
          <w:bCs w:val="1"/>
          <w:i w:val="1"/>
          <w:iCs w:val="1"/>
          <w:color w:val="auto"/>
        </w:rPr>
        <w:t>Offered Price”</w:t>
      </w:r>
      <w:r>
        <w:rPr>
          <w:rFonts w:ascii="Times New Roman" w:cs="Times New Roman" w:eastAsia="Times New Roman" w:hAnsi="Times New Roman"/>
          <w:sz w:val="18"/>
          <w:szCs w:val="18"/>
          <w:color w:val="auto"/>
        </w:rPr>
        <w:t>); and (v) that the Holder acknowledges this Notice is an offer to sell the Offered Shares to the Company and/or its assignee(s) pursuant to the Company’s Right of First Refusal at the Offered Price as provided for in this Agreement.</w:t>
      </w:r>
    </w:p>
    <w:p>
      <w:pPr>
        <w:spacing w:after="0" w:line="75" w:lineRule="exact"/>
        <w:rPr>
          <w:sz w:val="20"/>
          <w:szCs w:val="20"/>
          <w:color w:val="auto"/>
        </w:rPr>
      </w:pPr>
    </w:p>
    <w:p>
      <w:pPr>
        <w:ind w:left="4" w:right="30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10.2. </w:t>
      </w:r>
      <w:r>
        <w:rPr>
          <w:rFonts w:ascii="Times New Roman" w:cs="Times New Roman" w:eastAsia="Times New Roman" w:hAnsi="Times New Roman"/>
          <w:sz w:val="17"/>
          <w:szCs w:val="17"/>
          <w:b w:val="1"/>
          <w:bCs w:val="1"/>
          <w:u w:val="single" w:color="auto"/>
          <w:color w:val="auto"/>
        </w:rPr>
        <w:t>Exercise of Right of First Refusal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any time within thirty (30) days after the date of the Notice, the Company and/or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assignee(s) 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45" w:lineRule="exact"/>
        <w:rPr>
          <w:sz w:val="20"/>
          <w:szCs w:val="20"/>
          <w:color w:val="auto"/>
        </w:rPr>
      </w:pPr>
    </w:p>
    <w:p>
      <w:pPr>
        <w:ind w:left="4"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for the Offered Shares purchased under this Section will be the Offered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Offered Price consists of no legal consideration (as, for example, in the case of a transfer by gift) then the purchase price will be the fair market value of the Offered Shares as determined in good faith by the Committee. If the Offered Price includes consideration other than cash, then the value of the non-cash consideration, as determined in good faith by the Committee, will conclusively be deemed to be the cash equivalent value of such non-cash consideration.</w:t>
      </w:r>
    </w:p>
    <w:p>
      <w:pPr>
        <w:spacing w:after="0" w:line="71" w:lineRule="exact"/>
        <w:rPr>
          <w:sz w:val="20"/>
          <w:szCs w:val="20"/>
          <w:color w:val="auto"/>
        </w:rPr>
      </w:pPr>
    </w:p>
    <w:p>
      <w:pPr>
        <w:ind w:left="4"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the purchase price for the Offered Shares will be payable, at the option of the Company and/or its assignee(s)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71" w:lineRule="exact"/>
        <w:rPr>
          <w:sz w:val="20"/>
          <w:szCs w:val="20"/>
          <w:color w:val="auto"/>
        </w:rPr>
      </w:pPr>
    </w:p>
    <w:p>
      <w:pPr>
        <w:ind w:left="4" w:right="12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10.5. </w:t>
      </w:r>
      <w:r>
        <w:rPr>
          <w:rFonts w:ascii="Times New Roman" w:cs="Times New Roman" w:eastAsia="Times New Roman" w:hAnsi="Times New Roman"/>
          <w:sz w:val="18"/>
          <w:szCs w:val="18"/>
          <w:b w:val="1"/>
          <w:bCs w:val="1"/>
          <w:u w:val="single" w:color="auto"/>
          <w:color w:val="auto"/>
        </w:rPr>
        <w:t>Holder’s Right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all of the Offered Shares proposed in the Notice to be transferred to a given Proposed Transferee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purchased by the Company and/or its assignee(s) as provided in this Section, then the Holder may sell or otherwise transfer such Offered Shares to each Proposed Transferee at the Offered Price or at a higher price,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77" w:lineRule="exact"/>
        <w:rPr>
          <w:sz w:val="20"/>
          <w:szCs w:val="20"/>
          <w:color w:val="auto"/>
        </w:rPr>
      </w:pPr>
    </w:p>
    <w:p>
      <w:pPr>
        <w:ind w:left="4"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10.6. </w:t>
      </w:r>
      <w:r>
        <w:rPr>
          <w:rFonts w:ascii="Times New Roman" w:cs="Times New Roman" w:eastAsia="Times New Roman" w:hAnsi="Times New Roman"/>
          <w:sz w:val="18"/>
          <w:szCs w:val="18"/>
          <w:b w:val="1"/>
          <w:bCs w:val="1"/>
          <w:u w:val="single" w:color="auto"/>
          <w:color w:val="auto"/>
        </w:rPr>
        <w:t>Exempt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in this Section, the following transfers of Vested Shares will be exempt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the Right of First Refusal: (i) the transfer of any or all of the Vested Shares during Optionee’s lifetime by gift or on Optionee’s death by will or intestacy to any member(s) of Optionee’s “Immediate Family” (as defined below) or to a trust for the benefit of Optionee and/or member(s) of Optionee’s Immediate Family,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each transferee or other recipient agrees in a writing satisfactory to the Company that the provisions of this Section will continue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6" w:right="439" w:bottom="1440" w:gutter="0" w:footer="0" w:header="0"/>
        </w:sectPr>
      </w:pPr>
    </w:p>
    <w:bookmarkStart w:id="464" w:name="page465"/>
    <w:bookmarkEnd w:id="464"/>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apply to the transferred Vested Shares in the hands of such transferee or other recipient; (ii) any transfer of Vested Shares made pursuant to a statutory merger, statutory consolidation of the Company with or into another corporation or corporations or a conversion of the Company into another form of legal entity (except that the Right of First Refusal will continue to apply thereafter to such Vested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Vested Shares pursuant to the winding up and dissolution of the Company. As used herein, the term “</w:t>
      </w:r>
      <w:r>
        <w:rPr>
          <w:rFonts w:ascii="Times New Roman" w:cs="Times New Roman" w:eastAsia="Times New Roman" w:hAnsi="Times New Roman"/>
          <w:sz w:val="17"/>
          <w:szCs w:val="17"/>
          <w:b w:val="1"/>
          <w:bCs w:val="1"/>
          <w:i w:val="1"/>
          <w:iCs w:val="1"/>
          <w:color w:val="auto"/>
        </w:rPr>
        <w:t>Immediate Family”</w:t>
      </w:r>
      <w:r>
        <w:rPr>
          <w:rFonts w:ascii="Times New Roman" w:cs="Times New Roman" w:eastAsia="Times New Roman" w:hAnsi="Times New Roman"/>
          <w:sz w:val="17"/>
          <w:szCs w:val="17"/>
          <w:color w:val="auto"/>
        </w:rPr>
        <w:t xml:space="preserve">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Times New Roman" w:cs="Times New Roman" w:eastAsia="Times New Roman" w:hAnsi="Times New Roman"/>
          <w:sz w:val="17"/>
          <w:szCs w:val="17"/>
          <w:b w:val="1"/>
          <w:bCs w:val="1"/>
          <w:i w:val="1"/>
          <w:iCs w:val="1"/>
          <w:color w:val="auto"/>
        </w:rPr>
        <w:t>Spousal Equivalent”</w:t>
      </w:r>
      <w:r>
        <w:rPr>
          <w:rFonts w:ascii="Times New Roman" w:cs="Times New Roman" w:eastAsia="Times New Roman" w:hAnsi="Times New Roman"/>
          <w:sz w:val="17"/>
          <w:szCs w:val="17"/>
          <w:color w:val="auto"/>
        </w:rPr>
        <w:t xml:space="preserve"> provided the following circumstances are true:</w:t>
      </w:r>
    </w:p>
    <w:p>
      <w:pPr>
        <w:ind w:left="4" w:right="20" w:hanging="4"/>
        <w:spacing w:after="0" w:line="253" w:lineRule="auto"/>
        <w:tabs>
          <w:tab w:leader="none" w:pos="219"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75" w:lineRule="exact"/>
        <w:rPr>
          <w:sz w:val="20"/>
          <w:szCs w:val="20"/>
          <w:color w:val="auto"/>
        </w:rPr>
      </w:pPr>
    </w:p>
    <w:p>
      <w:pPr>
        <w:ind w:left="4" w:right="20" w:firstLine="99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10.7. </w:t>
      </w:r>
      <w:r>
        <w:rPr>
          <w:rFonts w:ascii="Times New Roman" w:cs="Times New Roman" w:eastAsia="Times New Roman" w:hAnsi="Times New Roman"/>
          <w:sz w:val="17"/>
          <w:szCs w:val="17"/>
          <w:b w:val="1"/>
          <w:bCs w:val="1"/>
          <w:u w:val="single" w:color="auto"/>
          <w:color w:val="auto"/>
        </w:rPr>
        <w:t>Termination of Right of First Refusal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Right of First Refusal will terminate as to all Shares: (i) on the effective date of the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Exchange Act; or (iii) on any transfer or conversion of Shares made pursuant to a statutory conversion of the Company into another form of legal entity if the common equity (or comparable equity security) of entity resulting from such conversion is registered under the Exchange Act.</w:t>
      </w:r>
    </w:p>
    <w:p>
      <w:pPr>
        <w:spacing w:after="0" w:line="63"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10.8. </w:t>
      </w:r>
      <w:r>
        <w:rPr>
          <w:rFonts w:ascii="Times New Roman" w:cs="Times New Roman" w:eastAsia="Times New Roman" w:hAnsi="Times New Roman"/>
          <w:sz w:val="18"/>
          <w:szCs w:val="18"/>
          <w:b w:val="1"/>
          <w:bCs w:val="1"/>
          <w:u w:val="single" w:color="auto"/>
          <w:color w:val="auto"/>
        </w:rPr>
        <w:t>Encumbrances on Vested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may grant a lien or security interest in, or pledge, hypothecate or encumber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only if each 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Vested Shares after they are acquired by the Company and/or its assignees under this Section; and (ii) the provisions of this Agreement will continue to apply to such Vested Shares in the hands of such party and any transferee of such party. Optionee may not grant a lien or security interest in, or pledge, hypothecate or encumber, any Unvested Shares.</w:t>
      </w:r>
    </w:p>
    <w:p>
      <w:pPr>
        <w:spacing w:after="0" w:line="7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10.9. </w:t>
      </w:r>
      <w:r>
        <w:rPr>
          <w:rFonts w:ascii="Times New Roman" w:cs="Times New Roman" w:eastAsia="Times New Roman" w:hAnsi="Times New Roman"/>
          <w:sz w:val="18"/>
          <w:szCs w:val="18"/>
          <w:b w:val="1"/>
          <w:bCs w:val="1"/>
          <w:u w:val="single" w:color="auto"/>
          <w:color w:val="auto"/>
        </w:rPr>
        <w:t>Effect of Company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Optionee is, or at any time hereafter becomes, a party to or otherwise bound by</w:t>
      </w:r>
    </w:p>
    <w:p>
      <w:pPr>
        <w:spacing w:after="0" w:line="31" w:lineRule="exact"/>
        <w:rPr>
          <w:sz w:val="20"/>
          <w:szCs w:val="20"/>
          <w:color w:val="auto"/>
        </w:rPr>
      </w:pPr>
    </w:p>
    <w:p>
      <w:pPr>
        <w:ind w:left="4" w:right="20" w:hanging="4"/>
        <w:spacing w:after="0" w:line="251" w:lineRule="auto"/>
        <w:tabs>
          <w:tab w:leader="none" w:pos="219"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Amended and Restated Stockholders Agreement dated as of February 15, 2019 among the Company and certain stockholders of the Company, as such may be amended and/or restated from time to time, and/or (ii) any other agreement that is a successor to or replacement of such agreement (collectively, the “</w:t>
      </w:r>
      <w:r>
        <w:rPr>
          <w:rFonts w:ascii="Times New Roman" w:cs="Times New Roman" w:eastAsia="Times New Roman" w:hAnsi="Times New Roman"/>
          <w:sz w:val="18"/>
          <w:szCs w:val="18"/>
          <w:b w:val="1"/>
          <w:bCs w:val="1"/>
          <w:i w:val="1"/>
          <w:iCs w:val="1"/>
          <w:color w:val="auto"/>
        </w:rPr>
        <w:t>Company Stockholders Agreement</w:t>
      </w:r>
      <w:r>
        <w:rPr>
          <w:rFonts w:ascii="Times New Roman" w:cs="Times New Roman" w:eastAsia="Times New Roman" w:hAnsi="Times New Roman"/>
          <w:sz w:val="18"/>
          <w:szCs w:val="18"/>
          <w:color w:val="auto"/>
        </w:rPr>
        <w:t>”), then, in the event of any conflict or inconsistency between the provisions of Section 9 hereof and/or this Section 10 and any provisions in the Company Stockholders Agreement granting the Company and/or other security holders of the Company rights of first refusal and/or co-sale rights with respect to any or all of the Shares or imposing market stand-off restrictions, Optionee agrees with the Company that the terms and conditions of the Company Stockholders Agreement shall apply, govern, supersede and prevail over (and in lieu of) the provisions of Section 9 hereof and/or of this Section 10 (as applicable) so long as the Company Stockholders Agreement is in effect and Optionee is a party to or bound thereby. If the Company Stockholders Agreement is no longer in effect or if Optionee is not a party to or bound thereby, then the provisions of this Section 10 shall apply in full force and effect until termination of the Right of First Refusal and the provisions of Section 9 hereof shall apply in full force and effect in accordance with its terms.</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465" w:name="page466"/>
    <w:bookmarkEnd w:id="465"/>
    <w:p>
      <w:pPr>
        <w:ind w:firstLine="436"/>
        <w:spacing w:after="0" w:line="255" w:lineRule="auto"/>
        <w:tabs>
          <w:tab w:leader="none" w:pos="700"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RIGHTS AS A STOCKHOLDER. </w:t>
      </w:r>
      <w:r>
        <w:rPr>
          <w:rFonts w:ascii="Times New Roman" w:cs="Times New Roman" w:eastAsia="Times New Roman" w:hAnsi="Times New Roman"/>
          <w:sz w:val="18"/>
          <w:szCs w:val="18"/>
          <w:color w:val="auto"/>
        </w:rPr>
        <w:t>Optionee shall not have any of the rights of a stockholder with respect to any Shares unless and until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Repurchase Option or the Right of First Refusal. Upon an exercise of the Repurchase Option or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84" w:lineRule="exact"/>
        <w:rPr>
          <w:rFonts w:ascii="Times New Roman" w:cs="Times New Roman" w:eastAsia="Times New Roman" w:hAnsi="Times New Roman"/>
          <w:sz w:val="18"/>
          <w:szCs w:val="18"/>
          <w:b w:val="1"/>
          <w:bCs w:val="1"/>
          <w:color w:val="auto"/>
        </w:rPr>
      </w:pPr>
    </w:p>
    <w:p>
      <w:pPr>
        <w:ind w:right="20" w:firstLine="436"/>
        <w:spacing w:after="0" w:line="254" w:lineRule="auto"/>
        <w:tabs>
          <w:tab w:leader="none" w:pos="710"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ESCROW. </w:t>
      </w:r>
      <w:r>
        <w:rPr>
          <w:rFonts w:ascii="Times New Roman" w:cs="Times New Roman" w:eastAsia="Times New Roman" w:hAnsi="Times New Roman"/>
          <w:sz w:val="18"/>
          <w:szCs w:val="18"/>
          <w:color w:val="auto"/>
        </w:rPr>
        <w:t>As security for Optionee’s faithful performance of this Agreement, Optionee agrees, immediately upon receipt of the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evidencing the Shares via , to deliver such certificate(s) to the Secretary of the Company or other designee of the Company (the “</w:t>
      </w:r>
      <w:r>
        <w:rPr>
          <w:rFonts w:ascii="Times New Roman" w:cs="Times New Roman" w:eastAsia="Times New Roman" w:hAnsi="Times New Roman"/>
          <w:sz w:val="18"/>
          <w:szCs w:val="18"/>
          <w:b w:val="1"/>
          <w:bCs w:val="1"/>
          <w:i w:val="1"/>
          <w:iCs w:val="1"/>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who is hereby appointed to hold such certificate(s) and to take all such actions and to effectuate all such transfers and/or releases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both the Repurchase Option and the Right of First Refusal.</w:t>
      </w:r>
    </w:p>
    <w:p>
      <w:pPr>
        <w:spacing w:after="0" w:line="188" w:lineRule="exact"/>
        <w:rPr>
          <w:rFonts w:ascii="Times New Roman" w:cs="Times New Roman" w:eastAsia="Times New Roman" w:hAnsi="Times New Roman"/>
          <w:sz w:val="18"/>
          <w:szCs w:val="18"/>
          <w:b w:val="1"/>
          <w:bCs w:val="1"/>
          <w:color w:val="auto"/>
        </w:rPr>
      </w:pPr>
    </w:p>
    <w:p>
      <w:pPr>
        <w:ind w:right="120" w:firstLine="436"/>
        <w:spacing w:after="0" w:line="256" w:lineRule="auto"/>
        <w:tabs>
          <w:tab w:leader="none" w:pos="710"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material inducement and consideration for the Company to enter into this Agreement,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agrees that if, the Company requests Optionee to enter into and become a party to the Company Stockholders Agreement (and to subject the Shares to the rights of first refusal held by the Company and other Company investors thereunder and the co-sale rights of other investors thereunder, and pursuant to which Optionee would agree to vote all shares of Company stock held by Optionee for the election of directors and in favor of certain material transactions (such as mergers or sales of the Company)), then Optionee will enter into such agreement and execute and deliver signature pages thereto (as requested by the Company) in such capacities as the Company requests, at the time of exercising this Option and as a condition to such exercise or at any later time.</w:t>
      </w:r>
    </w:p>
    <w:p>
      <w:pPr>
        <w:spacing w:after="0" w:line="182"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LEGENDS AND STOP-TRANSFER ORDERS.</w:t>
      </w:r>
    </w:p>
    <w:p>
      <w:pPr>
        <w:spacing w:after="0" w:line="117" w:lineRule="exact"/>
        <w:rPr>
          <w:sz w:val="20"/>
          <w:szCs w:val="20"/>
          <w:color w:val="auto"/>
        </w:rPr>
      </w:pPr>
    </w:p>
    <w:p>
      <w:pPr>
        <w:ind w:right="8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understands and agrees that the Company will place the legends set forth below or similar legends on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466" w:name="page467"/>
    <w:bookmarkEnd w:id="466"/>
    <w:p>
      <w:pPr>
        <w:ind w:firstLine="1428"/>
        <w:spacing w:after="0" w:line="254" w:lineRule="auto"/>
        <w:tabs>
          <w:tab w:leader="none" w:pos="167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83" w:lineRule="exact"/>
        <w:rPr>
          <w:rFonts w:ascii="Times New Roman" w:cs="Times New Roman" w:eastAsia="Times New Roman" w:hAnsi="Times New Roman"/>
          <w:sz w:val="18"/>
          <w:szCs w:val="18"/>
          <w:color w:val="auto"/>
        </w:rPr>
      </w:pPr>
    </w:p>
    <w:p>
      <w:pPr>
        <w:ind w:right="380" w:firstLine="1428"/>
        <w:spacing w:after="0" w:line="256" w:lineRule="auto"/>
        <w:tabs>
          <w:tab w:leader="none" w:pos="168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ARE SUBJECT TO CERTAIN RESTRICTIONS ON RESALE AND TRANSFER, INCLUDING THE REPURCHASE OPTION AND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REPURCHASE OPTION AND RIGHT OF FIRST REFUSAL, ARE BINDING ON TRANSFEREES OF THESE SHARES.</w:t>
      </w:r>
    </w:p>
    <w:p>
      <w:pPr>
        <w:spacing w:after="0" w:line="79" w:lineRule="exact"/>
        <w:rPr>
          <w:rFonts w:ascii="Times New Roman" w:cs="Times New Roman" w:eastAsia="Times New Roman" w:hAnsi="Times New Roman"/>
          <w:sz w:val="18"/>
          <w:szCs w:val="18"/>
          <w:color w:val="auto"/>
        </w:rPr>
      </w:pPr>
    </w:p>
    <w:p>
      <w:pPr>
        <w:ind w:right="40" w:firstLine="1428"/>
        <w:spacing w:after="0" w:line="258" w:lineRule="auto"/>
        <w:tabs>
          <w:tab w:leader="none" w:pos="1673"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AFTER THE EFFECTIVE DATE OF CERTAIN PUBLIC OFFERINGS OF THE COMMON STOCK OF THE ISSUER HEREOF. SUCH RESTRICTION IS BINDING ON TRANSFEREES OF THESE SHARES.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Optionee agrees that if Optionee becomes a party to the Company Stockholders Agreement, then Optionee agrees that the stock certificate(s) evidencing the Shares shall, in addition, bear any legends required under the Company Stockholders Agreement.</w:t>
      </w:r>
    </w:p>
    <w:p>
      <w:pPr>
        <w:spacing w:after="0" w:line="50" w:lineRule="exact"/>
        <w:rPr>
          <w:sz w:val="20"/>
          <w:szCs w:val="20"/>
          <w:color w:val="auto"/>
        </w:rPr>
      </w:pPr>
    </w:p>
    <w:p>
      <w:pPr>
        <w:ind w:right="3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14.2. </w:t>
      </w:r>
      <w:r>
        <w:rPr>
          <w:rFonts w:ascii="Times New Roman" w:cs="Times New Roman" w:eastAsia="Times New Roman" w:hAnsi="Times New Roman"/>
          <w:sz w:val="18"/>
          <w:szCs w:val="18"/>
          <w:b w:val="1"/>
          <w:bCs w:val="1"/>
          <w:u w:val="single" w:color="auto"/>
          <w:color w:val="auto"/>
        </w:rPr>
        <w:t>Stop-Transfer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agrees that, to ensure compliance with the restrictions imposed by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issue appropriate “stop-transfer” instructions to its transfer agent, if any, and if the Company transfers its own securities, it may make appropriate notations to the same effect in its own records.</w:t>
      </w:r>
    </w:p>
    <w:p>
      <w:pPr>
        <w:spacing w:after="0" w:line="63"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14.3. </w:t>
      </w:r>
      <w:r>
        <w:rPr>
          <w:rFonts w:ascii="Times New Roman" w:cs="Times New Roman" w:eastAsia="Times New Roman" w:hAnsi="Times New Roman"/>
          <w:sz w:val="18"/>
          <w:szCs w:val="18"/>
          <w:b w:val="1"/>
          <w:bCs w:val="1"/>
          <w:u w:val="single" w:color="auto"/>
          <w:color w:val="auto"/>
        </w:rPr>
        <w:t>Refusal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not be required (i) to transfer on its books any Shares that have been sold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in violation of any of the provisions of this Agreement or (ii) to treat as owner of such Shares, or to accord the right to vote or pay dividends to any purchaser or other transferee to whom such Shares have been so transferred.</w:t>
      </w:r>
    </w:p>
    <w:p>
      <w:pPr>
        <w:spacing w:after="0" w:line="171" w:lineRule="exact"/>
        <w:rPr>
          <w:sz w:val="20"/>
          <w:szCs w:val="20"/>
          <w:color w:val="auto"/>
        </w:rPr>
      </w:pPr>
    </w:p>
    <w:p>
      <w:pPr>
        <w:ind w:right="100" w:firstLine="436"/>
        <w:spacing w:after="0" w:line="262" w:lineRule="auto"/>
        <w:tabs>
          <w:tab w:leader="none" w:pos="710"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TAX CONSEQUENCES. </w:t>
      </w:r>
      <w:r>
        <w:rPr>
          <w:rFonts w:ascii="Times New Roman" w:cs="Times New Roman" w:eastAsia="Times New Roman" w:hAnsi="Times New Roman"/>
          <w:sz w:val="18"/>
          <w:szCs w:val="18"/>
          <w:color w:val="auto"/>
        </w:rPr>
        <w:t>Set forth below is a brief summary as of the Effective Date of the Plan of some of the federal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exercise of the Option and disposition of the Shares. THIS SUMMARY IS NECESSARILY INCOMPLETE, AND THE TAX LAWS AND REGULATIONS ARE SUBJECT TO CHANGE. OPTIONEE SHOULD CONSULT A TAX ADVISER BEFORE EXERCISING THE OPTION OR DISPOSING OF THE SHARES.</w:t>
      </w:r>
    </w:p>
    <w:p>
      <w:pPr>
        <w:spacing w:after="0" w:line="68" w:lineRule="exact"/>
        <w:rPr>
          <w:sz w:val="20"/>
          <w:szCs w:val="20"/>
          <w:color w:val="auto"/>
        </w:rPr>
      </w:pPr>
    </w:p>
    <w:p>
      <w:pPr>
        <w:ind w:right="46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15.1. </w:t>
      </w:r>
      <w:r>
        <w:rPr>
          <w:rFonts w:ascii="Times New Roman" w:cs="Times New Roman" w:eastAsia="Times New Roman" w:hAnsi="Times New Roman"/>
          <w:sz w:val="17"/>
          <w:szCs w:val="17"/>
          <w:b w:val="1"/>
          <w:bCs w:val="1"/>
          <w:u w:val="single" w:color="auto"/>
          <w:color w:val="auto"/>
        </w:rPr>
        <w:t>Exercise of ISO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the Option qualifies as an ISO, there will be no regular federal income tax liability upon the exercise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although the excess, if any, of the Fair Market Value of the Shares on the date of exercise over the Exercise Price will be treated as a tax preference item for federal alternative minimum tax purposes and may subject Optionee to the alternative minimum tax in the year of exercise.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67" w:name="page468"/>
    <w:bookmarkEnd w:id="467"/>
    <w:p>
      <w:pPr>
        <w:ind w:left="4"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15.2. </w:t>
      </w:r>
      <w:r>
        <w:rPr>
          <w:rFonts w:ascii="Times New Roman" w:cs="Times New Roman" w:eastAsia="Times New Roman" w:hAnsi="Times New Roman"/>
          <w:sz w:val="18"/>
          <w:szCs w:val="18"/>
          <w:b w:val="1"/>
          <w:bCs w:val="1"/>
          <w:u w:val="single" w:color="auto"/>
          <w:color w:val="auto"/>
        </w:rPr>
        <w:t>Exercise of Nonqualified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Option does not qualify as an ISO, there may be a regular federal income tax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exercise of the Option. Optionee will be treated as having received compensation income (taxable at ordinary income tax rates) equal to the excess, if any, of the Fair Market Value of the Shares on the date of exercise over the Exercise Price. If Optionee is a current or former employee of the Company, the Company may be required to withhold from Optionee’s compensation or collect from Optionee and pay to the applicable taxing authorities an amount equal to a percentage of this compensation income at the time of exercise.</w:t>
      </w:r>
    </w:p>
    <w:p>
      <w:pPr>
        <w:spacing w:after="0" w:line="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15.3. </w:t>
      </w:r>
      <w:r>
        <w:rPr>
          <w:rFonts w:ascii="Times New Roman" w:cs="Times New Roman" w:eastAsia="Times New Roman" w:hAnsi="Times New Roman"/>
          <w:sz w:val="18"/>
          <w:szCs w:val="18"/>
          <w:b w:val="1"/>
          <w:bCs w:val="1"/>
          <w:u w:val="single" w:color="auto"/>
          <w:color w:val="auto"/>
        </w:rPr>
        <w:t>Disposition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tax consequences may apply upon disposition of the Shares.</w:t>
      </w:r>
    </w:p>
    <w:p>
      <w:pPr>
        <w:spacing w:after="0" w:line="121" w:lineRule="exact"/>
        <w:rPr>
          <w:sz w:val="20"/>
          <w:szCs w:val="20"/>
          <w:color w:val="auto"/>
        </w:rPr>
      </w:pPr>
    </w:p>
    <w:p>
      <w:pPr>
        <w:ind w:left="4" w:firstLine="1428"/>
        <w:spacing w:after="0" w:line="257" w:lineRule="auto"/>
        <w:tabs>
          <w:tab w:leader="none" w:pos="1681"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federal income tax purposes. If Vested Shares purchased under an ISO are disposed of within the applicable one</w:t>
      </w:r>
    </w:p>
    <w:p>
      <w:pPr>
        <w:spacing w:after="0" w:line="1" w:lineRule="exact"/>
        <w:rPr>
          <w:rFonts w:ascii="Times New Roman" w:cs="Times New Roman" w:eastAsia="Times New Roman" w:hAnsi="Times New Roman"/>
          <w:sz w:val="18"/>
          <w:szCs w:val="18"/>
          <w:color w:val="auto"/>
        </w:rPr>
      </w:pPr>
    </w:p>
    <w:p>
      <w:pPr>
        <w:ind w:left="4" w:right="100" w:hanging="4"/>
        <w:spacing w:after="0" w:line="253" w:lineRule="auto"/>
        <w:tabs>
          <w:tab w:leader="none" w:pos="259"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 To the extent the Shares were exercised prior to vesting coincident with the filing of an 83(b) Election, the amount taxed because of a disqualifying disposition will be based upon the excess, if any, of the fair market value on the date of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xml:space="preserve"> over the exercise price.</w:t>
      </w:r>
    </w:p>
    <w:p>
      <w:pPr>
        <w:spacing w:after="0" w:line="80" w:lineRule="exact"/>
        <w:rPr>
          <w:rFonts w:ascii="Times New Roman" w:cs="Times New Roman" w:eastAsia="Times New Roman" w:hAnsi="Times New Roman"/>
          <w:sz w:val="18"/>
          <w:szCs w:val="18"/>
          <w:color w:val="auto"/>
        </w:rPr>
      </w:pPr>
    </w:p>
    <w:p>
      <w:pPr>
        <w:ind w:left="4" w:right="380" w:firstLine="1428"/>
        <w:spacing w:after="0" w:line="282" w:lineRule="auto"/>
        <w:tabs>
          <w:tab w:leader="none" w:pos="1691"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Nonqualified Stock Options</w:t>
      </w:r>
      <w:r>
        <w:rPr>
          <w:rFonts w:ascii="Times New Roman" w:cs="Times New Roman" w:eastAsia="Times New Roman" w:hAnsi="Times New Roman"/>
          <w:sz w:val="18"/>
          <w:szCs w:val="18"/>
          <w:color w:val="auto"/>
        </w:rPr>
        <w:t>. If the Shares are held for more than twelve (12) months after the date of purchase of the Shares pursuant to the exercise of an NQSO, any gain realized on disposition of the Shares will be treated as long term capital gain.</w:t>
      </w:r>
    </w:p>
    <w:p>
      <w:pPr>
        <w:spacing w:after="0" w:line="50" w:lineRule="exact"/>
        <w:rPr>
          <w:sz w:val="20"/>
          <w:szCs w:val="20"/>
          <w:color w:val="auto"/>
        </w:rPr>
      </w:pPr>
    </w:p>
    <w:p>
      <w:pPr>
        <w:ind w:left="4" w:right="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15.4. </w:t>
      </w:r>
      <w:r>
        <w:rPr>
          <w:rFonts w:ascii="Times New Roman" w:cs="Times New Roman" w:eastAsia="Times New Roman" w:hAnsi="Times New Roman"/>
          <w:sz w:val="18"/>
          <w:szCs w:val="18"/>
          <w:b w:val="1"/>
          <w:bCs w:val="1"/>
          <w:u w:val="single" w:color="auto"/>
          <w:color w:val="auto"/>
        </w:rPr>
        <w:t>Section 83(b) Election for Unvested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Unvested Shares, which are subject to the Repurchase Option,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election is filed by Optionee with the Internal Revenue Service (and, if necessary, the proper state taxing authorities), </w:t>
      </w:r>
      <w:r>
        <w:rPr>
          <w:rFonts w:ascii="Times New Roman" w:cs="Times New Roman" w:eastAsia="Times New Roman" w:hAnsi="Times New Roman"/>
          <w:sz w:val="18"/>
          <w:szCs w:val="18"/>
          <w:u w:val="single" w:color="auto"/>
          <w:color w:val="auto"/>
        </w:rPr>
        <w:t>within thirty (30) days</w:t>
      </w:r>
      <w:r>
        <w:rPr>
          <w:rFonts w:ascii="Times New Roman" w:cs="Times New Roman" w:eastAsia="Times New Roman" w:hAnsi="Times New Roman"/>
          <w:sz w:val="18"/>
          <w:szCs w:val="18"/>
          <w:color w:val="auto"/>
        </w:rPr>
        <w:t xml:space="preserve"> of the purchase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Optionee, measured by the excess, if any, of the Fair Market Value of the Unvested Shares at the time they cease to be Unvested Shares, over the Exercise Price of the Unvested Shares.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16. GENERAL PROVISIONS.</w:t>
      </w:r>
    </w:p>
    <w:p>
      <w:pPr>
        <w:spacing w:after="0" w:line="117" w:lineRule="exact"/>
        <w:rPr>
          <w:sz w:val="20"/>
          <w:szCs w:val="20"/>
          <w:color w:val="auto"/>
        </w:rPr>
      </w:pPr>
    </w:p>
    <w:p>
      <w:pPr>
        <w:ind w:left="4" w:right="2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16.1.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dispute regarding the interpretation of this Agreement shall be submitted by Optionee or the Company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for review. The resolution of such a dispute by the Committee shall be final and binding on the Company and Optionee.</w:t>
      </w:r>
    </w:p>
    <w:p>
      <w:pPr>
        <w:spacing w:after="0" w:line="47"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16.2.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Grant Notice and the Exercise Agreement are each incorporated herein by reference.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Grant Notice, the Plan and the Exercise Agreement constitute the entire agreement of the parties with respect to the subject matter hereof and supersede all prior undertakings and agreements with respect to such subject matter.</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66" w:right="439" w:bottom="1440" w:gutter="0" w:footer="0" w:header="0"/>
        </w:sectPr>
      </w:pPr>
    </w:p>
    <w:bookmarkStart w:id="468" w:name="page469"/>
    <w:bookmarkEnd w:id="468"/>
    <w:p>
      <w:pPr>
        <w:ind w:firstLine="436"/>
        <w:spacing w:after="0" w:line="253" w:lineRule="auto"/>
        <w:tabs>
          <w:tab w:leader="none" w:pos="71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NOTICES. </w:t>
      </w:r>
      <w:r>
        <w:rPr>
          <w:rFonts w:ascii="Times New Roman" w:cs="Times New Roman" w:eastAsia="Times New Roman" w:hAnsi="Times New Roman"/>
          <w:sz w:val="18"/>
          <w:szCs w:val="18"/>
          <w:color w:val="auto"/>
        </w:rPr>
        <w:t>Any and all notices required or permitted to be given to a party pursuant to the provisions of this Agreement will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189" w:lineRule="exact"/>
        <w:rPr>
          <w:rFonts w:ascii="Times New Roman" w:cs="Times New Roman" w:eastAsia="Times New Roman" w:hAnsi="Times New Roman"/>
          <w:sz w:val="18"/>
          <w:szCs w:val="18"/>
          <w:b w:val="1"/>
          <w:bCs w:val="1"/>
          <w:color w:val="auto"/>
        </w:rPr>
      </w:pPr>
    </w:p>
    <w:p>
      <w:pPr>
        <w:ind w:right="340" w:firstLine="436"/>
        <w:spacing w:after="0" w:line="262" w:lineRule="auto"/>
        <w:tabs>
          <w:tab w:leader="none" w:pos="71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AND ASSIGNS. </w:t>
      </w:r>
      <w:r>
        <w:rPr>
          <w:rFonts w:ascii="Times New Roman" w:cs="Times New Roman" w:eastAsia="Times New Roman" w:hAnsi="Times New Roman"/>
          <w:sz w:val="18"/>
          <w:szCs w:val="18"/>
          <w:color w:val="auto"/>
        </w:rPr>
        <w:t>The Company may assign any of its rights under this Agreement including its rights to purchase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both the Right of First Refusal and Repurchase Option.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76" w:lineRule="exact"/>
        <w:rPr>
          <w:rFonts w:ascii="Times New Roman" w:cs="Times New Roman" w:eastAsia="Times New Roman" w:hAnsi="Times New Roman"/>
          <w:sz w:val="18"/>
          <w:szCs w:val="18"/>
          <w:b w:val="1"/>
          <w:bCs w:val="1"/>
          <w:color w:val="auto"/>
        </w:rPr>
      </w:pPr>
    </w:p>
    <w:p>
      <w:pPr>
        <w:ind w:right="140" w:firstLine="436"/>
        <w:spacing w:after="0" w:line="262" w:lineRule="auto"/>
        <w:tabs>
          <w:tab w:leader="none" w:pos="71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internal laws of the State of California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laws are applied to agreements between California residents entered into and to be performed entirely within California. If any provision of this Agreement is determined by a court of law to be illegal or unenforceable, then such provision will be enforced to the maximum extent possible and the other provisions will remain fully effective and enforceable.</w:t>
      </w:r>
    </w:p>
    <w:p>
      <w:pPr>
        <w:spacing w:after="0" w:line="176" w:lineRule="exact"/>
        <w:rPr>
          <w:rFonts w:ascii="Times New Roman" w:cs="Times New Roman" w:eastAsia="Times New Roman" w:hAnsi="Times New Roman"/>
          <w:sz w:val="18"/>
          <w:szCs w:val="18"/>
          <w:b w:val="1"/>
          <w:bCs w:val="1"/>
          <w:color w:val="auto"/>
        </w:rPr>
      </w:pPr>
    </w:p>
    <w:p>
      <w:pPr>
        <w:ind w:right="80" w:firstLine="436"/>
        <w:spacing w:after="0" w:line="286" w:lineRule="auto"/>
        <w:tabs>
          <w:tab w:leader="none" w:pos="71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FURTHER ASSURANCES. </w:t>
      </w:r>
      <w:r>
        <w:rPr>
          <w:rFonts w:ascii="Times New Roman" w:cs="Times New Roman" w:eastAsia="Times New Roman" w:hAnsi="Times New Roman"/>
          <w:sz w:val="18"/>
          <w:szCs w:val="18"/>
          <w:color w:val="auto"/>
        </w:rPr>
        <w:t>The parties agree to execute such further documents and instruments and to take such further actions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necessary to carry out the purposes and intent of this Agreement.</w:t>
      </w:r>
    </w:p>
    <w:p>
      <w:pPr>
        <w:spacing w:after="0" w:line="154" w:lineRule="exact"/>
        <w:rPr>
          <w:rFonts w:ascii="Times New Roman" w:cs="Times New Roman" w:eastAsia="Times New Roman" w:hAnsi="Times New Roman"/>
          <w:sz w:val="18"/>
          <w:szCs w:val="18"/>
          <w:b w:val="1"/>
          <w:bCs w:val="1"/>
          <w:color w:val="auto"/>
        </w:rPr>
      </w:pPr>
    </w:p>
    <w:p>
      <w:pPr>
        <w:ind w:right="360" w:firstLine="436"/>
        <w:spacing w:after="0" w:line="268" w:lineRule="auto"/>
        <w:tabs>
          <w:tab w:leader="none" w:pos="71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TITLES AND HEADINGS. </w:t>
      </w:r>
      <w:r>
        <w:rPr>
          <w:rFonts w:ascii="Times New Roman" w:cs="Times New Roman" w:eastAsia="Times New Roman" w:hAnsi="Times New Roman"/>
          <w:sz w:val="18"/>
          <w:szCs w:val="18"/>
          <w:color w:val="auto"/>
        </w:rPr>
        <w:t>The titles, captions and headings of this Agreement are included for ease of reference only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disregarded in interpreting or construing this Agreement. Unless otherwise specifically stated, all references herein to “sections” and “exhibits” will mean “sections” and “exhibits” to this Agreement.</w:t>
      </w:r>
    </w:p>
    <w:p>
      <w:pPr>
        <w:spacing w:after="0" w:line="170"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71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when so executed and delivered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which together shall constitute one and the same agreement.</w:t>
      </w:r>
    </w:p>
    <w:p>
      <w:pPr>
        <w:spacing w:after="0" w:line="154" w:lineRule="exact"/>
        <w:rPr>
          <w:rFonts w:ascii="Times New Roman" w:cs="Times New Roman" w:eastAsia="Times New Roman" w:hAnsi="Times New Roman"/>
          <w:sz w:val="18"/>
          <w:szCs w:val="18"/>
          <w:b w:val="1"/>
          <w:bCs w:val="1"/>
          <w:color w:val="auto"/>
        </w:rPr>
      </w:pPr>
    </w:p>
    <w:p>
      <w:pPr>
        <w:ind w:right="100" w:firstLine="436"/>
        <w:spacing w:after="0" w:line="256" w:lineRule="auto"/>
        <w:tabs>
          <w:tab w:leader="none" w:pos="71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is determined by any court or arbitrator of competent jurisdiction to be invalid,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Form of Stock Option Exercise Notice and Agreement</w:t>
      </w:r>
    </w:p>
    <w:p>
      <w:pPr>
        <w:spacing w:after="0" w:line="1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19"/>
          </w:cols>
          <w:pgMar w:left="440" w:top="266" w:right="1440" w:bottom="1440" w:gutter="0" w:footer="0" w:header="0"/>
        </w:sectPr>
      </w:pPr>
    </w:p>
    <w:bookmarkStart w:id="470" w:name="page471"/>
    <w:bookmarkEnd w:id="47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STOCK OPTION EXERCISE NOTICE AND AGREEMENT</w:t>
      </w:r>
    </w:p>
    <w:p>
      <w:pPr>
        <w:sectPr>
          <w:pgSz w:w="11900" w:h="16838" w:orient="portrait"/>
          <w:cols w:equalWidth="0" w:num="1">
            <w:col w:w="9019"/>
          </w:cols>
          <w:pgMar w:left="1440" w:top="266" w:right="1440" w:bottom="1440" w:gutter="0" w:footer="0" w:header="0"/>
        </w:sectPr>
      </w:pPr>
    </w:p>
    <w:bookmarkStart w:id="471" w:name="page472"/>
    <w:bookmarkEnd w:id="471"/>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 FORM</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STOCK OPTION EXERCISE NOTICE AND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25" w:lineRule="exact"/>
        <w:rPr>
          <w:sz w:val="20"/>
          <w:szCs w:val="20"/>
          <w:color w:val="auto"/>
        </w:rPr>
      </w:pPr>
    </w:p>
    <w:p>
      <w:pPr>
        <w:ind w:left="4"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sign this Notice on Page 3 before submitting it to Maze Therapeutics, Inc. (the “Company”) </w:t>
      </w:r>
      <w:r>
        <w:rPr>
          <w:rFonts w:ascii="Times New Roman" w:cs="Times New Roman" w:eastAsia="Times New Roman" w:hAnsi="Times New Roman"/>
          <w:sz w:val="18"/>
          <w:szCs w:val="18"/>
          <w:b w:val="1"/>
          <w:bCs w:val="1"/>
          <w:i w:val="1"/>
          <w:iCs w:val="1"/>
          <w:u w:val="single" w:color="auto"/>
          <w:color w:val="auto"/>
        </w:rPr>
        <w:t>AND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if requested to do so by the Company,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also sign the signature pages to the Company’s then-current Company Stockholders Agreement (as defined in the Stock Option Agreement) before submitting this Notice to the Company.</w:t>
      </w:r>
    </w:p>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Please provide the following information about yourself (“</w:t>
      </w:r>
      <w:r>
        <w:rPr>
          <w:rFonts w:ascii="Times New Roman" w:cs="Times New Roman" w:eastAsia="Times New Roman" w:hAnsi="Times New Roman"/>
          <w:sz w:val="18"/>
          <w:szCs w:val="18"/>
          <w:b w:val="1"/>
          <w:bCs w:val="1"/>
          <w:i w:val="1"/>
          <w:iCs w:val="1"/>
          <w:color w:val="auto"/>
        </w:rPr>
        <w:t>Optionee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5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Borders>
              <w:bottom w:val="single" w:sz="8" w:color="auto"/>
            </w:tcBorders>
          </w:tcPr>
          <w:p>
            <w:pPr>
              <w:spacing w:after="0"/>
              <w:rPr>
                <w:sz w:val="20"/>
                <w:szCs w:val="20"/>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      Social Security Number:</w:t>
            </w:r>
          </w:p>
        </w:tc>
      </w:tr>
      <w:tr>
        <w:trPr>
          <w:trHeight w:val="43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40" w:type="dxa"/>
            <w:vAlign w:val="bottom"/>
            <w:tcBorders>
              <w:bottom w:val="single" w:sz="8" w:color="auto"/>
            </w:tcBorders>
          </w:tcPr>
          <w:p>
            <w:pPr>
              <w:spacing w:after="0"/>
              <w:rPr>
                <w:sz w:val="24"/>
                <w:szCs w:val="24"/>
                <w:color w:val="auto"/>
              </w:rPr>
            </w:pPr>
          </w:p>
        </w:tc>
        <w:tc>
          <w:tcPr>
            <w:tcW w:w="2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Employee Number:</w:t>
            </w:r>
          </w:p>
        </w:tc>
      </w:tr>
      <w:tr>
        <w:trPr>
          <w:trHeight w:val="439"/>
        </w:trPr>
        <w:tc>
          <w:tcPr>
            <w:tcW w:w="88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Email 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-591185</wp:posOffset>
            </wp:positionV>
            <wp:extent cx="251142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-299720</wp:posOffset>
            </wp:positionV>
            <wp:extent cx="251142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-7620</wp:posOffset>
            </wp:positionV>
            <wp:extent cx="251142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Please provide this information on the option being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Grant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-7620</wp:posOffset>
            </wp:positionV>
            <wp:extent cx="114300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of Grant:           </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5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840" w:type="dxa"/>
            <w:vAlign w:val="bottom"/>
            <w:gridSpan w:val="10"/>
          </w:tcPr>
          <w:p>
            <w:pPr>
              <w:ind w:left="1020"/>
              <w:spacing w:after="0"/>
              <w:rPr>
                <w:sz w:val="20"/>
                <w:szCs w:val="20"/>
                <w:color w:val="auto"/>
              </w:rPr>
            </w:pPr>
            <w:r>
              <w:rPr>
                <w:rFonts w:ascii="Times New Roman" w:cs="Times New Roman" w:eastAsia="Times New Roman" w:hAnsi="Times New Roman"/>
                <w:sz w:val="18"/>
                <w:szCs w:val="18"/>
                <w:color w:val="auto"/>
              </w:rPr>
              <w:t>Type of Stock Option:</w:t>
            </w:r>
          </w:p>
        </w:tc>
      </w:tr>
      <w:tr>
        <w:trPr>
          <w:trHeight w:val="20"/>
        </w:trPr>
        <w:tc>
          <w:tcPr>
            <w:tcW w:w="1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Option Price per Share:  </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3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20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1740" w:type="dxa"/>
            <w:vAlign w:val="bottom"/>
            <w:gridSpan w:val="2"/>
          </w:tcPr>
          <w:p>
            <w:pPr>
              <w:spacing w:after="0" w:line="20" w:lineRule="exact"/>
              <w:rPr>
                <w:sz w:val="1"/>
                <w:szCs w:val="1"/>
                <w:color w:val="auto"/>
              </w:rPr>
            </w:pPr>
          </w:p>
        </w:tc>
        <w:tc>
          <w:tcPr>
            <w:tcW w:w="1620" w:type="dxa"/>
            <w:vAlign w:val="bottom"/>
            <w:gridSpan w:val="6"/>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412"/>
        </w:trPr>
        <w:tc>
          <w:tcPr>
            <w:tcW w:w="5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8"/>
              </w:rPr>
              <w:t>Total number of shares of Common Stock of the Company subject to the Option:  </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53"/>
        </w:trPr>
        <w:tc>
          <w:tcPr>
            <w:tcW w:w="2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83"/>
        </w:trPr>
        <w:tc>
          <w:tcPr>
            <w:tcW w:w="7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7"/>
              </w:rPr>
              <w:t>Number of shares of Common Stock of the Company for which the Option is now being exercised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6"/>
              </w:rPr>
              <w:t>   . (These shares are referred to below</w:t>
            </w:r>
          </w:p>
        </w:tc>
      </w:tr>
      <w:tr>
        <w:trPr>
          <w:trHeight w:val="237"/>
        </w:trPr>
        <w:tc>
          <w:tcPr>
            <w:tcW w:w="20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as the “</w:t>
            </w:r>
            <w:r>
              <w:rPr>
                <w:rFonts w:ascii="Times New Roman" w:cs="Times New Roman" w:eastAsia="Times New Roman" w:hAnsi="Times New Roman"/>
                <w:sz w:val="18"/>
                <w:szCs w:val="18"/>
                <w:b w:val="1"/>
                <w:bCs w:val="1"/>
                <w:i w:val="1"/>
                <w:iCs w:val="1"/>
                <w:color w:val="auto"/>
                <w:w w:val="99"/>
              </w:rPr>
              <w:t>Purchased Shares</w:t>
            </w:r>
            <w:r>
              <w:rPr>
                <w:rFonts w:ascii="Times New Roman" w:cs="Times New Roman" w:eastAsia="Times New Roman" w:hAnsi="Times New Roman"/>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Total Exercise Price Being Paid for the Purchased Shares: $____________</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Form of payment enclosed </w:t>
      </w:r>
      <w:r>
        <w:rPr>
          <w:rFonts w:ascii="Times New Roman" w:cs="Times New Roman" w:eastAsia="Times New Roman" w:hAnsi="Times New Roman"/>
          <w:sz w:val="18"/>
          <w:szCs w:val="18"/>
          <w:b w:val="1"/>
          <w:bCs w:val="1"/>
          <w:i w:val="1"/>
          <w:iCs w:val="1"/>
          <w:color w:val="auto"/>
        </w:rPr>
        <w:t>[check all that apply]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hanging="424"/>
        <w:spacing w:after="0"/>
        <w:tabs>
          <w:tab w:leader="none" w:pos="424" w:val="left"/>
        </w:tabs>
        <w:numPr>
          <w:ilvl w:val="0"/>
          <w:numId w:val="3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for $____________, payable to “</w:t>
      </w:r>
      <w:r>
        <w:rPr>
          <w:rFonts w:ascii="Times New Roman" w:cs="Times New Roman" w:eastAsia="Times New Roman" w:hAnsi="Times New Roman"/>
          <w:sz w:val="18"/>
          <w:szCs w:val="18"/>
          <w:b w:val="1"/>
          <w:bCs w:val="1"/>
          <w:i w:val="1"/>
          <w:iCs w:val="1"/>
          <w:color w:val="auto"/>
        </w:rPr>
        <w:t>Maze Therapeutics, Inc.</w:t>
      </w:r>
      <w:r>
        <w:rPr>
          <w:rFonts w:ascii="Times New Roman" w:cs="Times New Roman" w:eastAsia="Times New Roman" w:hAnsi="Times New Roman"/>
          <w:sz w:val="18"/>
          <w:szCs w:val="18"/>
          <w:color w:val="auto"/>
        </w:rPr>
        <w:t>”</w:t>
      </w:r>
    </w:p>
    <w:p>
      <w:pPr>
        <w:spacing w:after="0" w:line="134" w:lineRule="exact"/>
        <w:rPr>
          <w:rFonts w:ascii="MS PGothic" w:cs="MS PGothic" w:eastAsia="MS PGothic" w:hAnsi="MS PGothic"/>
          <w:sz w:val="18"/>
          <w:szCs w:val="18"/>
          <w:color w:val="auto"/>
        </w:rPr>
      </w:pPr>
    </w:p>
    <w:p>
      <w:pPr>
        <w:ind w:left="424" w:right="160" w:hanging="424"/>
        <w:spacing w:after="0" w:line="282" w:lineRule="auto"/>
        <w:tabs>
          <w:tab w:leader="none" w:pos="424" w:val="left"/>
        </w:tabs>
        <w:numPr>
          <w:ilvl w:val="0"/>
          <w:numId w:val="3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Certificate(s) for ________________ shares of Common Stock of the Company. These shares will be valued as of the date this notice is received by the Company. </w:t>
      </w:r>
      <w:r>
        <w:rPr>
          <w:rFonts w:ascii="Times New Roman" w:cs="Times New Roman" w:eastAsia="Times New Roman" w:hAnsi="Times New Roman"/>
          <w:sz w:val="18"/>
          <w:szCs w:val="18"/>
          <w:b w:val="1"/>
          <w:bCs w:val="1"/>
          <w:i w:val="1"/>
          <w:iCs w:val="1"/>
          <w:color w:val="auto"/>
        </w:rPr>
        <w:t>[Requires Company consent.]</w:t>
      </w:r>
    </w:p>
    <w:p>
      <w:pPr>
        <w:spacing w:after="0" w:line="63" w:lineRule="exact"/>
        <w:rPr>
          <w:rFonts w:ascii="MS PGothic" w:cs="MS PGothic" w:eastAsia="MS PGothic" w:hAnsi="MS PGothic"/>
          <w:sz w:val="18"/>
          <w:szCs w:val="18"/>
          <w:color w:val="auto"/>
        </w:rPr>
      </w:pPr>
    </w:p>
    <w:p>
      <w:pPr>
        <w:ind w:left="424" w:hanging="424"/>
        <w:spacing w:after="0"/>
        <w:tabs>
          <w:tab w:leader="none" w:pos="424" w:val="left"/>
        </w:tabs>
        <w:numPr>
          <w:ilvl w:val="0"/>
          <w:numId w:val="3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Automated Clearing House (“</w:t>
      </w:r>
      <w:r>
        <w:rPr>
          <w:rFonts w:ascii="Times New Roman" w:cs="Times New Roman" w:eastAsia="Times New Roman" w:hAnsi="Times New Roman"/>
          <w:sz w:val="18"/>
          <w:szCs w:val="18"/>
          <w:b w:val="1"/>
          <w:bCs w:val="1"/>
          <w:i w:val="1"/>
          <w:iCs w:val="1"/>
          <w:color w:val="auto"/>
        </w:rPr>
        <w:t>ACH</w:t>
      </w:r>
      <w:r>
        <w:rPr>
          <w:rFonts w:ascii="Times New Roman" w:cs="Times New Roman" w:eastAsia="Times New Roman" w:hAnsi="Times New Roman"/>
          <w:sz w:val="18"/>
          <w:szCs w:val="18"/>
          <w:color w:val="auto"/>
        </w:rPr>
        <w:t>”) transfer in the amount of $_________________.</w:t>
      </w:r>
    </w:p>
    <w:p>
      <w:pPr>
        <w:spacing w:after="0" w:line="225" w:lineRule="exact"/>
        <w:rPr>
          <w:sz w:val="20"/>
          <w:szCs w:val="20"/>
          <w:color w:val="auto"/>
        </w:rPr>
      </w:pPr>
    </w:p>
    <w:p>
      <w:pPr>
        <w:ind w:left="4" w:right="220"/>
        <w:spacing w:after="0" w:line="28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CKNOWLEDGMENTS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signing this Stock Option Exercise Notice and Agreement via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Optionee hereby agrees with, and represents to, the Company as follows:</w:t>
      </w:r>
    </w:p>
    <w:p>
      <w:pPr>
        <w:spacing w:after="0" w:line="182" w:lineRule="exact"/>
        <w:rPr>
          <w:sz w:val="20"/>
          <w:szCs w:val="20"/>
          <w:color w:val="auto"/>
        </w:rPr>
      </w:pPr>
    </w:p>
    <w:p>
      <w:pPr>
        <w:ind w:left="424" w:right="140" w:hanging="424"/>
        <w:spacing w:after="0" w:line="268" w:lineRule="auto"/>
        <w:tabs>
          <w:tab w:leader="none" w:pos="424"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Terms Governing. </w:t>
      </w:r>
      <w:r>
        <w:rPr>
          <w:rFonts w:ascii="Times New Roman" w:cs="Times New Roman" w:eastAsia="Times New Roman" w:hAnsi="Times New Roman"/>
          <w:sz w:val="18"/>
          <w:szCs w:val="18"/>
          <w:color w:val="auto"/>
        </w:rPr>
        <w:t>I acknowledge and agree with the Company that I am acquiring the Purchased Shares by exercise of this Option subject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terms and conditions of the Notice of Stock Option Grant and the Stock Option Agreement that govern the Option, including without limitation the terms of the Company’s 2019 Equity Incentive Plan, as it may be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472" w:name="page473"/>
    <w:bookmarkEnd w:id="472"/>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 FORM</w:t>
      </w:r>
    </w:p>
    <w:p>
      <w:pPr>
        <w:spacing w:after="0" w:line="154" w:lineRule="exact"/>
        <w:rPr>
          <w:sz w:val="20"/>
          <w:szCs w:val="20"/>
          <w:color w:val="auto"/>
        </w:rPr>
      </w:pPr>
    </w:p>
    <w:p>
      <w:pPr>
        <w:ind w:left="424" w:right="80" w:hanging="424"/>
        <w:spacing w:after="0" w:line="256" w:lineRule="auto"/>
        <w:tabs>
          <w:tab w:leader="none" w:pos="424"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Intent; Securities Law Restrictions. </w:t>
      </w:r>
      <w:r>
        <w:rPr>
          <w:rFonts w:ascii="Times New Roman" w:cs="Times New Roman" w:eastAsia="Times New Roman" w:hAnsi="Times New Roman"/>
          <w:sz w:val="18"/>
          <w:szCs w:val="18"/>
          <w:color w:val="auto"/>
        </w:rPr>
        <w:t>I represent and warrant to the Company that I am acquiring and will hold the Purchased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investment for my account only, and not with a view to, or for resale in connection with, any “distribution” of the Purchased Shares within the meaning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88" w:lineRule="exact"/>
        <w:rPr>
          <w:rFonts w:ascii="Times New Roman" w:cs="Times New Roman" w:eastAsia="Times New Roman" w:hAnsi="Times New Roman"/>
          <w:sz w:val="18"/>
          <w:szCs w:val="18"/>
          <w:b w:val="1"/>
          <w:bCs w:val="1"/>
          <w:color w:val="auto"/>
        </w:rPr>
      </w:pPr>
    </w:p>
    <w:p>
      <w:pPr>
        <w:ind w:left="424" w:right="20" w:hanging="424"/>
        <w:spacing w:after="0" w:line="255" w:lineRule="auto"/>
        <w:tabs>
          <w:tab w:leader="none" w:pos="424"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Rule 144. </w:t>
      </w:r>
      <w:r>
        <w:rPr>
          <w:rFonts w:ascii="Times New Roman" w:cs="Times New Roman" w:eastAsia="Times New Roman" w:hAnsi="Times New Roman"/>
          <w:sz w:val="18"/>
          <w:szCs w:val="18"/>
          <w:color w:val="auto"/>
        </w:rPr>
        <w:t>I will not sell, transfer or otherwise dispose of the Purchased Shares in violation of the Securities Act,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Exchange Act of 1934, or the rules promulgated thereunder (including Rule 144 under the Securities Act described below (“</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90" w:lineRule="exact"/>
        <w:rPr>
          <w:rFonts w:ascii="Times New Roman" w:cs="Times New Roman" w:eastAsia="Times New Roman" w:hAnsi="Times New Roman"/>
          <w:sz w:val="18"/>
          <w:szCs w:val="18"/>
          <w:b w:val="1"/>
          <w:bCs w:val="1"/>
          <w:color w:val="auto"/>
        </w:rPr>
      </w:pPr>
    </w:p>
    <w:p>
      <w:pPr>
        <w:ind w:left="424" w:right="20" w:hanging="424"/>
        <w:spacing w:after="0" w:line="259" w:lineRule="auto"/>
        <w:tabs>
          <w:tab w:leader="none" w:pos="424"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Access to Information; Understanding of Risk in Investment. </w:t>
      </w:r>
      <w:r>
        <w:rPr>
          <w:rFonts w:ascii="Times New Roman" w:cs="Times New Roman" w:eastAsia="Times New Roman" w:hAnsi="Times New Roman"/>
          <w:sz w:val="18"/>
          <w:szCs w:val="18"/>
          <w:color w:val="auto"/>
        </w:rPr>
        <w:t>I acknowledge that I have received and had access to such information as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84" w:lineRule="exact"/>
        <w:rPr>
          <w:rFonts w:ascii="Times New Roman" w:cs="Times New Roman" w:eastAsia="Times New Roman" w:hAnsi="Times New Roman"/>
          <w:sz w:val="18"/>
          <w:szCs w:val="18"/>
          <w:b w:val="1"/>
          <w:bCs w:val="1"/>
          <w:color w:val="auto"/>
        </w:rPr>
      </w:pPr>
    </w:p>
    <w:p>
      <w:pPr>
        <w:ind w:left="424" w:right="60" w:hanging="424"/>
        <w:spacing w:after="0" w:line="262" w:lineRule="auto"/>
        <w:tabs>
          <w:tab w:leader="none" w:pos="424"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of First Refusal; Repurchase Options; Market Stand-off. </w:t>
      </w:r>
      <w:r>
        <w:rPr>
          <w:rFonts w:ascii="Times New Roman" w:cs="Times New Roman" w:eastAsia="Times New Roman" w:hAnsi="Times New Roman"/>
          <w:sz w:val="18"/>
          <w:szCs w:val="18"/>
          <w:color w:val="auto"/>
        </w:rPr>
        <w:t>I acknowledge that the Purchased Shares remain subject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of First Refusal, the Company’s Repurchase Option (with respect to unvested Purchased Shares) and the market stand-off covenants (sometimes referred to as the “lock-up”), all in accordance with the applicable Notice of Stock Option Grant and the Stock Option Agreement that govern the Option</w:t>
      </w:r>
    </w:p>
    <w:p>
      <w:pPr>
        <w:spacing w:after="0" w:line="81" w:lineRule="exact"/>
        <w:rPr>
          <w:rFonts w:ascii="Times New Roman" w:cs="Times New Roman" w:eastAsia="Times New Roman" w:hAnsi="Times New Roman"/>
          <w:sz w:val="18"/>
          <w:szCs w:val="18"/>
          <w:b w:val="1"/>
          <w:bCs w:val="1"/>
          <w:color w:val="auto"/>
        </w:rPr>
      </w:pPr>
    </w:p>
    <w:p>
      <w:pPr>
        <w:ind w:left="424" w:right="120" w:hanging="424"/>
        <w:spacing w:after="0" w:line="259" w:lineRule="auto"/>
        <w:tabs>
          <w:tab w:leader="none" w:pos="424"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Form of Ownership. </w:t>
      </w:r>
      <w:r>
        <w:rPr>
          <w:rFonts w:ascii="Times New Roman" w:cs="Times New Roman" w:eastAsia="Times New Roman" w:hAnsi="Times New Roman"/>
          <w:sz w:val="18"/>
          <w:szCs w:val="18"/>
          <w:color w:val="auto"/>
        </w:rPr>
        <w:t>I acknowledge that the Company has encouraged me to consult my own adviser to determine the form of ownership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4" w:lineRule="exact"/>
        <w:rPr>
          <w:rFonts w:ascii="Times New Roman" w:cs="Times New Roman" w:eastAsia="Times New Roman" w:hAnsi="Times New Roman"/>
          <w:sz w:val="18"/>
          <w:szCs w:val="18"/>
          <w:b w:val="1"/>
          <w:bCs w:val="1"/>
          <w:color w:val="auto"/>
        </w:rPr>
      </w:pPr>
    </w:p>
    <w:p>
      <w:pPr>
        <w:ind w:left="424" w:right="620" w:hanging="424"/>
        <w:spacing w:after="0" w:line="286" w:lineRule="auto"/>
        <w:tabs>
          <w:tab w:leader="none" w:pos="424"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Investigation of Tax Consequences. </w:t>
      </w:r>
      <w:r>
        <w:rPr>
          <w:rFonts w:ascii="Times New Roman" w:cs="Times New Roman" w:eastAsia="Times New Roman" w:hAnsi="Times New Roman"/>
          <w:sz w:val="18"/>
          <w:szCs w:val="18"/>
          <w:color w:val="auto"/>
        </w:rPr>
        <w:t>I acknowledge that the Company has encouraged me to consult my own adviser to determine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consequences of acquiring the Purchased Shares at this time.</w:t>
      </w:r>
    </w:p>
    <w:p>
      <w:pPr>
        <w:spacing w:after="0" w:line="60" w:lineRule="exact"/>
        <w:rPr>
          <w:rFonts w:ascii="Times New Roman" w:cs="Times New Roman" w:eastAsia="Times New Roman" w:hAnsi="Times New Roman"/>
          <w:sz w:val="18"/>
          <w:szCs w:val="18"/>
          <w:b w:val="1"/>
          <w:bCs w:val="1"/>
          <w:color w:val="auto"/>
        </w:rPr>
      </w:pPr>
    </w:p>
    <w:p>
      <w:pPr>
        <w:ind w:left="424" w:right="60" w:hanging="424"/>
        <w:spacing w:after="0" w:line="262" w:lineRule="auto"/>
        <w:tabs>
          <w:tab w:leader="none" w:pos="424"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Tax Matters. </w:t>
      </w:r>
      <w:r>
        <w:rPr>
          <w:rFonts w:ascii="Times New Roman" w:cs="Times New Roman" w:eastAsia="Times New Roman" w:hAnsi="Times New Roman"/>
          <w:sz w:val="18"/>
          <w:szCs w:val="18"/>
          <w:color w:val="auto"/>
        </w:rPr>
        <w:t>I agree that the Company does not have a duty to design or administer the Plan or its other compensation programs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473" w:name="page474"/>
    <w:bookmarkEnd w:id="473"/>
    <w:p>
      <w:pPr>
        <w:ind w:left="8984"/>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 FORM</w:t>
      </w:r>
    </w:p>
    <w:p>
      <w:pPr>
        <w:spacing w:after="0" w:line="169" w:lineRule="exact"/>
        <w:rPr>
          <w:sz w:val="20"/>
          <w:szCs w:val="20"/>
          <w:color w:val="auto"/>
        </w:rPr>
      </w:pPr>
    </w:p>
    <w:p>
      <w:pPr>
        <w:ind w:left="424" w:right="80"/>
        <w:spacing w:after="0" w:line="258" w:lineRule="auto"/>
        <w:rPr>
          <w:sz w:val="20"/>
          <w:szCs w:val="20"/>
          <w:color w:val="auto"/>
        </w:rPr>
      </w:pPr>
      <w:r>
        <w:rPr>
          <w:rFonts w:ascii="Times New Roman" w:cs="Times New Roman" w:eastAsia="Times New Roman" w:hAnsi="Times New Roman"/>
          <w:sz w:val="18"/>
          <w:szCs w:val="18"/>
          <w:color w:val="auto"/>
        </w:rPr>
        <w:t>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85" w:lineRule="exact"/>
        <w:rPr>
          <w:sz w:val="20"/>
          <w:szCs w:val="20"/>
          <w:color w:val="auto"/>
        </w:rPr>
      </w:pPr>
    </w:p>
    <w:p>
      <w:pPr>
        <w:ind w:left="424" w:hanging="424"/>
        <w:spacing w:after="0"/>
        <w:tabs>
          <w:tab w:leader="none" w:pos="424"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Spouse Consent. </w:t>
      </w:r>
      <w:r>
        <w:rPr>
          <w:rFonts w:ascii="Times New Roman" w:cs="Times New Roman" w:eastAsia="Times New Roman" w:hAnsi="Times New Roman"/>
          <w:sz w:val="18"/>
          <w:szCs w:val="18"/>
          <w:color w:val="auto"/>
        </w:rPr>
        <w:t>I agree to seek the consent of my spouse to the extent required by the Company to enforce the foregoing.</w:t>
      </w:r>
    </w:p>
    <w:p>
      <w:pPr>
        <w:spacing w:after="0" w:line="130" w:lineRule="exact"/>
        <w:rPr>
          <w:rFonts w:ascii="Times New Roman" w:cs="Times New Roman" w:eastAsia="Times New Roman" w:hAnsi="Times New Roman"/>
          <w:sz w:val="18"/>
          <w:szCs w:val="18"/>
          <w:b w:val="1"/>
          <w:bCs w:val="1"/>
          <w:color w:val="auto"/>
        </w:rPr>
      </w:pPr>
    </w:p>
    <w:p>
      <w:pPr>
        <w:ind w:left="424" w:right="60" w:hanging="424"/>
        <w:spacing w:after="0" w:line="257" w:lineRule="auto"/>
        <w:tabs>
          <w:tab w:leader="none" w:pos="424"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 to Enter into Company Stockholders Agreement. </w:t>
      </w:r>
      <w:r>
        <w:rPr>
          <w:rFonts w:ascii="Times New Roman" w:cs="Times New Roman" w:eastAsia="Times New Roman" w:hAnsi="Times New Roman"/>
          <w:sz w:val="18"/>
          <w:szCs w:val="18"/>
          <w:color w:val="auto"/>
        </w:rPr>
        <w:t>Pursuant to the Stock Option Agreement, if requested to do so by the Company,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to enter into and execute the then-current Company Stockholders Agreement concurrently with my exercise of the Option or at any other time I am requested to do so by the Company. I acknowledge that by entering into the Company Stockholders Agreement I will be subjecting the Purchased Shares to the rights of first refusal, co-sale rights as well as voting and other obligations and covenants regarding all Company shares I own and all other provisions of the Company Stockholders Agreement, in addition to the right of first refusal, repurchase option and market stand-off provisions described above.</w:t>
      </w:r>
    </w:p>
    <w:p>
      <w:pPr>
        <w:spacing w:after="0" w:line="87" w:lineRule="exact"/>
        <w:rPr>
          <w:rFonts w:ascii="Times New Roman" w:cs="Times New Roman" w:eastAsia="Times New Roman" w:hAnsi="Times New Roman"/>
          <w:sz w:val="18"/>
          <w:szCs w:val="18"/>
          <w:b w:val="1"/>
          <w:bCs w:val="1"/>
          <w:color w:val="auto"/>
        </w:rPr>
      </w:pPr>
    </w:p>
    <w:p>
      <w:pPr>
        <w:jc w:val="both"/>
        <w:ind w:left="424" w:right="100" w:hanging="424"/>
        <w:spacing w:after="0" w:line="268" w:lineRule="auto"/>
        <w:tabs>
          <w:tab w:leader="none" w:pos="424"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Withholding. </w:t>
      </w:r>
      <w:r>
        <w:rPr>
          <w:rFonts w:ascii="Times New Roman" w:cs="Times New Roman" w:eastAsia="Times New Roman" w:hAnsi="Times New Roman"/>
          <w:sz w:val="18"/>
          <w:szCs w:val="18"/>
          <w:color w:val="auto"/>
        </w:rPr>
        <w:t>As a condition of exercising this Option, I agree to make adequate provision for foreign, federal, state or other 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if any, which arise upon the grant, vesting or exercise of this Option, or disposition of the Purchased Shares, whether by withholding, direct payment to the Company, or otherwise.</w:t>
      </w:r>
    </w:p>
    <w:p>
      <w:pPr>
        <w:spacing w:after="0" w:line="171"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IMPORTANT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UNVESTED PURCHASED SHARES ARE SUBJECT TO REPURCHASE BY THE COMPANY. PLEASE CONSULT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TAX ADVISER CONCERNING THE ADVISABILITY OF FILING AN 83(b) ELECTION WITH THE INTERNAL REVENUE SERVICE WHICH MUST BE FILED WITHIN THIRTY (30) DAYS AFTER THE PURCHASE OF SHARES TO BE EFFECTIVE.</w:t>
      </w:r>
    </w:p>
    <w:p>
      <w:pPr>
        <w:spacing w:after="0" w:line="279"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form of Election under Section 83(b) is attached hereto as </w:t>
      </w:r>
      <w:r>
        <w:rPr>
          <w:rFonts w:ascii="Times New Roman" w:cs="Times New Roman" w:eastAsia="Times New Roman" w:hAnsi="Times New Roman"/>
          <w:sz w:val="18"/>
          <w:szCs w:val="18"/>
          <w:b w:val="1"/>
          <w:bCs w:val="1"/>
          <w:u w:val="single" w:color="auto"/>
          <w:color w:val="auto"/>
        </w:rPr>
        <w:t>Exhibit 1</w:t>
      </w:r>
      <w:r>
        <w:rPr>
          <w:rFonts w:ascii="Times New Roman" w:cs="Times New Roman" w:eastAsia="Times New Roman" w:hAnsi="Times New Roman"/>
          <w:sz w:val="18"/>
          <w:szCs w:val="18"/>
          <w:b w:val="1"/>
          <w:bCs w:val="1"/>
          <w:color w:val="auto"/>
        </w:rPr>
        <w:t xml:space="preserve"> for reference. Unless an 83(b) election is timely filed with the Internal Revenue Service (and, if necessary, the proper state taxing authorities), electing pursuant to Section 83(b) of the Internal Revenue Code (and similar state tax provisions, if applicable) to be taxed currently on any difference between the purchase price of the Unvested Purchased Shares and their fair market value on the date of purchase, there may be a recognition of taxable income (including, where applicable, alternative minimum taxable income) to you, measured by the excess, if any, of the Fair Market Value of the Unvested Purchased Shares at the time they cease to be Unvested Purchased Shares, over the purchase price of the Unvested Purchased Shares.</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hereby executes and delivers this Stock Option Exercise Notice and Agreement and agrees to be bound by its terms</w:t>
      </w:r>
    </w:p>
    <w:p>
      <w:pPr>
        <w:spacing w:after="0" w:line="248" w:lineRule="exact"/>
        <w:rPr>
          <w:sz w:val="20"/>
          <w:szCs w:val="20"/>
          <w:color w:val="auto"/>
        </w:rPr>
      </w:pPr>
    </w:p>
    <w:p>
      <w:pPr>
        <w:ind w:left="4"/>
        <w:spacing w:after="0"/>
        <w:tabs>
          <w:tab w:leader="none" w:pos="5384" w:val="left"/>
          <w:tab w:leader="none" w:pos="5924" w:val="left"/>
        </w:tabs>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xml:space="preserve">    </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36042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360420" cy="8890"/>
                    </a:xfrm>
                    <a:prstGeom prst="rect">
                      <a:avLst/>
                    </a:prstGeom>
                    <a:noFill/>
                  </pic:spPr>
                </pic:pic>
              </a:graphicData>
            </a:graphic>
          </wp:anchor>
        </w:drawing>
        <w:drawing>
          <wp:anchor simplePos="0" relativeHeight="251657728" behindDoc="1" locked="0" layoutInCell="0" allowOverlap="1">
            <wp:simplePos x="0" y="0"/>
            <wp:positionH relativeFrom="column">
              <wp:posOffset>3780155</wp:posOffset>
            </wp:positionH>
            <wp:positionV relativeFrom="paragraph">
              <wp:posOffset>-7620</wp:posOffset>
            </wp:positionV>
            <wp:extent cx="137096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Optionee’s Name: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856615</wp:posOffset>
            </wp:positionH>
            <wp:positionV relativeFrom="paragraph">
              <wp:posOffset>-7620</wp:posOffset>
            </wp:positionV>
            <wp:extent cx="137096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Attachments: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Exhibit 1 </w:t>
      </w:r>
      <w:r>
        <w:rPr>
          <w:rFonts w:ascii="Times New Roman" w:cs="Times New Roman" w:eastAsia="Times New Roman" w:hAnsi="Times New Roman"/>
          <w:sz w:val="18"/>
          <w:szCs w:val="18"/>
          <w:color w:val="auto"/>
        </w:rPr>
        <w:t>– Section 83(b) Election Form</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[Signature Page to Stock Option Exercise Notice and Agreement]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474" w:name="page475"/>
    <w:bookmarkEnd w:id="474"/>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 FORM</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u w:val="single" w:color="auto"/>
          <w:color w:val="auto"/>
        </w:rPr>
        <w:t>SECTION 83(b) ELECTION</w:t>
      </w:r>
    </w:p>
    <w:p>
      <w:pPr>
        <w:sectPr>
          <w:pgSz w:w="11900" w:h="16838" w:orient="portrait"/>
          <w:cols w:equalWidth="0" w:num="1">
            <w:col w:w="10020"/>
          </w:cols>
          <w:pgMar w:left="1440" w:top="270" w:right="439" w:bottom="1440" w:gutter="0" w:footer="0" w:header="0"/>
        </w:sectPr>
      </w:pPr>
    </w:p>
    <w:bookmarkStart w:id="475" w:name="page476"/>
    <w:bookmarkEnd w:id="47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UNDER SECTION 83(b) OF THE</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INTERNAL REVENUE CODE</w:t>
      </w:r>
    </w:p>
    <w:p>
      <w:pPr>
        <w:spacing w:after="0" w:line="229" w:lineRule="exact"/>
        <w:rPr>
          <w:sz w:val="20"/>
          <w:szCs w:val="20"/>
          <w:color w:val="auto"/>
        </w:rPr>
      </w:pPr>
    </w:p>
    <w:p>
      <w:pPr>
        <w:jc w:val="both"/>
        <w:ind w:left="4" w:right="120"/>
        <w:spacing w:after="0" w:line="289" w:lineRule="auto"/>
        <w:rPr>
          <w:sz w:val="20"/>
          <w:szCs w:val="20"/>
          <w:color w:val="auto"/>
        </w:rPr>
      </w:pPr>
      <w:r>
        <w:rPr>
          <w:rFonts w:ascii="Times New Roman" w:cs="Times New Roman" w:eastAsia="Times New Roman" w:hAnsi="Times New Roman"/>
          <w:sz w:val="17"/>
          <w:szCs w:val="17"/>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 (1) regular gross income; (2) alternative minimum taxable income; or (3) disqualifying disposition gross income, as the case may be.</w:t>
      </w:r>
    </w:p>
    <w:p>
      <w:pPr>
        <w:spacing w:after="0" w:line="185" w:lineRule="exact"/>
        <w:rPr>
          <w:sz w:val="20"/>
          <w:szCs w:val="20"/>
          <w:color w:val="auto"/>
        </w:rPr>
      </w:pPr>
    </w:p>
    <w:p>
      <w:pPr>
        <w:ind w:left="444" w:right="8580" w:hanging="444"/>
        <w:spacing w:after="0" w:line="478" w:lineRule="auto"/>
        <w:tabs>
          <w:tab w:leader="none" w:pos="444" w:val="left"/>
        </w:tabs>
        <w:numPr>
          <w:ilvl w:val="0"/>
          <w:numId w:val="3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TAXPAYER’S NAME: TAXPAYER’S ADDRESS:</w:t>
      </w:r>
    </w:p>
    <w:p>
      <w:pPr>
        <w:spacing w:after="0" w:line="274" w:lineRule="exact"/>
        <w:rPr>
          <w:rFonts w:ascii="Times New Roman" w:cs="Times New Roman" w:eastAsia="Times New Roman" w:hAnsi="Times New Roman"/>
          <w:sz w:val="17"/>
          <w:szCs w:val="17"/>
          <w:color w:val="auto"/>
        </w:rPr>
      </w:pPr>
    </w:p>
    <w:p>
      <w:pPr>
        <w:ind w:left="4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SOCIAL SECURITY NUMBER:</w:t>
      </w:r>
    </w:p>
    <w:p>
      <w:pPr>
        <w:spacing w:after="0" w:line="279" w:lineRule="exact"/>
        <w:rPr>
          <w:rFonts w:ascii="Times New Roman" w:cs="Times New Roman" w:eastAsia="Times New Roman" w:hAnsi="Times New Roman"/>
          <w:sz w:val="17"/>
          <w:szCs w:val="17"/>
          <w:color w:val="auto"/>
        </w:rPr>
      </w:pPr>
    </w:p>
    <w:p>
      <w:pPr>
        <w:ind w:left="444" w:right="60" w:hanging="444"/>
        <w:spacing w:after="0" w:line="266" w:lineRule="auto"/>
        <w:tabs>
          <w:tab w:leader="none" w:pos="44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with respect to which the election is made is described as follows: _______ shares of Common Stock, par value $0.001 per share, of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which were transferred upon exercise of an option by the Company, which is Taxpayer’s employer or the corporation for whom the Taxpayer performs services.</w:t>
      </w:r>
    </w:p>
    <w:p>
      <w:pPr>
        <w:spacing w:after="0" w:line="67" w:lineRule="exact"/>
        <w:rPr>
          <w:rFonts w:ascii="Times New Roman" w:cs="Times New Roman" w:eastAsia="Times New Roman" w:hAnsi="Times New Roman"/>
          <w:sz w:val="18"/>
          <w:szCs w:val="18"/>
          <w:color w:val="auto"/>
        </w:rPr>
      </w:pPr>
    </w:p>
    <w:p>
      <w:pPr>
        <w:ind w:left="444" w:right="120" w:hanging="444"/>
        <w:spacing w:after="0" w:line="282" w:lineRule="auto"/>
        <w:tabs>
          <w:tab w:leader="none" w:pos="44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shares were transferred was pursuant to the exercise of the option was ____________________, _____ and this election is made for calendar year ____.</w:t>
      </w:r>
    </w:p>
    <w:p>
      <w:pPr>
        <w:spacing w:after="0" w:line="53" w:lineRule="exact"/>
        <w:rPr>
          <w:rFonts w:ascii="Times New Roman" w:cs="Times New Roman" w:eastAsia="Times New Roman" w:hAnsi="Times New Roman"/>
          <w:sz w:val="18"/>
          <w:szCs w:val="18"/>
          <w:color w:val="auto"/>
        </w:rPr>
      </w:pPr>
    </w:p>
    <w:p>
      <w:pPr>
        <w:ind w:left="444" w:right="400" w:hanging="444"/>
        <w:spacing w:after="0" w:line="266" w:lineRule="auto"/>
        <w:tabs>
          <w:tab w:leader="none" w:pos="44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received upon exercise of the option are subject to the following restrictions: The Company may repurchase all or a portion of the shares at the lower of (a) Taxpayer’s original purchase price per share or (b) the then fair market value per share of the shares, under certain conditions at the time of Taxpayer’s termination of employment or services.</w:t>
      </w:r>
    </w:p>
    <w:p>
      <w:pPr>
        <w:spacing w:after="0" w:line="67" w:lineRule="exact"/>
        <w:rPr>
          <w:rFonts w:ascii="Times New Roman" w:cs="Times New Roman" w:eastAsia="Times New Roman" w:hAnsi="Times New Roman"/>
          <w:sz w:val="18"/>
          <w:szCs w:val="18"/>
          <w:color w:val="auto"/>
        </w:rPr>
      </w:pPr>
    </w:p>
    <w:p>
      <w:pPr>
        <w:ind w:left="444" w:right="300" w:hanging="444"/>
        <w:spacing w:after="0" w:line="282" w:lineRule="auto"/>
        <w:tabs>
          <w:tab w:leader="none" w:pos="44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shares (without regard to restrictions other than restrictions which by their terms will never lapse) was $_____ per share x _______ shares = $_______ at the time of exercise of the option.</w:t>
      </w:r>
    </w:p>
    <w:p>
      <w:pPr>
        <w:spacing w:after="0" w:line="53"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paid for such shares upon exercise of the option was $____ per share x ________ shares = $________.</w:t>
      </w:r>
    </w:p>
    <w:p>
      <w:pPr>
        <w:spacing w:after="0" w:line="117"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 has submitted a copy of this statement to the Company.</w:t>
      </w:r>
    </w:p>
    <w:p>
      <w:pPr>
        <w:spacing w:after="0" w:line="117"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include in gross income is $______________. [The result of the amount reported in Item 5 minus the amount reported in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-3016885</wp:posOffset>
            </wp:positionV>
            <wp:extent cx="482600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4826000" cy="825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-2794000</wp:posOffset>
            </wp:positionV>
            <wp:extent cx="48260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4826000" cy="889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-2571115</wp:posOffset>
            </wp:positionV>
            <wp:extent cx="482600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4826000" cy="825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-2348230</wp:posOffset>
            </wp:positionV>
            <wp:extent cx="482600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01"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i w:val="1"/>
          <w:iCs w:val="1"/>
          <w:color w:val="auto"/>
        </w:rPr>
        <w:t>THIS ELECTION MUST BE FILED WITH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i w:val="1"/>
          <w:iCs w:val="1"/>
          <w:color w:val="auto"/>
        </w:rPr>
        <w:t xml:space="preserve">”), AT THE OFFICE WHERE THE TAXPAYER FILES ANNUAL INCOME TAX RETURNS, </w:t>
      </w:r>
      <w:r>
        <w:rPr>
          <w:rFonts w:ascii="Times New Roman" w:cs="Times New Roman" w:eastAsia="Times New Roman" w:hAnsi="Times New Roman"/>
          <w:sz w:val="18"/>
          <w:szCs w:val="18"/>
          <w:i w:val="1"/>
          <w:iCs w:val="1"/>
          <w:u w:val="single" w:color="auto"/>
          <w:color w:val="auto"/>
        </w:rPr>
        <w:t>WITHIN 30 DAYS</w:t>
      </w:r>
      <w:r>
        <w:rPr>
          <w:rFonts w:ascii="Times New Roman" w:cs="Times New Roman" w:eastAsia="Times New Roman" w:hAnsi="Times New Roman"/>
          <w:sz w:val="18"/>
          <w:szCs w:val="18"/>
          <w:i w:val="1"/>
          <w:iCs w:val="1"/>
          <w:color w:val="auto"/>
        </w:rPr>
        <w:t xml:space="preserve"> AFTER THE DATE OF TRANSFER OF THE SHARES, AND MUST ALSO BE FILED WITH THE TAXPAYER’S INCOME TAX RETURNS FOR THE CALENDAR YEAR. THE ELECTION CANNOT BE REVOKED WITHOUT THE CONSENT OF THE IRS.</w:t>
      </w:r>
    </w:p>
    <w:p>
      <w:pPr>
        <w:spacing w:after="0" w:line="207" w:lineRule="exact"/>
        <w:rPr>
          <w:sz w:val="20"/>
          <w:szCs w:val="20"/>
          <w:color w:val="auto"/>
        </w:rPr>
      </w:pPr>
    </w:p>
    <w:p>
      <w:pPr>
        <w:ind w:left="4"/>
        <w:spacing w:after="0"/>
        <w:tabs>
          <w:tab w:leader="none" w:pos="5504"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17145</wp:posOffset>
            </wp:positionV>
            <wp:extent cx="656653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16"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Taxpayer’s Signature</w:t>
      </w:r>
    </w:p>
    <w:p>
      <w:pPr>
        <w:sectPr>
          <w:pgSz w:w="11900" w:h="16838" w:orient="portrait"/>
          <w:cols w:equalWidth="0" w:num="1">
            <w:col w:w="11004"/>
          </w:cols>
          <w:pgMar w:left="436" w:top="265" w:right="459" w:bottom="1440" w:gutter="0" w:footer="0" w:header="0"/>
        </w:sectPr>
      </w:pPr>
    </w:p>
    <w:bookmarkStart w:id="476" w:name="page477"/>
    <w:bookmarkEnd w:id="47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MAZE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PURCHASE AGREEMENT</w:t>
      </w:r>
    </w:p>
    <w:p>
      <w:pPr>
        <w:spacing w:after="0" w:line="225" w:lineRule="exact"/>
        <w:rPr>
          <w:sz w:val="20"/>
          <w:szCs w:val="20"/>
          <w:color w:val="auto"/>
        </w:rPr>
      </w:pPr>
    </w:p>
    <w:p>
      <w:pPr>
        <w:ind w:right="960" w:firstLine="440"/>
        <w:spacing w:after="0" w:line="263" w:lineRule="auto"/>
        <w:rPr>
          <w:sz w:val="20"/>
          <w:szCs w:val="20"/>
          <w:color w:val="auto"/>
        </w:rPr>
      </w:pPr>
      <w:r>
        <w:rPr>
          <w:rFonts w:ascii="Times New Roman" w:cs="Times New Roman" w:eastAsia="Times New Roman" w:hAnsi="Times New Roman"/>
          <w:sz w:val="18"/>
          <w:szCs w:val="18"/>
          <w:color w:val="auto"/>
        </w:rPr>
        <w:t>This Restricted Stock Purchase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the date specified on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 between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the Purchaser indicated on      </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Capitalized terms not defined herein shall have the meanings ascribed to them in the Company’s 2019 Equity Incentive Plan, as may be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960" w:hanging="532"/>
        <w:spacing w:after="0"/>
        <w:tabs>
          <w:tab w:leader="none" w:pos="960"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OF SHARES.</w:t>
      </w:r>
    </w:p>
    <w:p>
      <w:pPr>
        <w:spacing w:after="0" w:line="117"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Agreement to Purchase and Sell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Effective Date and subject to the terms and conditions of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Purchaser hereby purchases from the Company, and the Company hereby sells to Purchaser, the number of shares of the Company’s Common Stock, as specified on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at a purchase price per share as specified on       for a total purchase price as specified on       (the “</w:t>
      </w:r>
      <w:r>
        <w:rPr>
          <w:rFonts w:ascii="Times New Roman" w:cs="Times New Roman" w:eastAsia="Times New Roman" w:hAnsi="Times New Roman"/>
          <w:sz w:val="18"/>
          <w:szCs w:val="18"/>
          <w:b w:val="1"/>
          <w:bCs w:val="1"/>
          <w:i w:val="1"/>
          <w:iCs w:val="1"/>
          <w:color w:val="auto"/>
        </w:rPr>
        <w:t>Aggregate Purchase Price</w:t>
      </w:r>
      <w:r>
        <w:rPr>
          <w:rFonts w:ascii="Times New Roman" w:cs="Times New Roman" w:eastAsia="Times New Roman" w:hAnsi="Times New Roman"/>
          <w:sz w:val="18"/>
          <w:szCs w:val="18"/>
          <w:color w:val="auto"/>
        </w:rPr>
        <w:t>”). As used in this Agreement, the term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includes the Shares purchased under this Agreement and all securities received (a) in replacement of the Shares, (b) as a result of stock dividends or stock splits with respect to the Shares, and (c) in replacement of the Shares in a merger, recapitalization, reorganization or similar corporate transaction.</w:t>
      </w:r>
    </w:p>
    <w:p>
      <w:pPr>
        <w:spacing w:after="0" w:line="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hereby delivers payment of the Purchase Price as follows (check and complete as appropriate):</w:t>
      </w:r>
    </w:p>
    <w:p>
      <w:pPr>
        <w:spacing w:after="0" w:line="13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w:t>
        <w:tab/>
        <w:t>in cash (by check) in the amount of $_________________, receipt of which is acknowledged by the Company.</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by ACH in the amount of $_______________, receipt of which is acknowledged by the Company.</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w:t>
        <w:tab/>
        <w:t>by cancellation of indebtedness of the Company owed to Purchaser in the amount of $__________________________________.</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w:t>
        <w:tab/>
        <w:t>by the waiver hereby of compensation due or accrued for services rendered in the amount of $_______________________________.</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by delivery of _________ fully-paid, nonassessable and vested shares of the Common Stock of the Company owned by Purchaser free and clear of</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liens, claims, encumbrances or security interests, valued at the current Fair Market Value of $___________ per share (a) for which the</w:t>
      </w:r>
    </w:p>
    <w:p>
      <w:pPr>
        <w:spacing w:after="0" w:line="9" w:lineRule="exact"/>
        <w:rPr>
          <w:sz w:val="20"/>
          <w:szCs w:val="20"/>
          <w:color w:val="auto"/>
        </w:rPr>
      </w:pPr>
    </w:p>
    <w:p>
      <w:pPr>
        <w:ind w:left="420" w:right="60"/>
        <w:spacing w:after="0" w:line="260" w:lineRule="auto"/>
        <w:rPr>
          <w:sz w:val="20"/>
          <w:szCs w:val="20"/>
          <w:color w:val="auto"/>
        </w:rPr>
      </w:pPr>
      <w:r>
        <w:rPr>
          <w:rFonts w:ascii="Times New Roman" w:cs="Times New Roman" w:eastAsia="Times New Roman" w:hAnsi="Times New Roman"/>
          <w:sz w:val="18"/>
          <w:szCs w:val="18"/>
          <w:color w:val="auto"/>
        </w:rPr>
        <w:t>Company has received “full payment of the purchase price” within the meaning of SEC Rule 144, (if purchased by use of a promissory note, such note has been fully paid with respect to such vested shares), or (b) that were obtained by Purchaser in the open public market.</w:t>
      </w:r>
    </w:p>
    <w:p>
      <w:pPr>
        <w:spacing w:after="0" w:line="1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avoidance of uncertainty: ACH transfers that have been successfully received by the Company into its bank account designated via       for receipt of such transfers shall be deemed to have been received for all purposes of this Option as of the date on which such transfers were initiated from the Purchaser’s account and made irrevocable by Purchaser.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5" w:right="459" w:bottom="1440" w:gutter="0" w:footer="0" w:header="0"/>
        </w:sectPr>
      </w:pPr>
    </w:p>
    <w:bookmarkStart w:id="477" w:name="page478"/>
    <w:bookmarkEnd w:id="477"/>
    <w:p>
      <w:pPr>
        <w:ind w:left="960" w:hanging="532"/>
        <w:spacing w:after="0"/>
        <w:tabs>
          <w:tab w:leader="none" w:pos="960"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DELIVERIES.</w:t>
      </w:r>
    </w:p>
    <w:p>
      <w:pPr>
        <w:spacing w:after="0" w:line="117" w:lineRule="exact"/>
        <w:rPr>
          <w:sz w:val="20"/>
          <w:szCs w:val="20"/>
          <w:color w:val="auto"/>
        </w:rPr>
      </w:pPr>
    </w:p>
    <w:p>
      <w:pPr>
        <w:ind w:right="4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Deliveries by the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hereby delivers to the Company at its principal executive offices: (a) this completed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Agreement, and (b) the Purchase Price, paid by delivery of the form of payment specified in Section 1.2.</w:t>
      </w:r>
    </w:p>
    <w:p>
      <w:pPr>
        <w:spacing w:after="0" w:line="47" w:lineRule="exact"/>
        <w:rPr>
          <w:sz w:val="20"/>
          <w:szCs w:val="20"/>
          <w:color w:val="auto"/>
        </w:rPr>
      </w:pPr>
    </w:p>
    <w:p>
      <w:pPr>
        <w:ind w:right="22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Deliveries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its receipt of the Aggregate Purchase Price, payment or other provision for any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if any, and all the documents to be executed and delivered by Purchaser to the Company as provided herein, the Company will deliver to Purchaser, upon request, a notice of issuance with respect to a stock certificate (written or electronic) representing the Shares as soon as practicable following such date with the appropriate legends affixed thereto. The original stock certificate (written or electronic) will be placed in escrow as provided in Section 7.2 to secure performance of Purchaser’s obligations under Sections 5 and 6 until expiration or termination of the Company’s Repurchase Option and Refusal Right (as such terms are defined in Sections 5 and 6, respectively).</w:t>
      </w:r>
    </w:p>
    <w:p>
      <w:pPr>
        <w:spacing w:after="0" w:line="182" w:lineRule="exact"/>
        <w:rPr>
          <w:sz w:val="20"/>
          <w:szCs w:val="20"/>
          <w:color w:val="auto"/>
        </w:rPr>
      </w:pPr>
    </w:p>
    <w:p>
      <w:pPr>
        <w:ind w:left="620" w:hanging="184"/>
        <w:spacing w:after="0"/>
        <w:tabs>
          <w:tab w:leader="none" w:pos="620"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PURCHASER. </w:t>
      </w:r>
      <w:r>
        <w:rPr>
          <w:rFonts w:ascii="Times New Roman" w:cs="Times New Roman" w:eastAsia="Times New Roman" w:hAnsi="Times New Roman"/>
          <w:sz w:val="18"/>
          <w:szCs w:val="18"/>
          <w:color w:val="auto"/>
        </w:rPr>
        <w:t>Purchaser represents and warrants to the Company as follows.</w:t>
      </w:r>
    </w:p>
    <w:p>
      <w:pPr>
        <w:spacing w:after="0" w:line="117" w:lineRule="exact"/>
        <w:rPr>
          <w:sz w:val="20"/>
          <w:szCs w:val="20"/>
          <w:color w:val="auto"/>
        </w:rPr>
      </w:pPr>
    </w:p>
    <w:p>
      <w:pPr>
        <w:ind w:right="4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Agrees to Terms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has received a copy of the Plan, has read and understands the terms of the Plan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agrees to be bound by their terms and conditions.</w:t>
      </w:r>
    </w:p>
    <w:p>
      <w:pPr>
        <w:spacing w:after="0" w:line="47"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Acknowledgment of Tax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acknowledges that there may be adverse tax consequences upon the purchase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disposition of the Shares, and that Purchaser has been advised by the Company to consult a tax adviser prior to such purchase or disposition. Purchaser further acknowledges that Purchaser is not relying on the Company or its counsel for tax advice regarding Purchaser’s purchaser or disposition of the Shares or the tax consequences to Purchaser of this Agreement.</w:t>
      </w:r>
    </w:p>
    <w:p>
      <w:pPr>
        <w:spacing w:after="0" w:line="68" w:lineRule="exact"/>
        <w:rPr>
          <w:sz w:val="20"/>
          <w:szCs w:val="20"/>
          <w:color w:val="auto"/>
        </w:rPr>
      </w:pPr>
    </w:p>
    <w:p>
      <w:pPr>
        <w:jc w:val="both"/>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Shares Not Registered or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understands and acknowledges that the Shares have not been registered with the 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or with any securities regulatory agency administering any state securities laws, and that, notwithstanding any other provision of this Agreement to the contrary, the purchase of any Shares is expressly conditioned upon compliance with the Securities Act and all applicable state securities laws. Purchaser agrees to cooperate with the Company to ensure compliance with such laws.</w:t>
      </w:r>
    </w:p>
    <w:p>
      <w:pPr>
        <w:spacing w:after="0" w:line="68"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No Transfer Unless Registered or Exempt; Contractual Restrictions on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understands that Purchaser may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any Shares unless such Shares are registered under the Securities Act or qualified under applicable state securities laws or unless, in the opinion of counsel to the Company, exemptions from such registration and qualification requirements are available. Purchaser understands that only the Company may file a registration statement with the SEC and that the Company is under no obligation to do so with respect to the Shares. Purchaser has also been advised that exemptions from registration and qualification may not be available or may not permit Purchaser to transfer all or any of the Shares in the amounts or at the times proposed by Purchaser. Purchaser further acknowledges that this Agreement imposes additional restrictions on transfer of the Shares.</w:t>
      </w:r>
    </w:p>
    <w:p>
      <w:pPr>
        <w:spacing w:after="0" w:line="75"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SEC Rule 701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are issued pursuant to SEC Rule 701 promulgated under the Securities Act may become freely tradable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non-affiliates (under limited conditions regarding the method of sale) ninety (90) days after the first sale of Common Stock of the Company to the general public pursuant to a registration statement filed with and declared effective by the SEC, subject to the lengthier market standoff agreement contained in Section 4 of this Agreement or any other agreement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5" w:right="519" w:bottom="1440" w:gutter="0" w:footer="0" w:header="0"/>
        </w:sectPr>
      </w:pPr>
    </w:p>
    <w:bookmarkStart w:id="478" w:name="page479"/>
    <w:bookmarkEnd w:id="478"/>
    <w:p>
      <w:pPr>
        <w:ind w:left="4" w:right="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entered into by Purchaser. Affiliates must comply with the provisions (other than the holding period requirements) of Rule 144 which permits certain limited sales of unregistered securities. Rule 144 is not presently available with respect to the Shares and, in any event, requires that the Shares be held for a minimum of six (6) months, and in certain cases one (1) year, after they have been purchased </w:t>
      </w:r>
      <w:r>
        <w:rPr>
          <w:rFonts w:ascii="Times New Roman" w:cs="Times New Roman" w:eastAsia="Times New Roman" w:hAnsi="Times New Roman"/>
          <w:sz w:val="17"/>
          <w:szCs w:val="17"/>
          <w:u w:val="single" w:color="auto"/>
          <w:color w:val="auto"/>
        </w:rPr>
        <w:t>and paid for</w:t>
      </w:r>
      <w:r>
        <w:rPr>
          <w:rFonts w:ascii="Times New Roman" w:cs="Times New Roman" w:eastAsia="Times New Roman" w:hAnsi="Times New Roman"/>
          <w:sz w:val="17"/>
          <w:szCs w:val="17"/>
          <w:color w:val="auto"/>
        </w:rPr>
        <w:t xml:space="preserve"> (within the meaning of Rule 144). Purchaser understands that use of a promissory note as payment for the Shares may not be deemed to be “full payment of the purchase price” within the meaning of Rule 144 unless certain conditions are met and that, accordingly, the Rule 144 holding period of such Shares may not begin to run until such Shares are fully paid for within the meaning of Rule 144. Purchaser understands that Rule 144 may indefinitely restrict transfer of the Shares so long as Purchaser remains an “affiliate” of the Company or if “current public information” about the Company (as defined in Rule 144) is not publicly available.</w:t>
      </w:r>
    </w:p>
    <w:p>
      <w:pPr>
        <w:spacing w:after="0" w:line="59"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b w:val="1"/>
          <w:bCs w:val="1"/>
          <w:u w:val="single" w:color="auto"/>
          <w:color w:val="auto"/>
        </w:rPr>
        <w:t>Access to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has had access to all information regarding the Company and its present and prospective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liabilities and financial condition that Purchaser reasonably considers important in making the decision to purchase the Shares, and Purchaser has had ample opportunity to ask questions of the Company’s representatives concerning such matters and this investment.</w:t>
      </w:r>
    </w:p>
    <w:p>
      <w:pPr>
        <w:spacing w:after="0" w:line="63" w:lineRule="exact"/>
        <w:rPr>
          <w:sz w:val="20"/>
          <w:szCs w:val="20"/>
          <w:color w:val="auto"/>
        </w:rPr>
      </w:pPr>
    </w:p>
    <w:p>
      <w:pPr>
        <w:ind w:left="4"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3.7 </w:t>
      </w:r>
      <w:r>
        <w:rPr>
          <w:rFonts w:ascii="Times New Roman" w:cs="Times New Roman" w:eastAsia="Times New Roman" w:hAnsi="Times New Roman"/>
          <w:sz w:val="18"/>
          <w:szCs w:val="18"/>
          <w:b w:val="1"/>
          <w:bCs w:val="1"/>
          <w:u w:val="single" w:color="auto"/>
          <w:color w:val="auto"/>
        </w:rPr>
        <w:t>Understanding of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is fully aware of: (a) the highly speculative nature of the investment in the Shares; (b) the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hazards involved; (c) the lack of liquidity of the Shares and the restrictions on transferability of the Shares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that Purchaser may not be able to sell or dispose of the Shares or use them as collateral for loans); (d) the qualifications and backgrounds of the management of the Company; and (e) the tax consequences of investment in, and disposition of, the Shares.</w:t>
      </w:r>
    </w:p>
    <w:p>
      <w:pPr>
        <w:spacing w:after="0" w:line="68" w:lineRule="exact"/>
        <w:rPr>
          <w:sz w:val="20"/>
          <w:szCs w:val="20"/>
          <w:color w:val="auto"/>
        </w:rPr>
      </w:pPr>
    </w:p>
    <w:p>
      <w:pPr>
        <w:ind w:left="4"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3.8 </w:t>
      </w:r>
      <w:r>
        <w:rPr>
          <w:rFonts w:ascii="Times New Roman" w:cs="Times New Roman" w:eastAsia="Times New Roman" w:hAnsi="Times New Roman"/>
          <w:sz w:val="18"/>
          <w:szCs w:val="18"/>
          <w:b w:val="1"/>
          <w:bCs w:val="1"/>
          <w:u w:val="single" w:color="auto"/>
          <w:color w:val="auto"/>
        </w:rPr>
        <w:t>Purchase for Own Account for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is purchasing the Shares for Purchaser’s own account for investment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and not with a view to, or for sale in connection with, a distribution of the Shares within the meaning of the Securities Act. Purchaser has no present intention of selling or otherwise disposing of all or any portion of the Shares and no one other than Purchaser has any beneficial ownership of any of the Shares.</w:t>
      </w:r>
    </w:p>
    <w:p>
      <w:pPr>
        <w:spacing w:after="0" w:line="68" w:lineRule="exact"/>
        <w:rPr>
          <w:sz w:val="20"/>
          <w:szCs w:val="20"/>
          <w:color w:val="auto"/>
        </w:rPr>
      </w:pPr>
    </w:p>
    <w:p>
      <w:pPr>
        <w:ind w:left="4"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3.9 </w:t>
      </w:r>
      <w:r>
        <w:rPr>
          <w:rFonts w:ascii="Times New Roman" w:cs="Times New Roman" w:eastAsia="Times New Roman" w:hAnsi="Times New Roman"/>
          <w:sz w:val="18"/>
          <w:szCs w:val="18"/>
          <w:b w:val="1"/>
          <w:bCs w:val="1"/>
          <w:u w:val="single" w:color="auto"/>
          <w:color w:val="auto"/>
        </w:rPr>
        <w:t>No General Solicitation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no time was Purchaser presented with or solicited by any publicly issued or circulated newspaper, 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radio, television or other form of general advertising or solicitation in connection with the offer, sale and purchase of the Shares.</w:t>
      </w:r>
    </w:p>
    <w:p>
      <w:pPr>
        <w:spacing w:after="0" w:line="47" w:lineRule="exact"/>
        <w:rPr>
          <w:sz w:val="20"/>
          <w:szCs w:val="20"/>
          <w:color w:val="auto"/>
        </w:rPr>
      </w:pPr>
    </w:p>
    <w:p>
      <w:pPr>
        <w:ind w:left="4" w:right="10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3.10 </w:t>
      </w:r>
      <w:r>
        <w:rPr>
          <w:rFonts w:ascii="Times New Roman" w:cs="Times New Roman" w:eastAsia="Times New Roman" w:hAnsi="Times New Roman"/>
          <w:sz w:val="18"/>
          <w:szCs w:val="18"/>
          <w:b w:val="1"/>
          <w:bCs w:val="1"/>
          <w:u w:val="single" w:color="auto"/>
          <w:color w:val="auto"/>
        </w:rPr>
        <w:t>SEC Rule 144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has been advised that SEC Rule 144 promulgated under the Securities Act, which permits certain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sales of unregistered securities, is not presently available with respect to the Shares and, in any event, requires that the Shares be held for a minimum of six (6) months, and in certain cases one (1) year, after they have been purchased </w:t>
      </w:r>
      <w:r>
        <w:rPr>
          <w:rFonts w:ascii="Times New Roman" w:cs="Times New Roman" w:eastAsia="Times New Roman" w:hAnsi="Times New Roman"/>
          <w:sz w:val="18"/>
          <w:szCs w:val="18"/>
          <w:u w:val="single" w:color="auto"/>
          <w:color w:val="auto"/>
        </w:rPr>
        <w:t>and paid for</w:t>
      </w:r>
      <w:r>
        <w:rPr>
          <w:rFonts w:ascii="Times New Roman" w:cs="Times New Roman" w:eastAsia="Times New Roman" w:hAnsi="Times New Roman"/>
          <w:sz w:val="18"/>
          <w:szCs w:val="18"/>
          <w:color w:val="auto"/>
        </w:rPr>
        <w:t xml:space="preserve"> (within the meaning of Rule 144), subject to the lengthier market standoff agreement contained in Section 4 of this Agreement or any other agreement entered into by Purchaser. Purchaser understands that Rule 144 may indefinitely restrict transfer of the Shares so long as Purchaser remains an “affiliate” of the Company or if “current public information” about the Company (as defined in Rule 144) is not publicly available.</w:t>
      </w:r>
    </w:p>
    <w:p>
      <w:pPr>
        <w:spacing w:after="0" w:line="182" w:lineRule="exact"/>
        <w:rPr>
          <w:sz w:val="20"/>
          <w:szCs w:val="20"/>
          <w:color w:val="auto"/>
        </w:rPr>
      </w:pPr>
    </w:p>
    <w:p>
      <w:pPr>
        <w:jc w:val="both"/>
        <w:ind w:left="4" w:right="60" w:firstLine="436"/>
        <w:spacing w:after="0" w:line="274" w:lineRule="auto"/>
        <w:tabs>
          <w:tab w:leader="none" w:pos="624" w:val="left"/>
        </w:tabs>
        <w:numPr>
          <w:ilvl w:val="1"/>
          <w:numId w:val="3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MARKET STANDOFF AGREEMENT. </w:t>
      </w:r>
      <w:r>
        <w:rPr>
          <w:rFonts w:ascii="Times New Roman" w:cs="Times New Roman" w:eastAsia="Times New Roman" w:hAnsi="Times New Roman"/>
          <w:sz w:val="17"/>
          <w:szCs w:val="17"/>
          <w:color w:val="auto"/>
        </w:rPr>
        <w:t>Subject to the provisions of this Section, Purchaser agrees in connection with any registration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securities under the Securities Act or other registered public offering that, Purchaser will not sell or otherwise dispose of any Shares without the prior written consent of the Company or such managing underwriters, as the case may be, for a period of time (not to exceed one hundred eighty</w:t>
      </w:r>
    </w:p>
    <w:p>
      <w:pPr>
        <w:ind w:left="4" w:right="120" w:hanging="4"/>
        <w:spacing w:after="0" w:line="253" w:lineRule="auto"/>
        <w:tabs>
          <w:tab w:leader="none" w:pos="43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effective date of such registration requested by such managing underwriters and subject to all restrictions as the Company or the managing underwriters may specify for employee-stockholders generally;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during the last seventeen (17) days of the restricted period the Company issues an earnings release or material news, or a material event relating to the Company occurs, or prior to the expiration of the restricted period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69" w:right="439" w:bottom="1440" w:gutter="0" w:footer="0" w:header="0"/>
        </w:sectPr>
      </w:pPr>
    </w:p>
    <w:bookmarkStart w:id="479" w:name="page480"/>
    <w:bookmarkEnd w:id="479"/>
    <w:p>
      <w:pPr>
        <w:ind w:left="4"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Company announces that it will release earnings results during the sixteen (16)-day period beginning on the last day of the restricted period, </w:t>
      </w:r>
      <w:r>
        <w:rPr>
          <w:rFonts w:ascii="Times New Roman" w:cs="Times New Roman" w:eastAsia="Times New Roman" w:hAnsi="Times New Roman"/>
          <w:sz w:val="17"/>
          <w:szCs w:val="17"/>
          <w:u w:val="single" w:color="auto"/>
          <w:color w:val="auto"/>
        </w:rPr>
        <w:t>then,</w:t>
      </w:r>
      <w:r>
        <w:rPr>
          <w:rFonts w:ascii="Times New Roman" w:cs="Times New Roman" w:eastAsia="Times New Roman" w:hAnsi="Times New Roman"/>
          <w:sz w:val="17"/>
          <w:szCs w:val="17"/>
          <w:color w:val="auto"/>
        </w:rPr>
        <w:t xml:space="preserve"> if required by the underwriters or the Company, for so long as, and to the extent that, Rule 2711 or any successor rule of the Financial Industry Regulatory Authority applies, the restrictions imposed by this Section 4 shall continue to apply until the expiration of the 18-day period beginning on the issuance of the earnings release or the occurrence of the material news or material event. The restricted period shall in any event terminate two (2) years after the closing date of the Company’s initial public offering. For purposes of this Section 4, the term “Company” shall include any wholly-owned subsidiary of the Company into which the Company merges or consolidates. In order to enforce the foregoing covenant, the Company shall have the right to place restrictive legends on the certificates representing the shares subject to this Section and to impose stop transfer instructions with respect to the Shares until the end of such period. Purchaser further agrees that the underwriters of any such registered public offering shall be third party beneficiaries of this Section 4 and agrees to enter into any agreement reasonably required by the underwriters to implement the foregoing. Notwithstanding anything in this Section to the contrary,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78" w:lineRule="exact"/>
        <w:rPr>
          <w:sz w:val="20"/>
          <w:szCs w:val="20"/>
          <w:color w:val="auto"/>
        </w:rPr>
      </w:pPr>
    </w:p>
    <w:p>
      <w:pPr>
        <w:ind w:left="4" w:firstLine="436"/>
        <w:spacing w:after="0" w:line="282" w:lineRule="auto"/>
        <w:tabs>
          <w:tab w:leader="none" w:pos="624" w:val="left"/>
        </w:tabs>
        <w:numPr>
          <w:ilvl w:val="0"/>
          <w:numId w:val="3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COMPANY’S REPURCHASE OPTION FOR UNVESTED SHARES. </w:t>
      </w:r>
      <w:r>
        <w:rPr>
          <w:rFonts w:ascii="Times New Roman" w:cs="Times New Roman" w:eastAsia="Times New Roman" w:hAnsi="Times New Roman"/>
          <w:sz w:val="17"/>
          <w:szCs w:val="17"/>
          <w:color w:val="auto"/>
        </w:rPr>
        <w:t>The Company, or (subject to Section 5.6) its assignee, shall have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to repurchase all or a portion of the Purchaser’s Shares that are Unvested Shares (as defined below) on the Termination Date on the terms and conditions set forth in this Section (the “</w:t>
      </w:r>
      <w:r>
        <w:rPr>
          <w:rFonts w:ascii="Times New Roman" w:cs="Times New Roman" w:eastAsia="Times New Roman" w:hAnsi="Times New Roman"/>
          <w:sz w:val="17"/>
          <w:szCs w:val="17"/>
          <w:b w:val="1"/>
          <w:bCs w:val="1"/>
          <w:i w:val="1"/>
          <w:iCs w:val="1"/>
          <w:color w:val="auto"/>
        </w:rPr>
        <w:t>Repurchase Option</w:t>
      </w:r>
      <w:r>
        <w:rPr>
          <w:rFonts w:ascii="Times New Roman" w:cs="Times New Roman" w:eastAsia="Times New Roman" w:hAnsi="Times New Roman"/>
          <w:sz w:val="17"/>
          <w:szCs w:val="17"/>
          <w:color w:val="auto"/>
        </w:rPr>
        <w:t>”) if Purchaser is Terminated (as defined in the Plan) for any reason, or no reason, including without limitation, Purchaser’s death, Disability (as defined in the Plan), voluntary resignation or termination by the Company with or without Cause.</w:t>
      </w:r>
    </w:p>
    <w:p>
      <w:pPr>
        <w:spacing w:after="0" w:line="53" w:lineRule="exact"/>
        <w:rPr>
          <w:sz w:val="20"/>
          <w:szCs w:val="20"/>
          <w:color w:val="auto"/>
        </w:rPr>
      </w:pPr>
    </w:p>
    <w:p>
      <w:pPr>
        <w:ind w:left="4" w:right="42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5.1 </w:t>
      </w:r>
      <w:r>
        <w:rPr>
          <w:rFonts w:ascii="Times New Roman" w:cs="Times New Roman" w:eastAsia="Times New Roman" w:hAnsi="Times New Roman"/>
          <w:sz w:val="17"/>
          <w:szCs w:val="17"/>
          <w:b w:val="1"/>
          <w:bCs w:val="1"/>
          <w:u w:val="single" w:color="auto"/>
          <w:color w:val="auto"/>
        </w:rPr>
        <w:t>Termination and Termination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case of any dispute as to whether Purchaser is Terminated, the Committee shall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discretion to determine in good faith whether Purchaser has been Terminated and the effective date of such Termination (the “</w:t>
      </w:r>
      <w:r>
        <w:rPr>
          <w:rFonts w:ascii="Times New Roman" w:cs="Times New Roman" w:eastAsia="Times New Roman" w:hAnsi="Times New Roman"/>
          <w:sz w:val="17"/>
          <w:szCs w:val="17"/>
          <w:b w:val="1"/>
          <w:bCs w:val="1"/>
          <w:i w:val="1"/>
          <w:iCs w:val="1"/>
          <w:color w:val="auto"/>
        </w:rPr>
        <w:t>Termination Date</w:t>
      </w:r>
      <w:r>
        <w:rPr>
          <w:rFonts w:ascii="Times New Roman" w:cs="Times New Roman" w:eastAsia="Times New Roman" w:hAnsi="Times New Roman"/>
          <w:sz w:val="17"/>
          <w:szCs w:val="17"/>
          <w:color w:val="auto"/>
        </w:rPr>
        <w:t>”).</w:t>
      </w:r>
    </w:p>
    <w:p>
      <w:pPr>
        <w:spacing w:after="0" w:line="24" w:lineRule="exact"/>
        <w:rPr>
          <w:sz w:val="20"/>
          <w:szCs w:val="20"/>
          <w:color w:val="auto"/>
        </w:rPr>
      </w:pPr>
    </w:p>
    <w:p>
      <w:pPr>
        <w:jc w:val="both"/>
        <w:ind w:left="4"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Vested and Unvested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are vested pursuant to the schedule set forth in this Section 5.2 are “</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are not vested pursuant to such schedule are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 On the Effective Date, as specified on       , a certain number of the Shares will be Unvested Shares. Provided Purchaser continues to provide services to the Company or any Subsidiary or Parent of the Company at all times from the Effective Date until such date as specified on       , a certain number of Unvested Shares will become Vested Shares, until the earliest to occur of</w:t>
      </w:r>
    </w:p>
    <w:p>
      <w:pPr>
        <w:spacing w:after="0" w:line="3" w:lineRule="exact"/>
        <w:rPr>
          <w:sz w:val="20"/>
          <w:szCs w:val="20"/>
          <w:color w:val="auto"/>
        </w:rPr>
      </w:pPr>
    </w:p>
    <w:p>
      <w:pPr>
        <w:jc w:val="both"/>
        <w:ind w:left="4" w:right="140" w:hanging="4"/>
        <w:spacing w:after="0" w:line="253" w:lineRule="auto"/>
        <w:tabs>
          <w:tab w:leader="none" w:pos="249"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all of the Shares are Vested Shares, (b) the Termination Date or (c) the date vesting otherwise terminates pursuant to this Agreement or the Plan. No fractional Shares shall be issued. No Shares will become Vested Shares after the Termination Date. The number of the Shares that are Vested Shares or Unvested Shares will be proportionally adjusted to reflect any stock split, reverse stock split or similar change in the capital structure of the Company as set forth in Section 2.2 of the Plan occurring after the Effective Date.</w:t>
      </w:r>
    </w:p>
    <w:p>
      <w:pPr>
        <w:spacing w:after="0" w:line="77"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Exercise of Repurchase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within ninety (90) days after the Purchaser’s Termination Date, the Company,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assignee, may, at its option, elect to repurchase any or all the Purchaser’s Shares that are Unvested Shares on the Termination Date by giving Purchaser written notice of exercise of the Repurchase Option, specifying the number of Unvested Shares to be repurchased. Such Unvested Shares shall be repurchased at the Purchase Price Per Share, proportionately adjusted for any stock split, reverse stock split or similar change in the capital structure of the Company as set forth in Section 2.2 of the Plan occurring after the Effective Date (the “</w:t>
      </w:r>
      <w:r>
        <w:rPr>
          <w:rFonts w:ascii="Times New Roman" w:cs="Times New Roman" w:eastAsia="Times New Roman" w:hAnsi="Times New Roman"/>
          <w:sz w:val="18"/>
          <w:szCs w:val="18"/>
          <w:b w:val="1"/>
          <w:bCs w:val="1"/>
          <w:i w:val="1"/>
          <w:iCs w:val="1"/>
          <w:color w:val="auto"/>
        </w:rPr>
        <w:t>Repurchase Price</w:t>
      </w:r>
      <w:r>
        <w:rPr>
          <w:rFonts w:ascii="Times New Roman" w:cs="Times New Roman" w:eastAsia="Times New Roman" w:hAnsi="Times New Roman"/>
          <w:sz w:val="18"/>
          <w:szCs w:val="18"/>
          <w:color w:val="auto"/>
        </w:rPr>
        <w:t>”). The Repurchase Price shall be payable, at the option of the Company or its assignee, by check or by cancellation of all or a portion of any outstanding indebtedness owed by Purchaser to the Company and/or such assignee, or by any combination thereof. The Repurchase Price shall be paid without interest within the term of the Repurchase Option as described in the first sentence of this Section 5.3. The Company may, at its option, decline to exercise its Repurchase Option or may exercise its Repurchase Option only with respect to a portion of the Unvested Shares.</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69" w:right="499" w:bottom="1440" w:gutter="0" w:footer="0" w:header="0"/>
        </w:sectPr>
      </w:pPr>
    </w:p>
    <w:bookmarkStart w:id="480" w:name="page481"/>
    <w:bookmarkEnd w:id="480"/>
    <w:p>
      <w:pPr>
        <w:ind w:left="4"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Times New Roman" w:cs="Times New Roman" w:eastAsia="Times New Roman" w:hAnsi="Times New Roman"/>
          <w:sz w:val="18"/>
          <w:szCs w:val="18"/>
          <w:b w:val="1"/>
          <w:bCs w:val="1"/>
          <w:u w:val="single" w:color="auto"/>
          <w:color w:val="auto"/>
        </w:rPr>
        <w:t>Right of Termination Unaffected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shall be construed to limit or otherwise affect in any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whatsoever the right or power of the Company (or any Parent or Subsidiary of the Company) to terminate Purchaser’s employment or other relationship with Company (or the Parent or Subsidiary of the Company) at any time, for any reason or no reason, with or without Cause.</w:t>
      </w:r>
    </w:p>
    <w:p>
      <w:pPr>
        <w:spacing w:after="0" w:line="63"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u w:val="single" w:color="auto"/>
          <w:color w:val="auto"/>
        </w:rPr>
        <w:t>Additional or Exchanged Securities and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5.2 above, in the event of a merger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consolidation of the Company with or into another entity, any other corporate reorganization, a stock split, the declaration of a stock dividend, the declaration of an extraordinary dividend payable in a form other than stock, a spin-off, a recapitalization or a similar transaction affecting the Company’s outstanding securities, any securities or other property (including cash or cash equivalents) that are by reason of such transaction exchanged for, or distributed or issued with respect to, any Unvested Shares shall immediately be subject to the Repurchase Option. Appropriate adjustments shall be made to the price per share to be paid for Unvested Shares upon the exercise of the Repurchase Option (by allocating such price among the Unvested Shares and such other securities or property),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aggregate purchase price payable for the Unvested Shares and all such other securities and property shall remain the same price that was original payable under the Repurchase Option to repurchase such Unvested Shares. Subject to the provisions of Section 5.2 above, in the event of a merger or consolidation of the Company with or into another entity or any other corporate reorganization, the Repurchase Option may be exercised by the Company’s successor.</w:t>
      </w:r>
    </w:p>
    <w:p>
      <w:pPr>
        <w:spacing w:after="0" w:line="77" w:lineRule="exact"/>
        <w:rPr>
          <w:sz w:val="20"/>
          <w:szCs w:val="20"/>
          <w:color w:val="auto"/>
        </w:rPr>
      </w:pPr>
    </w:p>
    <w:p>
      <w:pPr>
        <w:jc w:val="both"/>
        <w:ind w:left="4"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u w:val="single" w:color="auto"/>
          <w:color w:val="auto"/>
        </w:rPr>
        <w:t>Assignment of Repurchase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freely assign the Company’s Repurchase Option, in whole or in part,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person who accepts an assignment of the Repurchase Option from the Company shall assume all of the Company’s rights and obligations with respect to the Repurchase Option (to the extent so assigned) under this Agreement.</w:t>
      </w:r>
    </w:p>
    <w:p>
      <w:pPr>
        <w:spacing w:after="0" w:line="171" w:lineRule="exact"/>
        <w:rPr>
          <w:sz w:val="20"/>
          <w:szCs w:val="20"/>
          <w:color w:val="auto"/>
        </w:rPr>
      </w:pPr>
    </w:p>
    <w:p>
      <w:pPr>
        <w:ind w:left="4" w:right="160" w:firstLine="436"/>
        <w:spacing w:after="0" w:line="259" w:lineRule="auto"/>
        <w:tabs>
          <w:tab w:leader="none" w:pos="624" w:val="left"/>
        </w:tabs>
        <w:numPr>
          <w:ilvl w:val="0"/>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COMPANY’S REFUSAL RIGHT. </w:t>
      </w:r>
      <w:r>
        <w:rPr>
          <w:rFonts w:ascii="Times New Roman" w:cs="Times New Roman" w:eastAsia="Times New Roman" w:hAnsi="Times New Roman"/>
          <w:sz w:val="18"/>
          <w:szCs w:val="18"/>
          <w:color w:val="auto"/>
        </w:rPr>
        <w:t>Unvested Shares shall be subject to the restrictions on transfer and the granting of encumbrances thereon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provided in Section 7 hereof. Before any Vested Shares (as defined in Section 5 hereof) held by Purchaser or any transferee of such Vested Shares (either sometimes referred to herein as 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may be sold or otherwise transferred (including, without limitation, a transfer by gift or operation of law), the Company and/or its assignee(s) will have a right of first refusal to purchase the Vested Shares to be sold or transferred (the “</w:t>
      </w:r>
      <w:r>
        <w:rPr>
          <w:rFonts w:ascii="Times New Roman" w:cs="Times New Roman" w:eastAsia="Times New Roman" w:hAnsi="Times New Roman"/>
          <w:sz w:val="18"/>
          <w:szCs w:val="18"/>
          <w:b w:val="1"/>
          <w:bCs w:val="1"/>
          <w:i w:val="1"/>
          <w:iCs w:val="1"/>
          <w:color w:val="auto"/>
        </w:rPr>
        <w:t>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on the terms and conditions set forth in this Section (the “</w:t>
      </w:r>
      <w:r>
        <w:rPr>
          <w:rFonts w:ascii="Times New Roman" w:cs="Times New Roman" w:eastAsia="Times New Roman" w:hAnsi="Times New Roman"/>
          <w:sz w:val="18"/>
          <w:szCs w:val="18"/>
          <w:b w:val="1"/>
          <w:bCs w:val="1"/>
          <w:i w:val="1"/>
          <w:iCs w:val="1"/>
          <w:color w:val="auto"/>
        </w:rPr>
        <w:t>Refusal Right</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Notice of Proposed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the Offered Shares will deliver to the Company a written notice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stating:</w:t>
      </w:r>
    </w:p>
    <w:p>
      <w:pPr>
        <w:spacing w:after="0" w:line="31" w:lineRule="exact"/>
        <w:rPr>
          <w:sz w:val="20"/>
          <w:szCs w:val="20"/>
          <w:color w:val="auto"/>
        </w:rPr>
      </w:pPr>
    </w:p>
    <w:p>
      <w:pPr>
        <w:ind w:left="4" w:right="60" w:hanging="4"/>
        <w:spacing w:after="0" w:line="265" w:lineRule="auto"/>
        <w:tabs>
          <w:tab w:leader="none" w:pos="249" w:val="left"/>
        </w:tabs>
        <w:numPr>
          <w:ilvl w:val="0"/>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bona fide intention to sell or otherwise transfer the Offered Shares; (b) the name and address of each proposed purchaser or other transferee of Offered Shares (“</w:t>
      </w:r>
      <w:r>
        <w:rPr>
          <w:rFonts w:ascii="Times New Roman" w:cs="Times New Roman" w:eastAsia="Times New Roman" w:hAnsi="Times New Roman"/>
          <w:sz w:val="17"/>
          <w:szCs w:val="17"/>
          <w:b w:val="1"/>
          <w:bCs w:val="1"/>
          <w:i w:val="1"/>
          <w:iCs w:val="1"/>
          <w:color w:val="auto"/>
        </w:rPr>
        <w:t>Proposed Transferee</w:t>
      </w:r>
      <w:r>
        <w:rPr>
          <w:rFonts w:ascii="Times New Roman" w:cs="Times New Roman" w:eastAsia="Times New Roman" w:hAnsi="Times New Roman"/>
          <w:sz w:val="17"/>
          <w:szCs w:val="17"/>
          <w:color w:val="auto"/>
        </w:rPr>
        <w:t>”); (c) the number of Offered Shares to be transferred to each Proposed Transferee; (d) the bona fide cash price or other consideration for which the Holder proposes to transfer the Offered Shares to each Proposed Transferee (the “</w:t>
      </w:r>
      <w:r>
        <w:rPr>
          <w:rFonts w:ascii="Times New Roman" w:cs="Times New Roman" w:eastAsia="Times New Roman" w:hAnsi="Times New Roman"/>
          <w:sz w:val="17"/>
          <w:szCs w:val="17"/>
          <w:b w:val="1"/>
          <w:bCs w:val="1"/>
          <w:i w:val="1"/>
          <w:iCs w:val="1"/>
          <w:color w:val="auto"/>
        </w:rPr>
        <w:t>Offered Price</w:t>
      </w:r>
      <w:r>
        <w:rPr>
          <w:rFonts w:ascii="Times New Roman" w:cs="Times New Roman" w:eastAsia="Times New Roman" w:hAnsi="Times New Roman"/>
          <w:sz w:val="17"/>
          <w:szCs w:val="17"/>
          <w:color w:val="auto"/>
        </w:rPr>
        <w:t>”); and</w:t>
      </w:r>
    </w:p>
    <w:p>
      <w:pPr>
        <w:ind w:left="4" w:right="420" w:hanging="4"/>
        <w:spacing w:after="0" w:line="260" w:lineRule="auto"/>
        <w:tabs>
          <w:tab w:leader="none" w:pos="24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Holder acknowledges this Notice is an offer to sell the Offered Shares to the Company and/or its assignee(s) pursuant to the Company’s Refusal Right at the Offered Price as provided for in this Agreement.</w:t>
      </w:r>
    </w:p>
    <w:p>
      <w:pPr>
        <w:spacing w:after="0" w:line="69" w:lineRule="exact"/>
        <w:rPr>
          <w:sz w:val="20"/>
          <w:szCs w:val="20"/>
          <w:color w:val="auto"/>
        </w:rPr>
      </w:pPr>
    </w:p>
    <w:p>
      <w:pPr>
        <w:ind w:left="4" w:right="3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Exercise of Refusal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within thirty (30) days after the date the Notice is effective pursuant to Section 9.2,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and/or its assignee(s) may, by giving written notice to the Holder, elect to purchase all (or, with the consent of the Holder, less than all) the Offered Shares proposed to be transferred to any one or more of the Proposed Transferees named in the Notice, at the purchase price, determined as provided in Section 6.3 below.</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5" w:right="439" w:bottom="1440" w:gutter="0" w:footer="0" w:header="0"/>
        </w:sectPr>
      </w:pPr>
    </w:p>
    <w:bookmarkStart w:id="481" w:name="page482"/>
    <w:bookmarkEnd w:id="481"/>
    <w:p>
      <w:pPr>
        <w:ind w:left="4"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for the Offered Shares purchased under this Section will be the Offered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Price consists of no legal consideration (as, for example, in the case of a transfer by gift), then the purchase price will be the fair market value of the Offered Shares as determined in good faith by the Company’s Board of Directors. If the Offered Price includes consideration other than cash, then the value of the non-cash consideration, as determined in good faith by the Company’s Board of Directors, will conclusively be deemed to be the cash equivalent value of such non-cash consideration.</w:t>
      </w:r>
    </w:p>
    <w:p>
      <w:pPr>
        <w:spacing w:after="0" w:line="71"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6.4 </w:t>
      </w:r>
      <w:r>
        <w:rPr>
          <w:rFonts w:ascii="Times New Roman" w:cs="Times New Roman" w:eastAsia="Times New Roman" w:hAnsi="Times New Roman"/>
          <w:sz w:val="17"/>
          <w:szCs w:val="17"/>
          <w:b w:val="1"/>
          <w:bCs w:val="1"/>
          <w:u w:val="single" w:color="auto"/>
          <w:color w:val="auto"/>
        </w:rPr>
        <w:t>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purchase price for the Offered Shares will be paid, at the option of the Company and/or its assignee(s) (as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check or by cancellation of all or a portion of any outstanding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53" w:lineRule="exact"/>
        <w:rPr>
          <w:sz w:val="20"/>
          <w:szCs w:val="20"/>
          <w:color w:val="auto"/>
        </w:rPr>
      </w:pPr>
    </w:p>
    <w:p>
      <w:pPr>
        <w:ind w:left="4" w:right="18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Holder’s Right to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all of the Offered Shares proposed in the Notice to be transferred to a given Proposed Transferee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purchased by the Company and/or its assignee(s) as provided in this Section, then the Holder may sell or otherwise transfer such Offered Shares to such Proposed Transferee at the Offered Price or at a higher price,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(a) such sale or other transfer is consummated within one hundred twenty (120) days after the date the Notice is effective pursuant to Section 9.2, (b) any such sale or other transfer is effected in compliance with all applicable securities laws, and (c) such Proposed Transferee agrees in writing that the provisions of this Section will continue to apply to the Offered Shares in the hands of such Proposed Transferee. If the Offered Shares described in the Notice are not transferred to such Proposed Transferee within such one hundred twenty (120) day period, then a new Notice must be given to the Company pursuant to which the Company will again be offered the Refusal Right before any Shares held by the Holder may be sold or otherwise transferred.</w:t>
      </w:r>
    </w:p>
    <w:p>
      <w:pPr>
        <w:spacing w:after="0" w:line="7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8"/>
          <w:szCs w:val="18"/>
          <w:b w:val="1"/>
          <w:bCs w:val="1"/>
          <w:u w:val="single" w:color="auto"/>
          <w:color w:val="auto"/>
        </w:rPr>
        <w:t>Exempt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foregoing, the following transfers of Vested Shares will be exempt from the Refusal Right:</w:t>
      </w:r>
    </w:p>
    <w:p>
      <w:pPr>
        <w:spacing w:after="0" w:line="31" w:lineRule="exact"/>
        <w:rPr>
          <w:sz w:val="20"/>
          <w:szCs w:val="20"/>
          <w:color w:val="auto"/>
        </w:rPr>
      </w:pPr>
    </w:p>
    <w:p>
      <w:pPr>
        <w:ind w:left="4" w:right="20" w:hanging="4"/>
        <w:spacing w:after="0" w:line="250" w:lineRule="auto"/>
        <w:tabs>
          <w:tab w:leader="none" w:pos="249"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any or all of the Vested Shares during Purchaser’s lifetime by gift or on Purchaser’s death by will or intestacy to Purchaser’s “Immediate Family” (as defined below) or to a trust for the benefit of Purchaser or Purchaser’s Immediate Family,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each transferee agrees in a writing satisfactory to the Company that the provisions of this Section will continue to apply to the transferred Vested Shares in the hands of such transferee; (b) any transfer of Vested Shares made pursuant to a statutory merger or statutory consolidation of the Company with or into another entity or entities (except that, subject to Section 6.7, unless the agreement of merger or consolidation expressly otherwise provides, the Refusal Right will continue to apply thereafter to such Vested Shares, in which case the surviving entity of such merger or consolidation shall succeed to the rights of the Company under this Section); or (c) any transfer of Vested Shares pursuant to the winding up and dissolution of the Company. As used herein, the term “</w:t>
      </w:r>
      <w:r>
        <w:rPr>
          <w:rFonts w:ascii="Times New Roman" w:cs="Times New Roman" w:eastAsia="Times New Roman" w:hAnsi="Times New Roman"/>
          <w:sz w:val="18"/>
          <w:szCs w:val="18"/>
          <w:i w:val="1"/>
          <w:iCs w:val="1"/>
          <w:color w:val="auto"/>
        </w:rPr>
        <w:t>Immediate Family”</w:t>
      </w:r>
      <w:r>
        <w:rPr>
          <w:rFonts w:ascii="Times New Roman" w:cs="Times New Roman" w:eastAsia="Times New Roman" w:hAnsi="Times New Roman"/>
          <w:sz w:val="18"/>
          <w:szCs w:val="18"/>
          <w:color w:val="auto"/>
        </w:rPr>
        <w:t xml:space="preserve"> will mean Purchaser’s spouse, the lineal descendant or antecedent, father, mother, brother or sister, child, adopted child, grandchild or adopted grandchild of Purchaser or Purchaser’s spouse, or the spouse of any of the above or Spousal Equivalent, as defined herein. As used herein, a person is deemed to be a “</w:t>
      </w:r>
      <w:r>
        <w:rPr>
          <w:rFonts w:ascii="Times New Roman" w:cs="Times New Roman" w:eastAsia="Times New Roman" w:hAnsi="Times New Roman"/>
          <w:sz w:val="18"/>
          <w:szCs w:val="18"/>
          <w:i w:val="1"/>
          <w:iCs w:val="1"/>
          <w:color w:val="auto"/>
        </w:rPr>
        <w:t>Spousal Equivalent”</w:t>
      </w:r>
      <w:r>
        <w:rPr>
          <w:rFonts w:ascii="Times New Roman" w:cs="Times New Roman" w:eastAsia="Times New Roman" w:hAnsi="Times New Roman"/>
          <w:sz w:val="18"/>
          <w:szCs w:val="18"/>
          <w:color w:val="auto"/>
        </w:rPr>
        <w:t xml:space="preserve"> provided the following circumstances are true: (i) irrespective of whether or not the Purchaser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w:t>
      </w:r>
    </w:p>
    <w:p>
      <w:pPr>
        <w:spacing w:after="0" w:line="5"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and intend to do so indefinitely.</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5" w:right="439" w:bottom="1440" w:gutter="0" w:footer="0" w:header="0"/>
        </w:sectPr>
      </w:pPr>
    </w:p>
    <w:bookmarkStart w:id="482" w:name="page483"/>
    <w:bookmarkEnd w:id="482"/>
    <w:p>
      <w:pPr>
        <w:ind w:left="4" w:right="60" w:firstLine="991"/>
        <w:spacing w:after="0" w:line="27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6.7 </w:t>
      </w:r>
      <w:r>
        <w:rPr>
          <w:rFonts w:ascii="Times New Roman" w:cs="Times New Roman" w:eastAsia="Times New Roman" w:hAnsi="Times New Roman"/>
          <w:sz w:val="17"/>
          <w:szCs w:val="17"/>
          <w:b w:val="1"/>
          <w:bCs w:val="1"/>
          <w:u w:val="single" w:color="auto"/>
          <w:color w:val="auto"/>
        </w:rPr>
        <w:t>Termination of Refusal Right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Refusal Right will terminate as to all Shares: (a) on the effective date of the first sale of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of the Company to the public pursuant to a registration statement filed with and declared effective by the SEC under the Securities Act or, if expressly approved by the Board as terminating the Refusal Right, under the laws of any other country having substantially the same effect (other than a registration statement relating solely to the issuance of Common Stock pursuant to a business combination or an employee incentive or benefit plan) or</w:t>
      </w:r>
    </w:p>
    <w:p>
      <w:pPr>
        <w:ind w:left="4" w:right="100" w:hanging="4"/>
        <w:spacing w:after="0" w:line="255" w:lineRule="auto"/>
        <w:tabs>
          <w:tab w:leader="none" w:pos="25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transfer or conversion of Shares made pursuant to a statutory merger or statutory consolidation of the Company with or into another entity or entities if the common stock of the surviving entity or any direct or indirect parent entity thereof is registered under the Securities Exchange Act of 1934, as amended.</w:t>
      </w:r>
    </w:p>
    <w:p>
      <w:pPr>
        <w:spacing w:after="0" w:line="7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6.8 </w:t>
      </w:r>
      <w:r>
        <w:rPr>
          <w:rFonts w:ascii="Times New Roman" w:cs="Times New Roman" w:eastAsia="Times New Roman" w:hAnsi="Times New Roman"/>
          <w:sz w:val="18"/>
          <w:szCs w:val="18"/>
          <w:b w:val="1"/>
          <w:bCs w:val="1"/>
          <w:u w:val="single" w:color="auto"/>
          <w:color w:val="auto"/>
        </w:rPr>
        <w:t>Effect of Company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Purchaser is, or at any time hereafter becomes, a party to or otherwise bound by</w:t>
      </w:r>
    </w:p>
    <w:p>
      <w:pPr>
        <w:spacing w:after="0" w:line="31" w:lineRule="exact"/>
        <w:rPr>
          <w:sz w:val="20"/>
          <w:szCs w:val="20"/>
          <w:color w:val="auto"/>
        </w:rPr>
      </w:pPr>
    </w:p>
    <w:p>
      <w:pPr>
        <w:ind w:left="4" w:hanging="4"/>
        <w:spacing w:after="0" w:line="251" w:lineRule="auto"/>
        <w:tabs>
          <w:tab w:leader="none" w:pos="219"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Amended and Restated Stockholders Agreement dated as of February 15, 2019 among the Company and certain stockholders of the Company, as such may be amended and/or restated from time to time, and/or (ii) any other agreement that is a successor to or replacement of such agreement (collectively, the “</w:t>
      </w:r>
      <w:r>
        <w:rPr>
          <w:rFonts w:ascii="Times New Roman" w:cs="Times New Roman" w:eastAsia="Times New Roman" w:hAnsi="Times New Roman"/>
          <w:sz w:val="18"/>
          <w:szCs w:val="18"/>
          <w:b w:val="1"/>
          <w:bCs w:val="1"/>
          <w:i w:val="1"/>
          <w:iCs w:val="1"/>
          <w:color w:val="auto"/>
        </w:rPr>
        <w:t>Company Stockholders Agreement</w:t>
      </w:r>
      <w:r>
        <w:rPr>
          <w:rFonts w:ascii="Times New Roman" w:cs="Times New Roman" w:eastAsia="Times New Roman" w:hAnsi="Times New Roman"/>
          <w:sz w:val="18"/>
          <w:szCs w:val="18"/>
          <w:color w:val="auto"/>
        </w:rPr>
        <w:t>”), then, in the event of any conflict or inconsistency between the provisions of Section 4 hereof and/or this Section 6 and any provisions in the Company Stockholders Agreement granting the Company and/or other security holders of the Company rights of first refusal and/or co-sale rights with respect to any or all of the Shares or imposing market stand-off restrictions, Purchaser agrees with the Company that the terms and conditions of the Company Stockholders Agreement shall apply, govern, supersede and prevail over (and in lieu of) the provisions of Section 4 hereof and/or of this Section 6 (as applicable) so long as the Company Stockholders Agreement is in effect and Purchaser is a party to or bound thereby. If the Company Stockholders Agreement is no longer in effect or if Purchaser is not a party to or bound thereby, then the provisions of this Section 6 shall apply in full force and effect until termination of the Right of First Refusal and the provisions of Section 4 hereof shall apply in full force and effect in accordance with its terms.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7. ADDITIONAL RESTRICTIONS UPON SHARE OWNERSHIP OR TRANSFER.</w:t>
      </w:r>
    </w:p>
    <w:p>
      <w:pPr>
        <w:spacing w:after="0" w:line="117" w:lineRule="exact"/>
        <w:rPr>
          <w:sz w:val="20"/>
          <w:szCs w:val="20"/>
          <w:color w:val="auto"/>
        </w:rPr>
      </w:pPr>
    </w:p>
    <w:p>
      <w:pPr>
        <w:ind w:left="4" w:right="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Rights as a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Agreement, Purchaser will have all of the rights of a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with respect to the Shares from and after the date that Shares are issued to Purchaser until such time as Purchaser disposes of the Shares or the Company and/or its assignee(s) exercise(s) the Refusal Right or the Repurchase Option. Upon an exercise of the Refusal Right or the Repurchase Option, Purchaser will have no further rights as a holder of the Shares so purchased upon such exercise, other than the right to receive payment for the Shares so purchased in accordance with the provisions of this Agreement, and Purchaser will promptly surrender the stock certificate(s) evidencing the Shares so purchased to the Company for transfer or cancellation.</w:t>
      </w:r>
    </w:p>
    <w:p>
      <w:pPr>
        <w:spacing w:after="0" w:line="74"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Escrow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security for Purchaser’s faithful performance of this Agreement, Purchaser agrees, immediately upon receipt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 stock certificate(s) evidencing the Shares via       , to deliver such certificate(s) to the Secretary of the Company or other designee of the Company (the “</w:t>
      </w:r>
      <w:r>
        <w:rPr>
          <w:rFonts w:ascii="Times New Roman" w:cs="Times New Roman" w:eastAsia="Times New Roman" w:hAnsi="Times New Roman"/>
          <w:sz w:val="18"/>
          <w:szCs w:val="18"/>
          <w:b w:val="1"/>
          <w:bCs w:val="1"/>
          <w:i w:val="1"/>
          <w:iCs w:val="1"/>
          <w:color w:val="auto"/>
        </w:rPr>
        <w:t>Escrow Holder</w:t>
      </w:r>
      <w:r>
        <w:rPr>
          <w:rFonts w:ascii="Times New Roman" w:cs="Times New Roman" w:eastAsia="Times New Roman" w:hAnsi="Times New Roman"/>
          <w:sz w:val="18"/>
          <w:szCs w:val="18"/>
          <w:color w:val="auto"/>
        </w:rPr>
        <w:t>”), who is hereby appointed to hold such certificate(s) in escrow and to take all such actions and to effectuate all such transfers and/or releases of such Shares as are in accordance with the terms of this Agreement. Purchaser and the Company agree that Escrow Holder will not be liable to any party to this Agreement (or to any other person or entity)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The Shares will be released from escrow upon termination of both the Refusal Right and the Repurchase Option.</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5" w:right="439" w:bottom="1440" w:gutter="0" w:footer="0" w:header="0"/>
        </w:sectPr>
      </w:pPr>
    </w:p>
    <w:bookmarkStart w:id="483" w:name="page484"/>
    <w:bookmarkEnd w:id="483"/>
    <w:p>
      <w:pPr>
        <w:ind w:right="7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 </w:t>
      </w:r>
      <w:r>
        <w:rPr>
          <w:rFonts w:ascii="Times New Roman" w:cs="Times New Roman" w:eastAsia="Times New Roman" w:hAnsi="Times New Roman"/>
          <w:sz w:val="18"/>
          <w:szCs w:val="18"/>
          <w:b w:val="1"/>
          <w:bCs w:val="1"/>
          <w:u w:val="single" w:color="auto"/>
          <w:color w:val="auto"/>
        </w:rPr>
        <w:t>Encumbrances 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Company’s prior written consent given with the approval of the Company’s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Purchaser may not grant a lien or security interest in, or pledge, hypothecate or encumber, any Unvested Shares.</w:t>
      </w:r>
    </w:p>
    <w:p>
      <w:pPr>
        <w:spacing w:after="0" w:line="47"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u w:val="single" w:color="auto"/>
          <w:color w:val="auto"/>
        </w:rPr>
        <w:t>Restrictions on Transfers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Unvested Shares may not be sold or otherwise transferred by Purchaser without the Company’s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Purchaser hereby agrees that Purchaser shall make no disposition of the Shares (other than as permitted by this Agreement) unless and until:</w:t>
      </w:r>
    </w:p>
    <w:p>
      <w:pPr>
        <w:spacing w:after="0" w:line="67" w:lineRule="exact"/>
        <w:rPr>
          <w:sz w:val="20"/>
          <w:szCs w:val="20"/>
          <w:color w:val="auto"/>
        </w:rPr>
      </w:pPr>
    </w:p>
    <w:p>
      <w:pPr>
        <w:ind w:left="980" w:right="700" w:firstLine="408"/>
        <w:spacing w:after="0" w:line="282" w:lineRule="auto"/>
        <w:tabs>
          <w:tab w:leader="none" w:pos="162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notified the Company of the proposed disposition and provided a written summary of the terms and conditions of the proposed disposition;</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3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complied with all requirements of this Agreement applicable to the disposition of the Shares, including but not limited to the Refusal Right, the Market Standoff and the Repurchase Option; and</w:t>
      </w:r>
    </w:p>
    <w:p>
      <w:pPr>
        <w:spacing w:after="0" w:line="53" w:lineRule="exact"/>
        <w:rPr>
          <w:rFonts w:ascii="Times New Roman" w:cs="Times New Roman" w:eastAsia="Times New Roman" w:hAnsi="Times New Roman"/>
          <w:sz w:val="18"/>
          <w:szCs w:val="18"/>
          <w:color w:val="auto"/>
        </w:rPr>
      </w:pPr>
    </w:p>
    <w:p>
      <w:pPr>
        <w:ind w:left="980" w:firstLine="408"/>
        <w:spacing w:after="0" w:line="259" w:lineRule="auto"/>
        <w:tabs>
          <w:tab w:leader="none" w:pos="162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provided the Company with written assurances, in form and substance satisfactory to counsel for the Company, that (i) the proposed disposition does not require registration of the Shares under the Securities Act or under any state securities laws, and (ii) all appropriate actions necessary for compliance with the registration and qualification requirements of the Securities Act and any state securities laws, or of any exemption from registration or qualification, available thereunder (including Rule 144) have been taken.</w:t>
      </w:r>
    </w:p>
    <w:p>
      <w:pPr>
        <w:spacing w:after="0" w:line="200" w:lineRule="exact"/>
        <w:rPr>
          <w:sz w:val="20"/>
          <w:szCs w:val="20"/>
          <w:color w:val="auto"/>
        </w:rPr>
      </w:pP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Each person (other than the Company) to whom the Shares are transferred by means of one of the permitted transfers specified in this Agreement must, as a condition precedent to the validity of such transfer, acknowledge in writing to the Company that such person is bound by the provisions of this Agreement and that the transferred Shares are subject to the Company’s Refusal Right or the Repurchase Option granted hereunder and the market stand-off provisions of Section 4 hereof, to the same extent such Shares would be so subject if retained by the Purchaser.</w:t>
      </w:r>
    </w:p>
    <w:p>
      <w:pPr>
        <w:spacing w:after="0" w:line="68" w:lineRule="exact"/>
        <w:rPr>
          <w:sz w:val="20"/>
          <w:szCs w:val="20"/>
          <w:color w:val="auto"/>
        </w:rPr>
      </w:pPr>
    </w:p>
    <w:p>
      <w:pPr>
        <w:jc w:val="both"/>
        <w:ind w:right="1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b w:val="1"/>
          <w:bCs w:val="1"/>
          <w:u w:val="single" w:color="auto"/>
          <w:color w:val="auto"/>
        </w:rPr>
        <w:t>Restrictive Legends and Stop-transfer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understands and agrees that the Company will place the legends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or similar legends on any stock certificate(s) evidencing the Shares, together with any other legends that may be required by applicable laws, the Company’s Certificate of Incorporation or Bylaws, any other agreement between Purchaser and the Company or any agreement between Purchaser and any third party:</w:t>
      </w:r>
    </w:p>
    <w:p>
      <w:pPr>
        <w:spacing w:after="0" w:line="72" w:lineRule="exact"/>
        <w:rPr>
          <w:sz w:val="20"/>
          <w:szCs w:val="20"/>
          <w:color w:val="auto"/>
        </w:rPr>
      </w:pPr>
    </w:p>
    <w:p>
      <w:pPr>
        <w:ind w:left="980" w:right="120"/>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5" w:right="439" w:bottom="1440" w:gutter="0" w:footer="0" w:header="0"/>
        </w:sectPr>
      </w:pPr>
    </w:p>
    <w:bookmarkStart w:id="484" w:name="page485"/>
    <w:bookmarkEnd w:id="484"/>
    <w:p>
      <w:pPr>
        <w:ind w:left="980"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SHARES REPRESENTED BY THIS CERTIFICATE ARE SUBJECT TO CERTAIN RESTRICTIONS ON PUBLIC RESALE AND TRANSFER, INCLUDING THE RIGHT OF FIRST REFUSAL AND THE REPURCHASE OPTION HELD BY THE ISSUER AND/OR ITS ASSIGNEE(S), AND A MARKET STANDOFF AGREEMENT, AS SET FORTH IN A RESTRICTED STOCK PURCHASE AGREEMENT BETWEEN THE ISSUER AND THE ORIGINAL HOLDER OF THESE SHARES, A COPY OF WHICH MAY BE OBTAINED AT THE PRINCIPAL OFFICE OF THE ISSUER. SUCH PUBLIC SALE AND TRANSFER RESTRICTIONS INCLUDING THE RIGHT OF FIRST REFUSAL, THE REPURCHASE OPTION AND THE MARKET STANDOFF ARE BINDING ON TRANSFEREES OF THESE SHARES.</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Purchaser agrees that if Purchaser becomes a party to the Company Stockholders Agreement, then Purchaser agrees that the stock certificate(s) evidencing the Shares shall, in addition, bear any legends required under the Company Stockholders Agreement.</w:t>
      </w:r>
    </w:p>
    <w:p>
      <w:pPr>
        <w:spacing w:after="0" w:line="16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Purchaser also agrees that, to ensure compliance with the restrictions imposed by this Agreement, the Company may issue appropriate “stop-transfer” instructions to its transfer agent, if any, and if the Company transfers its own securities, it may make appropriate notations to the same effect in its own records. The Company will not be required (a) to transfer on its books any Shares that have been sold or otherwise transferred in violation of any of the provisions of this Agreement or (b) to treat as owner of such Shares, or to accord the right to vote or pay dividends to any purchaser or other transferee to whom such Shares have been so transferred.</w:t>
      </w:r>
    </w:p>
    <w:p>
      <w:pPr>
        <w:spacing w:after="0" w:line="179" w:lineRule="exact"/>
        <w:rPr>
          <w:sz w:val="20"/>
          <w:szCs w:val="20"/>
          <w:color w:val="auto"/>
        </w:rPr>
      </w:pPr>
    </w:p>
    <w:p>
      <w:pPr>
        <w:ind w:firstLine="436"/>
        <w:spacing w:after="0" w:line="253" w:lineRule="auto"/>
        <w:tabs>
          <w:tab w:leader="none" w:pos="62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 CONSEQUENCES. </w:t>
      </w:r>
      <w:r>
        <w:rPr>
          <w:rFonts w:ascii="Times New Roman" w:cs="Times New Roman" w:eastAsia="Times New Roman" w:hAnsi="Times New Roman"/>
          <w:sz w:val="18"/>
          <w:szCs w:val="18"/>
          <w:i w:val="1"/>
          <w:iCs w:val="1"/>
          <w:color w:val="auto"/>
        </w:rPr>
        <w:t>PURCHASER UNDERSTANDS THAT PURCHASER MAY SUFFER ADVERSE TAX CONSEQUENCES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RESULT OF PURCHASER’S PURCHASE OR DISPOSITION OF THE SHARES. PURCHASER REPRESENTS (a) THAT PURCHASER HAS CONSULTED WITH ANY TAX ADVISER THAT PURCHASER DEEMS ADVISABLE IN CONNECTION WITH THE PURCHASE OR DISPOSITION OF THE SHARES AND (b) THAT PURCHASER IS NOT RELYING ON THE COMPANY FOR ANY TAX ADVICE. </w:t>
      </w:r>
      <w:r>
        <w:rPr>
          <w:rFonts w:ascii="Times New Roman" w:cs="Times New Roman" w:eastAsia="Times New Roman" w:hAnsi="Times New Roman"/>
          <w:sz w:val="18"/>
          <w:szCs w:val="18"/>
          <w:color w:val="auto"/>
        </w:rPr>
        <w:t>Purchaser hereby acknowledges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Purchaser has been informed that, with respect to Unvested Shares, unless an election is filed by Purchaser with the Internal Revenue Service (and, if necessary, the proper state taxing authorities) </w:t>
      </w:r>
      <w:r>
        <w:rPr>
          <w:rFonts w:ascii="Times New Roman" w:cs="Times New Roman" w:eastAsia="Times New Roman" w:hAnsi="Times New Roman"/>
          <w:sz w:val="18"/>
          <w:szCs w:val="18"/>
          <w:b w:val="1"/>
          <w:bCs w:val="1"/>
          <w:u w:val="single" w:color="auto"/>
          <w:color w:val="auto"/>
        </w:rPr>
        <w:t>within 30 days after the purchase</w:t>
      </w:r>
      <w:r>
        <w:rPr>
          <w:rFonts w:ascii="Times New Roman" w:cs="Times New Roman" w:eastAsia="Times New Roman" w:hAnsi="Times New Roman"/>
          <w:sz w:val="18"/>
          <w:szCs w:val="18"/>
          <w:color w:val="auto"/>
        </w:rPr>
        <w:t xml:space="preserve"> of the Shares electing, pursuant to Section 83(b) of the Internal Revenue Code (and similar state tax provisions, if applicable), to be taxed currently on any difference between the Purchase Price of the Unvested Shares and their Fair Market Value on the date of purchase, there will be a recognition of taxable income to Purchaser, measured by the excess, if any, of the Fair Market Value of the Unvested Shares, at the time they cease to be Unvested Shares, over the Purchase Price for such Shares. Purchaser represents that Purchaser has consulted any tax advisers Purchaser deems advisable in connection with Purchaser’s purchase of the Shares and the filing of the election under Section 83(b) and similar tax provisions. A form of Election under Section 83(b) is attached hereto as </w:t>
      </w:r>
      <w:r>
        <w:rPr>
          <w:rFonts w:ascii="Times New Roman" w:cs="Times New Roman" w:eastAsia="Times New Roman" w:hAnsi="Times New Roman"/>
          <w:sz w:val="18"/>
          <w:szCs w:val="18"/>
          <w:b w:val="1"/>
          <w:bCs w:val="1"/>
          <w:u w:val="single" w:color="auto"/>
          <w:color w:val="auto"/>
        </w:rPr>
        <w:t>Exhibit 1</w:t>
      </w:r>
      <w:r>
        <w:rPr>
          <w:rFonts w:ascii="Times New Roman" w:cs="Times New Roman" w:eastAsia="Times New Roman" w:hAnsi="Times New Roman"/>
          <w:sz w:val="18"/>
          <w:szCs w:val="18"/>
          <w:color w:val="auto"/>
        </w:rPr>
        <w:t xml:space="preserve"> for reference.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PROVIDING THE FORM OF ELECTION, NEITHER THE COMPANY NOR ITS LEGAL COUNSEL IS THEREBY UNDERTAKING TO FILE THE ELECTION FOR PURCHASER, WHICH OBLIGATION TO FILE SHALL REMAIN SOLELY WITH PURCHASER.</w:t>
      </w:r>
    </w:p>
    <w:p>
      <w:pPr>
        <w:spacing w:after="0" w:line="187" w:lineRule="exact"/>
        <w:rPr>
          <w:rFonts w:ascii="Times New Roman" w:cs="Times New Roman" w:eastAsia="Times New Roman" w:hAnsi="Times New Roman"/>
          <w:sz w:val="18"/>
          <w:szCs w:val="18"/>
          <w:b w:val="1"/>
          <w:bCs w:val="1"/>
          <w:color w:val="auto"/>
        </w:rPr>
      </w:pPr>
    </w:p>
    <w:p>
      <w:pPr>
        <w:ind w:left="620" w:hanging="184"/>
        <w:spacing w:after="0"/>
        <w:tabs>
          <w:tab w:leader="none" w:pos="62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117" w:lineRule="exact"/>
        <w:rPr>
          <w:sz w:val="20"/>
          <w:szCs w:val="20"/>
          <w:color w:val="auto"/>
        </w:rPr>
      </w:pPr>
    </w:p>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assign any of its rights under this Agreement, including its rights to purchase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Refusal Right or the Repurchase Option. Neither Purchaser, nor any of Purchaser’s successors and assigns, may assign, whether voluntarily or by operation of law, any of its rights and obligations under this Agreement, except with the prior written consent of the Company. This Agreement shall be binding upon and inure to the benefit of the successors and assigns of the Company. Subject to the restrictions on transfer herein set forth, this Agreement will be binding upon Purchaser and Purchaser’s heirs, executors, administrators, legal representatives, successors and assigns.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69" w:right="479" w:bottom="1440" w:gutter="0" w:footer="0" w:header="0"/>
        </w:sectPr>
      </w:pPr>
    </w:p>
    <w:bookmarkStart w:id="485" w:name="page486"/>
    <w:bookmarkEnd w:id="485"/>
    <w:p>
      <w:pPr>
        <w:ind w:right="2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required or permitted to be given to a party pursuant to the provisions of this Agreement will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Purchaser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82"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agree to execute such further documents and instruments and to take such further actions as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necessary to carry out the purposes and intent of this Agreement.</w:t>
      </w:r>
    </w:p>
    <w:p>
      <w:pPr>
        <w:spacing w:after="0" w:line="47" w:lineRule="exact"/>
        <w:rPr>
          <w:sz w:val="20"/>
          <w:szCs w:val="20"/>
          <w:color w:val="auto"/>
        </w:rPr>
      </w:pPr>
    </w:p>
    <w:p>
      <w:pPr>
        <w:ind w:right="4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9.4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incorporated herein by reference. The Plan and this Agreement, together with all Exhibits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the entire agreement and understanding of the parties with respect to the subject matter of this Agreement, and supersede all prior understandings and agreements, between the parties hereto with respect to the specific subject matter hereof.</w:t>
      </w:r>
    </w:p>
    <w:p>
      <w:pPr>
        <w:spacing w:after="0" w:line="6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9.5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provision of this Agreement is determined by any court or arbitrator of competent jurisdiction to be invalid,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7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9.6 </w:t>
      </w:r>
      <w:r>
        <w:rPr>
          <w:rFonts w:ascii="Times New Roman" w:cs="Times New Roman" w:eastAsia="Times New Roman" w:hAnsi="Times New Roman"/>
          <w:sz w:val="18"/>
          <w:szCs w:val="18"/>
          <w:b w:val="1"/>
          <w:bCs w:val="1"/>
          <w:u w:val="single" w:color="auto"/>
          <w:color w:val="auto"/>
        </w:rPr>
        <w:t>Company Stockholders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material inducement and consideration for the Company to enter into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hereby agrees that if, the Company requests Purchaser to enter into and become a party to the Company Stockholders Agreement (and to subject the Shares to the rights of first refusal held by the Company and other Company investors thereunder and the co-sale rights of other investors thereunder, and pursuant to which Purchaser would agree to vote all shares of Company stock held by Purchaser for the election of directors and in favor of certain material transactions (such as mergers or sales of the Company)), then Purchaser will enter into such agreement and execute and deliver signature pages thereto (as requested by the Company) in such capacities and at such time as the Company requests.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5" w:right="459" w:bottom="1440" w:gutter="0" w:footer="0" w:header="0"/>
        </w:sectPr>
      </w:pPr>
    </w:p>
    <w:bookmarkStart w:id="486" w:name="page487"/>
    <w:bookmarkEnd w:id="486"/>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9.7 </w:t>
      </w:r>
      <w:r>
        <w:rPr>
          <w:rFonts w:ascii="Times New Roman" w:cs="Times New Roman" w:eastAsia="Times New Roman" w:hAnsi="Times New Roman"/>
          <w:sz w:val="18"/>
          <w:szCs w:val="18"/>
          <w:b w:val="1"/>
          <w:bCs w:val="1"/>
          <w:u w:val="single" w:color="auto"/>
          <w:color w:val="auto"/>
        </w:rPr>
        <w:t>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entered into in two or more counterparts, each of which shall be deemed an original and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constitute one and the same agreement. This Agreement may be executed and delivered by facsimile and, upon such delivery, the facsimile signature will be deemed to have the same effect as if the original signature had been delivered to the other party.</w:t>
      </w:r>
    </w:p>
    <w:p>
      <w:pPr>
        <w:spacing w:after="0" w:line="1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remainder of this page has intentionally been left blank]</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440" w:top="265" w:right="579" w:bottom="1440" w:gutter="0" w:footer="0" w:header="0"/>
        </w:sectPr>
      </w:pPr>
    </w:p>
    <w:bookmarkStart w:id="487" w:name="page488"/>
    <w:bookmarkEnd w:id="48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Company has caused this Restricted Stock Purchase Agreement to be executed by its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and Purchaser has executed this Restricted Stock Purchase Agreement, as of the date first set forth above.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MAZE THERAPEUTICS, INC.</w:t>
            </w:r>
          </w:p>
        </w:tc>
        <w:tc>
          <w:tcPr>
            <w:tcW w:w="7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PURCHASER</w:t>
            </w:r>
          </w:p>
        </w:tc>
      </w:tr>
      <w:tr>
        <w:trPr>
          <w:trHeight w:val="432"/>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____________________________________</w:t>
            </w:r>
          </w:p>
        </w:tc>
        <w:tc>
          <w:tcPr>
            <w:tcW w:w="760" w:type="dxa"/>
            <w:vAlign w:val="bottom"/>
          </w:tcPr>
          <w:p>
            <w:pPr>
              <w:spacing w:after="0"/>
              <w:rPr>
                <w:sz w:val="24"/>
                <w:szCs w:val="24"/>
                <w:color w:val="auto"/>
              </w:rPr>
            </w:pPr>
          </w:p>
        </w:tc>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_________________________________________</w:t>
            </w:r>
          </w:p>
        </w:tc>
      </w:tr>
      <w:tr>
        <w:trPr>
          <w:trHeight w:val="41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0"/>
              </w:rPr>
              <w:t>Address: </w:t>
            </w:r>
          </w:p>
        </w:tc>
        <w:tc>
          <w:tcPr>
            <w:tcW w:w="37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760" w:type="dxa"/>
            <w:vAlign w:val="bottom"/>
          </w:tcPr>
          <w:p>
            <w:pPr>
              <w:spacing w:after="0"/>
              <w:rPr>
                <w:sz w:val="24"/>
                <w:szCs w:val="24"/>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Address:</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216"/>
        </w:trPr>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Fax No.: (____) __________________</w:t>
            </w:r>
          </w:p>
        </w:tc>
        <w:tc>
          <w:tcPr>
            <w:tcW w:w="760" w:type="dxa"/>
            <w:vAlign w:val="bottom"/>
          </w:tcPr>
          <w:p>
            <w:pPr>
              <w:spacing w:after="0"/>
              <w:rPr>
                <w:sz w:val="20"/>
                <w:szCs w:val="20"/>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Fax No.:</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(____) __________________</w:t>
            </w:r>
          </w:p>
        </w:tc>
      </w:tr>
      <w:tr>
        <w:trPr>
          <w:trHeight w:val="418"/>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345"/>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w:t>
            </w:r>
          </w:p>
        </w:tc>
        <w:tc>
          <w:tcPr>
            <w:tcW w:w="37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Form of Election Pursuant to Section 83(b)</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64"/>
        </w:trPr>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2920" w:type="dxa"/>
            <w:vAlign w:val="bottom"/>
          </w:tcPr>
          <w:p>
            <w:pPr>
              <w:spacing w:after="0"/>
              <w:rPr>
                <w:sz w:val="24"/>
                <w:szCs w:val="24"/>
                <w:color w:val="auto"/>
              </w:rPr>
            </w:pPr>
          </w:p>
        </w:tc>
      </w:tr>
    </w:tbl>
    <w:p>
      <w:pPr>
        <w:sectPr>
          <w:pgSz w:w="11900" w:h="16838" w:orient="portrait"/>
          <w:cols w:equalWidth="0" w:num="1">
            <w:col w:w="10120"/>
          </w:cols>
          <w:pgMar w:left="440" w:top="265" w:right="1339" w:bottom="1440" w:gutter="0" w:footer="0" w:header="0"/>
        </w:sectPr>
      </w:pPr>
    </w:p>
    <w:bookmarkStart w:id="488" w:name="page489"/>
    <w:bookmarkEnd w:id="4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SECTION 83(B) ELECTION</w:t>
      </w:r>
    </w:p>
    <w:p>
      <w:pPr>
        <w:sectPr>
          <w:pgSz w:w="11900" w:h="16838" w:orient="portrait"/>
          <w:cols w:equalWidth="0" w:num="1">
            <w:col w:w="9019"/>
          </w:cols>
          <w:pgMar w:left="1440" w:top="265" w:right="1440" w:bottom="1440" w:gutter="0" w:footer="0" w:header="0"/>
        </w:sectPr>
      </w:pPr>
    </w:p>
    <w:bookmarkStart w:id="489" w:name="page490"/>
    <w:bookmarkEnd w:id="489"/>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UNDER SECTION 83(b) OF THE</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INTERNAL REVENUE CODE</w:t>
      </w:r>
    </w:p>
    <w:p>
      <w:pPr>
        <w:spacing w:after="0" w:line="229"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The undersigned Taxpayer hereby elects, pursuant to Section 83(b) of the Internal Revenue Code of 1986, as amended, to include in gross income for the Taxpayer’s current taxable year the excess, if any, of the fair market value of the property described below at the time of transfer over the amount paid for such property, as compensation for services.</w:t>
      </w:r>
    </w:p>
    <w:p>
      <w:pPr>
        <w:spacing w:after="0" w:line="203" w:lineRule="exact"/>
        <w:rPr>
          <w:sz w:val="20"/>
          <w:szCs w:val="20"/>
          <w:color w:val="auto"/>
        </w:rPr>
      </w:pPr>
    </w:p>
    <w:p>
      <w:pPr>
        <w:ind w:left="804" w:right="8180" w:hanging="804"/>
        <w:spacing w:after="0" w:line="478" w:lineRule="auto"/>
        <w:tabs>
          <w:tab w:leader="none" w:pos="804" w:val="left"/>
        </w:tabs>
        <w:numPr>
          <w:ilvl w:val="0"/>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TAXPAYER’S NAME: TAXPAYER’S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-344805</wp:posOffset>
            </wp:positionV>
            <wp:extent cx="474916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-121920</wp:posOffset>
            </wp:positionV>
            <wp:extent cx="474916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31750</wp:posOffset>
            </wp:positionV>
            <wp:extent cx="474916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146"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17145</wp:posOffset>
            </wp:positionV>
            <wp:extent cx="474916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24" w:lineRule="exact"/>
        <w:rPr>
          <w:sz w:val="20"/>
          <w:szCs w:val="20"/>
          <w:color w:val="auto"/>
        </w:rPr>
      </w:pPr>
    </w:p>
    <w:p>
      <w:pPr>
        <w:ind w:left="804"/>
        <w:spacing w:after="0"/>
        <w:tabs>
          <w:tab w:leader="none" w:pos="3524" w:val="left"/>
        </w:tabs>
        <w:rPr>
          <w:sz w:val="20"/>
          <w:szCs w:val="20"/>
          <w:color w:val="auto"/>
        </w:rPr>
      </w:pPr>
      <w:r>
        <w:rPr>
          <w:rFonts w:ascii="Times New Roman" w:cs="Times New Roman" w:eastAsia="Times New Roman" w:hAnsi="Times New Roman"/>
          <w:sz w:val="18"/>
          <w:szCs w:val="18"/>
          <w:color w:val="auto"/>
        </w:rPr>
        <w:t>TAXABLE YEAR:</w:t>
      </w:r>
      <w:r>
        <w:rPr>
          <w:sz w:val="20"/>
          <w:szCs w:val="20"/>
          <w:color w:val="auto"/>
        </w:rPr>
        <w:tab/>
      </w:r>
      <w:r>
        <w:rPr>
          <w:rFonts w:ascii="Times New Roman" w:cs="Times New Roman" w:eastAsia="Times New Roman" w:hAnsi="Times New Roman"/>
          <w:sz w:val="17"/>
          <w:szCs w:val="17"/>
          <w:color w:val="auto"/>
        </w:rPr>
        <w:t>Calendar Year _____</w:t>
      </w:r>
    </w:p>
    <w:p>
      <w:pPr>
        <w:spacing w:after="0" w:line="117" w:lineRule="exact"/>
        <w:rPr>
          <w:sz w:val="20"/>
          <w:szCs w:val="20"/>
          <w:color w:val="auto"/>
        </w:rPr>
      </w:pPr>
    </w:p>
    <w:p>
      <w:pPr>
        <w:ind w:left="804" w:right="80" w:hanging="804"/>
        <w:spacing w:after="0" w:line="266" w:lineRule="auto"/>
        <w:tabs>
          <w:tab w:leader="none" w:pos="80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with respect to which the election is made is described as follows: _______ shares of Common Stock, par value $0.001 per share, of Maze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which is Taxpayer’s employer or the corporation for whom the Taxpayer performs services.</w:t>
      </w:r>
    </w:p>
    <w:p>
      <w:pPr>
        <w:spacing w:after="0" w:line="67" w:lineRule="exact"/>
        <w:rPr>
          <w:rFonts w:ascii="Times New Roman" w:cs="Times New Roman" w:eastAsia="Times New Roman" w:hAnsi="Times New Roman"/>
          <w:sz w:val="18"/>
          <w:szCs w:val="18"/>
          <w:color w:val="auto"/>
        </w:rPr>
      </w:pPr>
    </w:p>
    <w:p>
      <w:pPr>
        <w:ind w:left="804" w:hanging="804"/>
        <w:spacing w:after="0"/>
        <w:tabs>
          <w:tab w:leader="none" w:pos="80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shares were transferred was ____________________, _____.</w:t>
      </w:r>
    </w:p>
    <w:p>
      <w:pPr>
        <w:spacing w:after="0" w:line="117" w:lineRule="exact"/>
        <w:rPr>
          <w:rFonts w:ascii="Times New Roman" w:cs="Times New Roman" w:eastAsia="Times New Roman" w:hAnsi="Times New Roman"/>
          <w:sz w:val="18"/>
          <w:szCs w:val="18"/>
          <w:color w:val="auto"/>
        </w:rPr>
      </w:pPr>
    </w:p>
    <w:p>
      <w:pPr>
        <w:ind w:left="804" w:right="300" w:hanging="804"/>
        <w:spacing w:after="0" w:line="282" w:lineRule="auto"/>
        <w:tabs>
          <w:tab w:leader="none" w:pos="80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subject to the following restrictions: The Company may repurchase all or a portion of the shares at the Taxpayer’s original purchase price under certain conditions at the time of Taxpayer’s termination of employment or services.</w:t>
      </w:r>
    </w:p>
    <w:p>
      <w:pPr>
        <w:spacing w:after="0" w:line="53" w:lineRule="exact"/>
        <w:rPr>
          <w:rFonts w:ascii="Times New Roman" w:cs="Times New Roman" w:eastAsia="Times New Roman" w:hAnsi="Times New Roman"/>
          <w:sz w:val="18"/>
          <w:szCs w:val="18"/>
          <w:color w:val="auto"/>
        </w:rPr>
      </w:pPr>
    </w:p>
    <w:p>
      <w:pPr>
        <w:ind w:left="804" w:right="420" w:hanging="804"/>
        <w:spacing w:after="0" w:line="282" w:lineRule="auto"/>
        <w:tabs>
          <w:tab w:leader="none" w:pos="80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shares at the time of transfer (without regard to restrictions other than a nonlapse restriction as defined in § 1.83-3(h) of the Income Tax Regulations) was $____ per share x __________ shares = $__________.</w:t>
      </w:r>
    </w:p>
    <w:p>
      <w:pPr>
        <w:spacing w:after="0" w:line="53" w:lineRule="exact"/>
        <w:rPr>
          <w:rFonts w:ascii="Times New Roman" w:cs="Times New Roman" w:eastAsia="Times New Roman" w:hAnsi="Times New Roman"/>
          <w:sz w:val="18"/>
          <w:szCs w:val="18"/>
          <w:color w:val="auto"/>
        </w:rPr>
      </w:pPr>
    </w:p>
    <w:p>
      <w:pPr>
        <w:ind w:left="804" w:hanging="804"/>
        <w:spacing w:after="0"/>
        <w:tabs>
          <w:tab w:leader="none" w:pos="80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paid for such shares was $____ per share x __________ shares = $__________.</w:t>
      </w:r>
    </w:p>
    <w:p>
      <w:pPr>
        <w:spacing w:after="0" w:line="117" w:lineRule="exact"/>
        <w:rPr>
          <w:rFonts w:ascii="Times New Roman" w:cs="Times New Roman" w:eastAsia="Times New Roman" w:hAnsi="Times New Roman"/>
          <w:sz w:val="18"/>
          <w:szCs w:val="18"/>
          <w:color w:val="auto"/>
        </w:rPr>
      </w:pPr>
    </w:p>
    <w:p>
      <w:pPr>
        <w:ind w:left="804" w:hanging="804"/>
        <w:spacing w:after="0"/>
        <w:tabs>
          <w:tab w:leader="none" w:pos="80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include in the Taxpayer’s gross income for the Taxpayer’s current taxable year is $_________.</w:t>
      </w:r>
    </w:p>
    <w:p>
      <w:pPr>
        <w:spacing w:after="0" w:line="221"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i w:val="1"/>
          <w:iCs w:val="1"/>
          <w:color w:val="auto"/>
        </w:rPr>
        <w:t>THIS ELECTION MUST BE FILED WITH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i w:val="1"/>
          <w:iCs w:val="1"/>
          <w:color w:val="auto"/>
        </w:rPr>
        <w:t xml:space="preserve">”), AT THE OFFICE WHERE THE TAXPAYER FILES ANNUAL INCOME TAX RETURNS, </w:t>
      </w:r>
      <w:r>
        <w:rPr>
          <w:rFonts w:ascii="Times New Roman" w:cs="Times New Roman" w:eastAsia="Times New Roman" w:hAnsi="Times New Roman"/>
          <w:sz w:val="18"/>
          <w:szCs w:val="18"/>
          <w:i w:val="1"/>
          <w:iCs w:val="1"/>
          <w:u w:val="single" w:color="auto"/>
          <w:color w:val="auto"/>
        </w:rPr>
        <w:t>WITHIN 30 DAYS</w:t>
      </w:r>
      <w:r>
        <w:rPr>
          <w:rFonts w:ascii="Times New Roman" w:cs="Times New Roman" w:eastAsia="Times New Roman" w:hAnsi="Times New Roman"/>
          <w:sz w:val="18"/>
          <w:szCs w:val="18"/>
          <w:i w:val="1"/>
          <w:iCs w:val="1"/>
          <w:color w:val="auto"/>
        </w:rPr>
        <w:t xml:space="preserve"> AFTER THE DATE OF TRANSFER OF THE PROPERTY, AND MUST ALSO BE FILED WITH THE TAXPAYER’S INCOME TAX RETURNS FOR THE CALENDAR YEAR. A COPY OF THE ELECTION HAS ALSO BEEN FURNISHED TO THE COMPANY. THE ELECTION CANNOT BE REVOKED WITHOUT THE CONSENT OF THE IRS.</w:t>
      </w:r>
    </w:p>
    <w:p>
      <w:pPr>
        <w:spacing w:after="0" w:line="207" w:lineRule="exact"/>
        <w:rPr>
          <w:sz w:val="20"/>
          <w:szCs w:val="20"/>
          <w:color w:val="auto"/>
        </w:rPr>
      </w:pPr>
    </w:p>
    <w:p>
      <w:pPr>
        <w:ind w:left="4"/>
        <w:spacing w:after="0"/>
        <w:tabs>
          <w:tab w:leader="none" w:pos="5504"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17145</wp:posOffset>
            </wp:positionV>
            <wp:extent cx="656653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5744"/>
        <w:spacing w:after="0"/>
        <w:rPr>
          <w:sz w:val="20"/>
          <w:szCs w:val="20"/>
          <w:color w:val="auto"/>
        </w:rPr>
      </w:pPr>
      <w:r>
        <w:rPr>
          <w:rFonts w:ascii="Times New Roman" w:cs="Times New Roman" w:eastAsia="Times New Roman" w:hAnsi="Times New Roman"/>
          <w:sz w:val="18"/>
          <w:szCs w:val="18"/>
          <w:color w:val="auto"/>
        </w:rPr>
        <w:t>Taxpayer’s Signature</w:t>
      </w:r>
    </w:p>
    <w:p>
      <w:pPr>
        <w:sectPr>
          <w:pgSz w:w="11900" w:h="16838" w:orient="portrait"/>
          <w:cols w:equalWidth="0" w:num="1">
            <w:col w:w="10964"/>
          </w:cols>
          <w:pgMar w:left="436" w:top="265" w:right="499" w:bottom="1440" w:gutter="0" w:footer="0" w:header="0"/>
        </w:sectPr>
      </w:pPr>
    </w:p>
    <w:bookmarkStart w:id="490" w:name="page491"/>
    <w:bookmarkEnd w:id="49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5" w:lineRule="exact"/>
        <w:rPr>
          <w:sz w:val="20"/>
          <w:szCs w:val="20"/>
          <w:color w:val="auto"/>
        </w:rPr>
      </w:pPr>
    </w:p>
    <w:p>
      <w:pPr>
        <w:ind w:left="4"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Consulting Agreement </w:t>
      </w:r>
      <w:r>
        <w:rPr>
          <w:rFonts w:ascii="Times New Roman" w:cs="Times New Roman" w:eastAsia="Times New Roman" w:hAnsi="Times New Roman"/>
          <w:sz w:val="18"/>
          <w:szCs w:val="18"/>
          <w:color w:val="auto"/>
        </w:rPr>
        <w:t>(the “Agreement”) is made and entered into by and between</w:t>
      </w:r>
      <w:r>
        <w:rPr>
          <w:rFonts w:ascii="Times New Roman" w:cs="Times New Roman" w:eastAsia="Times New Roman" w:hAnsi="Times New Roman"/>
          <w:sz w:val="18"/>
          <w:szCs w:val="18"/>
          <w:b w:val="1"/>
          <w:bCs w:val="1"/>
          <w:color w:val="auto"/>
        </w:rPr>
        <w:t xml:space="preserve"> Maze Therapeutics, Inc</w:t>
      </w:r>
      <w:r>
        <w:rPr>
          <w:rFonts w:ascii="Times New Roman" w:cs="Times New Roman" w:eastAsia="Times New Roman" w:hAnsi="Times New Roman"/>
          <w:sz w:val="18"/>
          <w:szCs w:val="18"/>
          <w:color w:val="auto"/>
        </w:rPr>
        <w:t>.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a place of business at 131 Oyster Point Blvd, Suite 200, South San Francisco, CA 94080 (the “Company”), and Charles Homcy, an individual (“Consultant”), having a primary address of effective as of November 1, 2019 (“Effective Date”).</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ECITALS</w:t>
      </w:r>
    </w:p>
    <w:p>
      <w:pPr>
        <w:spacing w:after="0" w:line="225"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Consultant has unique skills and knowledge in the Company’s field of endeavor and thus is well suited to advise the Company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its research and development.</w:t>
      </w:r>
    </w:p>
    <w:p>
      <w:pPr>
        <w:spacing w:after="0" w:line="155" w:lineRule="exact"/>
        <w:rPr>
          <w:sz w:val="20"/>
          <w:szCs w:val="20"/>
          <w:color w:val="auto"/>
        </w:rPr>
      </w:pPr>
    </w:p>
    <w:p>
      <w:pPr>
        <w:ind w:left="4" w:right="3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that Consultant advise and consult with the Company in the research, development and analysis of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Company’s research and product development efforts, and Consultant agrees to provide such assistance to the Company through a consulting relationship with the Company, subject to and in accordance with the terms and conditions of this Agreement.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obligations specified in this Agreement, the parties agree to the following:</w:t>
      </w:r>
    </w:p>
    <w:p>
      <w:pPr>
        <w:spacing w:after="0" w:line="117" w:lineRule="exact"/>
        <w:rPr>
          <w:sz w:val="20"/>
          <w:szCs w:val="20"/>
          <w:color w:val="auto"/>
        </w:rPr>
      </w:pPr>
    </w:p>
    <w:p>
      <w:pPr>
        <w:ind w:left="4" w:right="660" w:hanging="4"/>
        <w:spacing w:after="0" w:line="286" w:lineRule="auto"/>
        <w:tabs>
          <w:tab w:leader="none" w:pos="184" w:val="left"/>
        </w:tabs>
        <w:numPr>
          <w:ilvl w:val="0"/>
          <w:numId w:val="3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ONSULTING</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NGAGEMENT</w:t>
      </w:r>
      <w:r>
        <w:rPr>
          <w:rFonts w:ascii="Times New Roman" w:cs="Times New Roman" w:eastAsia="Times New Roman" w:hAnsi="Times New Roman"/>
          <w:sz w:val="18"/>
          <w:szCs w:val="18"/>
          <w:color w:val="auto"/>
        </w:rPr>
        <w:t>. The Company hereby retains Consultant, and Consultant hereby accepts such retention, to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consulting services for the Company as set forth herein.</w:t>
      </w:r>
    </w:p>
    <w:p>
      <w:pPr>
        <w:spacing w:after="0" w:line="4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1.1 Scope</w:t>
      </w:r>
      <w:r>
        <w:rPr>
          <w:rFonts w:ascii="Times New Roman" w:cs="Times New Roman" w:eastAsia="Times New Roman" w:hAnsi="Times New Roman"/>
          <w:sz w:val="18"/>
          <w:szCs w:val="18"/>
          <w:color w:val="auto"/>
        </w:rPr>
        <w:t>. Consultant shall provide advice and consulting services (“Services”) to the Company as requested from time to time during the term.</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specific nature and amount of the Services to be performed shall be determined by the Company during the term of this Agreement.</w:t>
      </w:r>
    </w:p>
    <w:p>
      <w:pPr>
        <w:spacing w:after="0" w:line="95"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1.2 Performance and Time Commitment</w:t>
      </w:r>
      <w:r>
        <w:rPr>
          <w:rFonts w:ascii="Times New Roman" w:cs="Times New Roman" w:eastAsia="Times New Roman" w:hAnsi="Times New Roman"/>
          <w:sz w:val="18"/>
          <w:szCs w:val="18"/>
          <w:color w:val="auto"/>
        </w:rPr>
        <w:t>. Consultant shall render the Services at such times as may be mutually agreed upon by Consultant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Consultant shall perform the services at the Company’s principal place of business, and other Company location, or at other places upon mutual agreement of the parties.</w:t>
      </w:r>
    </w:p>
    <w:p>
      <w:pPr>
        <w:spacing w:after="0" w:line="63"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1.3 Professional Standards</w:t>
      </w:r>
      <w:r>
        <w:rPr>
          <w:rFonts w:ascii="Times New Roman" w:cs="Times New Roman" w:eastAsia="Times New Roman" w:hAnsi="Times New Roman"/>
          <w:sz w:val="18"/>
          <w:szCs w:val="18"/>
          <w:color w:val="auto"/>
        </w:rPr>
        <w:t>. The manner and means used by Consultant to perform the Services desired by the Company are in the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control of Consultant, subject to the terms of this Agreement. Consultant’s Services, and the results thereof, will be performed with and be the product of the highest degree of professional skill and expertise.</w:t>
      </w:r>
    </w:p>
    <w:p>
      <w:pPr>
        <w:spacing w:after="0" w:line="63" w:lineRule="exact"/>
        <w:rPr>
          <w:sz w:val="20"/>
          <w:szCs w:val="20"/>
          <w:color w:val="auto"/>
        </w:rPr>
      </w:pPr>
    </w:p>
    <w:p>
      <w:pPr>
        <w:ind w:left="4"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1.4 Independent Contractor Status</w:t>
      </w:r>
      <w:r>
        <w:rPr>
          <w:rFonts w:ascii="Times New Roman" w:cs="Times New Roman" w:eastAsia="Times New Roman" w:hAnsi="Times New Roman"/>
          <w:sz w:val="18"/>
          <w:szCs w:val="18"/>
          <w:color w:val="auto"/>
        </w:rPr>
        <w:t>. It is understood and agreed that Consultant is an independent contractor, is not an agent or employee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is not authorized to act on behalf of the Company. Consultant agrees not to hold himself or herself out as, or give any person any reason to believe that he or she is, an employee, agent, joint venturer or partner of the Company. Consultant will not be eligible for any employee benefits, nor will the Company make deductions from any amounts payable to Consultant for taxes or insurance. All payroll and employment taxes, insurance, and benefits shall be the sole responsibility of Consultant. Consultant retains the right (as limited in Section 5) to provide services for others during the term of this Agreement and is not required to devote Consultant’s services exclusively for the Company.</w:t>
      </w:r>
    </w:p>
    <w:p>
      <w:pPr>
        <w:sectPr>
          <w:pgSz w:w="11900" w:h="16838" w:orient="portrait"/>
          <w:cols w:equalWidth="0" w:num="1">
            <w:col w:w="11024"/>
          </w:cols>
          <w:pgMar w:left="436" w:top="117" w:right="439" w:bottom="1440" w:gutter="0" w:footer="0" w:header="0"/>
        </w:sectPr>
      </w:pPr>
    </w:p>
    <w:bookmarkStart w:id="491" w:name="page492"/>
    <w:bookmarkEnd w:id="491"/>
    <w:p>
      <w:pPr>
        <w:ind w:left="4"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Taxes and Employee Benefits</w:t>
      </w:r>
      <w:r>
        <w:rPr>
          <w:rFonts w:ascii="Times New Roman" w:cs="Times New Roman" w:eastAsia="Times New Roman" w:hAnsi="Times New Roman"/>
          <w:sz w:val="18"/>
          <w:szCs w:val="18"/>
          <w:color w:val="auto"/>
        </w:rPr>
        <w:t>. Consultant will report to all applicable government agencies as income all compensation received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pursuant to this Agreement. Consultant will be solely responsible for payment of all withholding taxes, social security, workers’ compensation, unemployment and disability insurance or similar items required by any government agency. Consultant will not be entitled to any benefits paid or made available by Company to its employees, including, without limitation, any vacation or illness payments, or to participate in any plans, arrangements or distributions made by Company pertaining to any bonus, stock option, profit sharing, insurance or similar benefits. Consultant will indemnify and hold Company harmless from and against all damages, liabilities, losses, penalties, fines, expenses and costs (including reasonable fees and expenses of attorneys and other professionals) arising out of or relating to any obligation imposed by law on Company to pay any withholding taxes, social security, unemployment or disability insurance or similar items in connection with compensation received by Consultant pursuant to this Agreement.</w:t>
      </w:r>
    </w:p>
    <w:p>
      <w:pPr>
        <w:spacing w:after="0" w:line="80" w:lineRule="exact"/>
        <w:rPr>
          <w:sz w:val="20"/>
          <w:szCs w:val="20"/>
          <w:color w:val="auto"/>
        </w:rPr>
      </w:pPr>
    </w:p>
    <w:p>
      <w:pPr>
        <w:ind w:left="184" w:hanging="184"/>
        <w:spacing w:after="0"/>
        <w:tabs>
          <w:tab w:leader="none" w:pos="184" w:val="left"/>
        </w:tabs>
        <w:numPr>
          <w:ilvl w:val="0"/>
          <w:numId w:val="3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45" w:lineRule="auto"/>
        <w:rPr>
          <w:sz w:val="20"/>
          <w:szCs w:val="20"/>
          <w:color w:val="auto"/>
        </w:rPr>
      </w:pPr>
      <w:r>
        <w:rPr>
          <w:rFonts w:ascii="Times New Roman" w:cs="Times New Roman" w:eastAsia="Times New Roman" w:hAnsi="Times New Roman"/>
          <w:sz w:val="18"/>
          <w:szCs w:val="18"/>
          <w:b w:val="1"/>
          <w:bCs w:val="1"/>
          <w:color w:val="auto"/>
        </w:rPr>
        <w:t>2.1 Equity Compensation</w:t>
      </w:r>
      <w:r>
        <w:rPr>
          <w:rFonts w:ascii="Times New Roman" w:cs="Times New Roman" w:eastAsia="Times New Roman" w:hAnsi="Times New Roman"/>
          <w:sz w:val="18"/>
          <w:szCs w:val="18"/>
          <w:color w:val="auto"/>
        </w:rPr>
        <w:t>. Subject to approval by the Board of Directors of the Company (the “Board”), and as consideration for the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grant Advisor an option to purchase 150,000 shares of common stock of the Company, par value $0.001 per share (the “Common Stock”), under the Company’s 2019 Equity Incentive Plan, at a per share purchase price equal to the fair market value of a share of Common Stock as determined by the Board on the date of such grant. The option will vest as follows: half of the shares will vest on the first anniversary of Effective Date, and following that, 1/24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the shares will vest on a monthly basis thereafter, subject to Consultant’s continued full-time employment on the relevant vesting dates. For the purposes of clarity, no shares will vest prior to Consultant’s commencement of employment with the Company and no rights to any vesting will be earned or accrued during the Services under this Agreement. Further, the board of directors of the Company shall accelerate the vesting of all of the then-unvested shares upon the consummation of a Sale Event; provided, however, that any and all acceleration and vesting of the Shares in connection with a Sale Event is conditioned upon Consultant’s continuing Service from the date hereof through the date of such Sale Event. A “Sale Event” means (i) the sale of all or substantially all of the assets of the Company on a consolidated basis to an unrelated person or entity, (ii) a merger, reorganization or consolidation pursuant to which the holders of the Company’s outstanding voting power immediately prior to such transaction do not own a majority of the outstanding voting power of the surviving or resulting entity (or its ultimate parent, if applicable), (iii) the acquisition of all or a majority of the outstanding voting stock of the Company in a single transaction or a series of related transactions by a person or entity or group of persons and/or entities, or (iv) any other acquisition of the business of the Company, as determined by the board of directors; provided, however, that the Company’s Initial Public Offering, any subsequent public offering or any other capital raising event, public or private, or a merger effected solely to change the Company’s domicile shall not constitute a “Sale Event.”</w:t>
      </w:r>
    </w:p>
    <w:p>
      <w:pPr>
        <w:spacing w:after="0" w:line="13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5" w:right="459" w:bottom="1440" w:gutter="0" w:footer="0" w:header="0"/>
        </w:sectPr>
      </w:pPr>
    </w:p>
    <w:bookmarkStart w:id="492" w:name="page493"/>
    <w:bookmarkEnd w:id="492"/>
    <w:p>
      <w:pPr>
        <w:ind w:left="4"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 Cash Compensation</w:t>
      </w:r>
      <w:r>
        <w:rPr>
          <w:rFonts w:ascii="Times New Roman" w:cs="Times New Roman" w:eastAsia="Times New Roman" w:hAnsi="Times New Roman"/>
          <w:sz w:val="18"/>
          <w:szCs w:val="18"/>
          <w:color w:val="auto"/>
        </w:rPr>
        <w:t>. As compensation for Consultant’s services and the discharge of all Consultant’s obligations hereunder,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pay Consultant a consulting fee of $240,000 per year, payable monthly in arrears.</w:t>
      </w:r>
    </w:p>
    <w:p>
      <w:pPr>
        <w:spacing w:after="0" w:line="47" w:lineRule="exact"/>
        <w:rPr>
          <w:sz w:val="20"/>
          <w:szCs w:val="20"/>
          <w:color w:val="auto"/>
        </w:rPr>
      </w:pPr>
    </w:p>
    <w:p>
      <w:pPr>
        <w:ind w:left="4" w:right="100" w:hanging="4"/>
        <w:spacing w:after="0" w:line="262" w:lineRule="auto"/>
        <w:tabs>
          <w:tab w:leader="none" w:pos="184"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XPENSES</w:t>
      </w:r>
      <w:r>
        <w:rPr>
          <w:rFonts w:ascii="Times New Roman" w:cs="Times New Roman" w:eastAsia="Times New Roman" w:hAnsi="Times New Roman"/>
          <w:sz w:val="18"/>
          <w:szCs w:val="18"/>
          <w:color w:val="auto"/>
        </w:rPr>
        <w:t>. The Company shall reimburse Consultant for expenses actually incurred by Consultant in performing the Services,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travel and accommodation expenses, so long as such expenses are reasonable and necessary as determined by the Company. Consultant shall maintain adequate books and records relating to any expenses to be reimbursed and shall submit requests for reimbursement in a timely manner and form acceptable to the Company.</w:t>
      </w:r>
    </w:p>
    <w:p>
      <w:pPr>
        <w:spacing w:after="0" w:line="68"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3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AINTAINING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ONFIDENTIAL</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4.1 Company Information</w:t>
      </w:r>
      <w:r>
        <w:rPr>
          <w:rFonts w:ascii="Times New Roman" w:cs="Times New Roman" w:eastAsia="Times New Roman" w:hAnsi="Times New Roman"/>
          <w:sz w:val="18"/>
          <w:szCs w:val="18"/>
          <w:color w:val="auto"/>
        </w:rPr>
        <w:t>. During the term of this Agreement and in the course of Consultant’s performance hereunder, Consultant may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otherwise be exposed to confidential and proprietary information relating to the Company’s technology know-how, data, inventions, developments, plans business practices, and strategies. Such confidential and proprietary information of the Company (collectively referred to as “Information”) may include but not be limited to: (i) confidential and proprietary information supplied to Consultant with the legend “Confidential” or equivalent; (ii) the Company’s marketing and customer support strategies, financial information (including sales, costs, profits and pricing methods), internal organization, employee information, and customer lists; (iii) the Company’s technology, including, but not limited to, discoveries, inventions, research and development efforts, data, software, trade secrets, processes, samples, media and/or cell lines (and procedures and formulations for producing any such samples, media and/or cell lines), vectors, viruses, assays, plasmids, formulas, methods, product and know-how and show-how; (iv) all derivatives, improvements, additions, modifications, and enhancements to any of the above, including any such information or material created or developed by Consultant under this Agreement; (v) information of third parties as to which the Company has an obligation of confidentiality; or (vi) the terms and conditions of this Agreement.</w:t>
      </w:r>
    </w:p>
    <w:p>
      <w:pPr>
        <w:spacing w:after="0" w:line="18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Consultant acknowledges the confidential and secret character of the Information and agrees that the Information is the sole, exclusive and extremely valuable property of the Company. Accordingly, Consultant agrees not to reproduce any of the Information without the applicable prior written consent of the Company, not to use the Information except in the performance of this Agreement, and not to disclose all or any part of the Information in any form to any third party, either during or after the term of this Agreement. Upon termination of this Agreement for any reason, including expiration of term, Consultant agrees to cease using and to return to the Company all whole and partial copies and derivatives of the Information, whether in Consultant’s possession or under Consultant’s direct or indirect control. Consultant agrees to take all actions reasonably necessary to protect the confidentiality of all Information. Consultant’s obligations of confidentiality and non-use contained in this Section 4 herein shall survive any termination or expiration of this agreement for a period of seven (7) years thereafter. Nothing in this Section 4 or otherwise in this Agreement shall limit or restrict in any way Consultant’s immunity from liability for disclosing Company’s trade secrets as specifically permitted by 18 U.S. Code Section 1833, the pertinent provisions of which are attached hereto as Exhibit A.</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5" w:right="479" w:bottom="1440" w:gutter="0" w:footer="0" w:header="0"/>
        </w:sectPr>
      </w:pPr>
    </w:p>
    <w:bookmarkStart w:id="493" w:name="page494"/>
    <w:bookmarkEnd w:id="493"/>
    <w:p>
      <w:pPr>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 Other Employer Information</w:t>
      </w:r>
      <w:r>
        <w:rPr>
          <w:rFonts w:ascii="Times New Roman" w:cs="Times New Roman" w:eastAsia="Times New Roman" w:hAnsi="Times New Roman"/>
          <w:sz w:val="18"/>
          <w:szCs w:val="18"/>
          <w:color w:val="auto"/>
        </w:rPr>
        <w:t>. Consultant agrees that Consultant will not, during Consultant’s engagement with the Company, improperly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or disclose any proprietary information or trade secrets of Consultant’s former or concurrent employers or companies, if any, and that Consultant will not bring onto the premises of the Company any unpublished documents or any property belonging to Consultant’s former or concurrent employers or companies unless consented to in writing by said employers or companies.</w:t>
      </w:r>
    </w:p>
    <w:p>
      <w:pPr>
        <w:spacing w:after="0" w:line="68"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4.3 Third Party Information</w:t>
      </w:r>
      <w:r>
        <w:rPr>
          <w:rFonts w:ascii="Times New Roman" w:cs="Times New Roman" w:eastAsia="Times New Roman" w:hAnsi="Times New Roman"/>
          <w:sz w:val="18"/>
          <w:szCs w:val="18"/>
          <w:color w:val="auto"/>
        </w:rPr>
        <w:t>. Consultant recognizes that the Company has received and in the future will receive from third parties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or proprietary information subject to a duty on the Company’s part to maintain the confidentiality of such information and, in some cases, to use it only for certain limited purposes. Consultant agrees that he or she owes the Company and such third parties, both during the term of Consultant’s engagement and 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74" w:lineRule="exact"/>
        <w:rPr>
          <w:sz w:val="20"/>
          <w:szCs w:val="20"/>
          <w:color w:val="auto"/>
        </w:rPr>
      </w:pPr>
    </w:p>
    <w:p>
      <w:pPr>
        <w:ind w:left="184" w:hanging="184"/>
        <w:spacing w:after="0"/>
        <w:tabs>
          <w:tab w:leader="none" w:pos="184"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NVENTIONS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5.1 Disclosure of Inventions</w:t>
      </w:r>
      <w:r>
        <w:rPr>
          <w:rFonts w:ascii="Times New Roman" w:cs="Times New Roman" w:eastAsia="Times New Roman" w:hAnsi="Times New Roman"/>
          <w:sz w:val="18"/>
          <w:szCs w:val="18"/>
          <w:color w:val="auto"/>
        </w:rPr>
        <w:t>. Consultant shall promptly and fully disclose to the Company any and all ideas, improvements,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know-how, techniques, works of authorship and other materials of any kind learned, conceived or developed by Consultant, alone or jointly with others, pursuant to Consultant’s performance of the Services for the Company or that result from or that are related to such Services, whether or not they are eligible for patent, copyright, mask work, trade secret, trademark or other legal protection or of tasks assigned to Consultant by the Company hereunder (the “Service Product”). Consultant agrees to keep and maintain adequate and current records (in the form of notes, sketches, drawings or in any other form that may be required by the Company) of all work performed relating to the Services, including all proprietary information developed relating thereto, and such records shall be available to and remain the sole property of the Company at all times.</w:t>
      </w:r>
    </w:p>
    <w:p>
      <w:pPr>
        <w:spacing w:after="0" w:line="75"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5.2 Inventions Assigned to the Company</w:t>
      </w:r>
      <w:r>
        <w:rPr>
          <w:rFonts w:ascii="Times New Roman" w:cs="Times New Roman" w:eastAsia="Times New Roman" w:hAnsi="Times New Roman"/>
          <w:sz w:val="18"/>
          <w:szCs w:val="18"/>
          <w:color w:val="auto"/>
        </w:rPr>
        <w:t>. Consultant agrees that any and all Service Product shall be the sole and exclusive property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Consultant hereby assigns to the Company all Consultant’s right, title and interest in and to any and all Service Product. Consultant explicitly acknowledges and agrees that all works of authorship contained in the Service Product are “works for hire” under the copyright laws of the United States, and that the Company shall own the copyright in all such works of authorship.</w:t>
      </w:r>
    </w:p>
    <w:p>
      <w:pPr>
        <w:spacing w:after="0" w:line="180"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Consultant further agrees that the Company is and shall be vested with all rights, title and interests, including patent, copyright, trade secret and trademark rights, in all of Consultant’s Service Product under this Agreement.</w:t>
      </w:r>
    </w:p>
    <w:p>
      <w:pPr>
        <w:spacing w:after="0" w:line="50"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5.3 Moral Rights</w:t>
      </w:r>
      <w:r>
        <w:rPr>
          <w:rFonts w:ascii="Times New Roman" w:cs="Times New Roman" w:eastAsia="Times New Roman" w:hAnsi="Times New Roman"/>
          <w:sz w:val="18"/>
          <w:szCs w:val="18"/>
          <w:color w:val="auto"/>
        </w:rPr>
        <w:t>. To the fullest extent permitted by applicable law, Consultant also hereby irrevocably transfers and assigns to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irrevocably transfer and assign to Company, and waives and agrees never to assert, any and all “moral rights,” including any rights to claim authorship of a work, to object to or prevent the modification or destruction of a work, to withdraw from circulation or control the publication or distribution of a work, and any similar right, existing under judicial or statutory law of any country in the world, or under any treaty, regardless of whether or not such right as called or generally referred to as a “moral right,” that Consultant may have in or with respect to any Service Product, during and after the term of this Agreement.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5" w:right="459" w:bottom="1440" w:gutter="0" w:footer="0" w:header="0"/>
        </w:sectPr>
      </w:pPr>
    </w:p>
    <w:bookmarkStart w:id="494" w:name="page495"/>
    <w:bookmarkEnd w:id="494"/>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5.4 Related Rights</w:t>
      </w:r>
      <w:r>
        <w:rPr>
          <w:rFonts w:ascii="Times New Roman" w:cs="Times New Roman" w:eastAsia="Times New Roman" w:hAnsi="Times New Roman"/>
          <w:sz w:val="18"/>
          <w:szCs w:val="18"/>
          <w:color w:val="auto"/>
        </w:rPr>
        <w:t>. To the extent that Consultant owns or controls (presently or in the future) any “related rights,” including patent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copyright rights, mask work rights, trade secret rights, or any other intellectual property or proprietary rights that may block or interfere with, or may otherwise be required for, the exercise by Company of the rights assigned to Company under this Agreement, Consultant hereby grants or will cause to be granted to Company a non- exclusive, royalty-free, irrevocable, perpetual, transferable, worldwide license (with the right to sublicense) to make, have made, use, offer to sell, sell, import, copy, modify, create derivative works based upon, distribute, sublicense, display, perform and transmit any products, software, hardware, methods or materials of any kind that are covered by such related rights, to the extent necessary to enable Company to exercise all of the rights assigned to Company under this Agreement.</w:t>
      </w:r>
    </w:p>
    <w:p>
      <w:pPr>
        <w:spacing w:after="0" w:line="75"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5.5 Obtaining Intellectual Property Protection</w:t>
      </w:r>
      <w:r>
        <w:rPr>
          <w:rFonts w:ascii="Times New Roman" w:cs="Times New Roman" w:eastAsia="Times New Roman" w:hAnsi="Times New Roman"/>
          <w:sz w:val="18"/>
          <w:szCs w:val="18"/>
          <w:color w:val="auto"/>
        </w:rPr>
        <w:t>. Consultant agrees to assist the Company in every proper way to obtain and enforce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and foreign proprietary rights relating to the Service Product in any and all countries. To that end, Consultant agrees to execute, verify and deliver such documents and perform such other acts (including appearing as a witness) as the Company may reasonably request for use in applying for, obtaining, perfecting, evidencing, sustaining and enforcing such proprietary rights and the assignment thereof. In addition, Consultant agrees to execute, verify and deliver assignments of such proprietary rights to the Company or its designee. Consultant’s obligation to assist the Company with respect to proprietary rights in any and all countries shall continue beyond the termination of Consultant’s engagement, but the Company shall compensate Consultant at a reasonable rate after such termination for the time actually spent by Consultant at the Company’s request on such assistance.</w:t>
      </w:r>
    </w:p>
    <w:p>
      <w:pPr>
        <w:spacing w:after="0" w:line="18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In the event the Company is unable for any reason, after reasonable effort, to secure Consultant’s signature on any document needed in connection with the actions specified in the preceding paragraph, Consultant hereby irrevocably designates and appoints the Company and its duly authorized officers and agents as Consultant’s agent and attorney in fact, to act for and on Consultant’s behalf to execute, verify and file, with the same legal force and effect as if executed by Consultant, any such documents and to do all other lawfully permitted acts to further the purposes of the preceding paragraph. Consultant hereby waives and quitclaims to the Company any and all claims of any nature whatsoever which Consultant now or may hereafter have for infringement of any proprietary rights assigned to the Company.</w:t>
      </w:r>
    </w:p>
    <w:p>
      <w:pPr>
        <w:spacing w:after="0" w:line="75" w:lineRule="exact"/>
        <w:rPr>
          <w:sz w:val="20"/>
          <w:szCs w:val="20"/>
          <w:color w:val="auto"/>
        </w:rPr>
      </w:pPr>
    </w:p>
    <w:p>
      <w:pPr>
        <w:ind w:left="184" w:hanging="184"/>
        <w:spacing w:after="0"/>
        <w:tabs>
          <w:tab w:leader="none" w:pos="184" w:val="left"/>
        </w:tabs>
        <w:numPr>
          <w:ilvl w:val="0"/>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6.1 No Pre-existing Obligations</w:t>
      </w:r>
      <w:r>
        <w:rPr>
          <w:rFonts w:ascii="Times New Roman" w:cs="Times New Roman" w:eastAsia="Times New Roman" w:hAnsi="Times New Roman"/>
          <w:sz w:val="18"/>
          <w:szCs w:val="18"/>
          <w:color w:val="auto"/>
        </w:rPr>
        <w:t>. Consultant represents and warrants that Consultant has no pre-existing obligations or commitments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assume or otherwise undertake any obligations or commitments) that would be in conflict or inconsistent with or that would hinder Consultant’s performance of its obligations under this Agreement.</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5" w:right="459" w:bottom="1440" w:gutter="0" w:footer="0" w:header="0"/>
        </w:sectPr>
      </w:pPr>
    </w:p>
    <w:bookmarkStart w:id="495" w:name="page496"/>
    <w:bookmarkEnd w:id="495"/>
    <w:p>
      <w:pPr>
        <w:ind w:left="4" w:right="20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 Non-infringement</w:t>
      </w:r>
      <w:r>
        <w:rPr>
          <w:rFonts w:ascii="Times New Roman" w:cs="Times New Roman" w:eastAsia="Times New Roman" w:hAnsi="Times New Roman"/>
          <w:sz w:val="17"/>
          <w:szCs w:val="17"/>
          <w:color w:val="auto"/>
        </w:rPr>
        <w:t>. Consultant represents and warrants that the Service Product will not infringe, misappropriate or violate the rights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third party, including, without limitation, any all worldwide patent rights (including patent applications and disclosures), copyright rights, mask work rights, trade secret rights, know-how, and any and all other intellectual property or proprietary rights or any rights of privacy or rights of publicity, except to the extent any portion of the Service Product is created, developed or supplied by Company or by a third party on behalf of Company.</w:t>
      </w:r>
    </w:p>
    <w:p>
      <w:pPr>
        <w:spacing w:after="0" w:line="53" w:lineRule="exact"/>
        <w:rPr>
          <w:sz w:val="20"/>
          <w:szCs w:val="20"/>
          <w:color w:val="auto"/>
        </w:rPr>
      </w:pPr>
    </w:p>
    <w:p>
      <w:pPr>
        <w:ind w:left="4" w:right="60" w:hanging="4"/>
        <w:spacing w:after="0" w:line="254" w:lineRule="auto"/>
        <w:tabs>
          <w:tab w:leader="none" w:pos="184"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 AND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color w:val="auto"/>
        </w:rPr>
        <w:t>. This Agreement will commence on the Effective Date and, unless terminated earlier in accordance with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remain in force and effect for as long as Consultant is performing Services pursuant to this Agreement. Either party may terminate this Agreement at any time, for any reason or no reason, upon at least ten (10) days written notice to the other party, except, upon either party’s material breach of the terms of this Agreement, the non-breaching party may terminate this Agreement with immediate effect upon written notice to the breaching party. In the event of any termination, Consultant shall cease work immediately after giving or receiving such notice or termination, unless otherwise advised by the Company, shall return to the Company all Information, Service Product, and other materials belonging to the Company, and shall notify the Company of costs incurred up to the termination date. Sections 8, 9 and 10 of this Agreement shall survive any termination of this Agreement. Unless earlier terminated as provided herein, this Agreement shall expire on the date Consultant commences employment with the Company.</w:t>
      </w:r>
    </w:p>
    <w:p>
      <w:pPr>
        <w:spacing w:after="0" w:line="80" w:lineRule="exact"/>
        <w:rPr>
          <w:rFonts w:ascii="Times New Roman" w:cs="Times New Roman" w:eastAsia="Times New Roman" w:hAnsi="Times New Roman"/>
          <w:sz w:val="18"/>
          <w:szCs w:val="18"/>
          <w:b w:val="1"/>
          <w:bCs w:val="1"/>
          <w:color w:val="auto"/>
        </w:rPr>
      </w:pPr>
    </w:p>
    <w:p>
      <w:pPr>
        <w:ind w:left="4" w:right="40" w:hanging="4"/>
        <w:spacing w:after="0" w:line="286" w:lineRule="auto"/>
        <w:tabs>
          <w:tab w:leader="none" w:pos="184"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OMPLIANCE WITH</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PPLICABLE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AWS</w:t>
      </w:r>
      <w:r>
        <w:rPr>
          <w:rFonts w:ascii="Times New Roman" w:cs="Times New Roman" w:eastAsia="Times New Roman" w:hAnsi="Times New Roman"/>
          <w:sz w:val="18"/>
          <w:szCs w:val="18"/>
          <w:color w:val="auto"/>
        </w:rPr>
        <w:t>. Consultant warrants that all material supplied and work performed under this Agreement complies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comply with all applicable United States and foreign laws and regulations.</w:t>
      </w:r>
    </w:p>
    <w:p>
      <w:pPr>
        <w:spacing w:after="0" w:line="46" w:lineRule="exact"/>
        <w:rPr>
          <w:rFonts w:ascii="Times New Roman" w:cs="Times New Roman" w:eastAsia="Times New Roman" w:hAnsi="Times New Roman"/>
          <w:sz w:val="18"/>
          <w:szCs w:val="18"/>
          <w:b w:val="1"/>
          <w:bCs w:val="1"/>
          <w:color w:val="auto"/>
        </w:rPr>
      </w:pPr>
    </w:p>
    <w:p>
      <w:pPr>
        <w:jc w:val="both"/>
        <w:ind w:left="4" w:hanging="4"/>
        <w:spacing w:after="0" w:line="262" w:lineRule="auto"/>
        <w:tabs>
          <w:tab w:leader="none" w:pos="184"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SSIGNMENT</w:t>
      </w:r>
      <w:r>
        <w:rPr>
          <w:rFonts w:ascii="Times New Roman" w:cs="Times New Roman" w:eastAsia="Times New Roman" w:hAnsi="Times New Roman"/>
          <w:sz w:val="18"/>
          <w:szCs w:val="18"/>
          <w:b w:val="1"/>
          <w:bCs w:val="1"/>
          <w:color w:val="auto"/>
        </w:rPr>
        <w:t>; B</w:t>
      </w:r>
      <w:r>
        <w:rPr>
          <w:rFonts w:ascii="Times New Roman" w:cs="Times New Roman" w:eastAsia="Times New Roman" w:hAnsi="Times New Roman"/>
          <w:sz w:val="14"/>
          <w:szCs w:val="14"/>
          <w:b w:val="1"/>
          <w:bCs w:val="1"/>
          <w:color w:val="auto"/>
        </w:rPr>
        <w:t>ENEFIT</w:t>
      </w:r>
      <w:r>
        <w:rPr>
          <w:rFonts w:ascii="Times New Roman" w:cs="Times New Roman" w:eastAsia="Times New Roman" w:hAnsi="Times New Roman"/>
          <w:sz w:val="18"/>
          <w:szCs w:val="18"/>
          <w:color w:val="auto"/>
        </w:rPr>
        <w:t>. This Agreement is for the personal services of Consultant and may not be assigned by Consultant, nor shall it be assignable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operation of law, without the prior written consent of the Company. This Agreement may be assigned at any time by the Company. The parties’ rights and obligations under this Agreement will bind and inure to the benefit of their respective successors, heirs, executors, and administrators and permitted assigns.</w:t>
      </w:r>
    </w:p>
    <w:p>
      <w:pPr>
        <w:spacing w:after="0" w:line="68" w:lineRule="exact"/>
        <w:rPr>
          <w:rFonts w:ascii="Times New Roman" w:cs="Times New Roman" w:eastAsia="Times New Roman" w:hAnsi="Times New Roman"/>
          <w:sz w:val="18"/>
          <w:szCs w:val="18"/>
          <w:b w:val="1"/>
          <w:bCs w:val="1"/>
          <w:color w:val="auto"/>
        </w:rPr>
      </w:pPr>
    </w:p>
    <w:p>
      <w:pPr>
        <w:ind w:left="4" w:right="40" w:hanging="4"/>
        <w:spacing w:after="0" w:line="259" w:lineRule="auto"/>
        <w:tabs>
          <w:tab w:leader="none" w:pos="274"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NDEMNIFICATION</w:t>
      </w:r>
      <w:r>
        <w:rPr>
          <w:rFonts w:ascii="Times New Roman" w:cs="Times New Roman" w:eastAsia="Times New Roman" w:hAnsi="Times New Roman"/>
          <w:sz w:val="18"/>
          <w:szCs w:val="18"/>
          <w:color w:val="auto"/>
        </w:rPr>
        <w:t>. The Company agrees to indemnify and hold harmless Consultant against any liability, damages, loss or expense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attorney fees and expenses of litigation) based on any third party claims or action arising out of the actions of the Company, its employees or any third party acting on behalf or under authorization from the Company in the performance of this Agreement or as a result of any products developed or made as a result of information or materials received from Consultant, except to the extent that such claim or action results from the negligent or intentionally wrongful acts of Consultant.</w:t>
      </w:r>
    </w:p>
    <w:p>
      <w:pPr>
        <w:spacing w:after="0" w:line="71" w:lineRule="exact"/>
        <w:rPr>
          <w:rFonts w:ascii="Times New Roman" w:cs="Times New Roman" w:eastAsia="Times New Roman" w:hAnsi="Times New Roman"/>
          <w:sz w:val="18"/>
          <w:szCs w:val="18"/>
          <w:b w:val="1"/>
          <w:bCs w:val="1"/>
          <w:color w:val="auto"/>
        </w:rPr>
      </w:pPr>
    </w:p>
    <w:p>
      <w:pPr>
        <w:ind w:left="4" w:right="80" w:hanging="4"/>
        <w:spacing w:after="0" w:line="259" w:lineRule="auto"/>
        <w:tabs>
          <w:tab w:leader="none" w:pos="264"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EGAL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QUITABLE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EMEDIES</w:t>
      </w:r>
      <w:r>
        <w:rPr>
          <w:rFonts w:ascii="Times New Roman" w:cs="Times New Roman" w:eastAsia="Times New Roman" w:hAnsi="Times New Roman"/>
          <w:sz w:val="18"/>
          <w:szCs w:val="18"/>
          <w:color w:val="auto"/>
        </w:rPr>
        <w:t>. Consultant hereby acknowledges and agrees that in the event of any breach of this Agreement by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the actual or threatened disclosure of Information or Service Product without the prior express written consent of the Company, the Company will suffer an irreparable injury, such that no remedy at law will afford it adequate protection against, or appropriate compensation for, such injury. Accordingly, Consultant hereby agrees that the Company shall be entitled to specific performance of Consultant’s obligations under this Agreement, as well as such further relief as may be granted by a court of competent jurisdiction.</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5" w:right="459" w:bottom="1440" w:gutter="0" w:footer="0" w:header="0"/>
        </w:sectPr>
      </w:pPr>
    </w:p>
    <w:bookmarkStart w:id="496" w:name="page497"/>
    <w:bookmarkEnd w:id="496"/>
    <w:p>
      <w:pPr>
        <w:jc w:val="both"/>
        <w:ind w:left="4" w:right="40" w:hanging="4"/>
        <w:spacing w:after="0" w:line="274" w:lineRule="auto"/>
        <w:tabs>
          <w:tab w:leader="none" w:pos="274" w:val="left"/>
        </w:tabs>
        <w:numPr>
          <w:ilvl w:val="0"/>
          <w:numId w:val="3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7"/>
          <w:szCs w:val="17"/>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17"/>
          <w:szCs w:val="17"/>
          <w:b w:val="1"/>
          <w:bCs w:val="1"/>
          <w:color w:val="auto"/>
        </w:rPr>
        <w:t>; 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3"/>
          <w:szCs w:val="13"/>
          <w:b w:val="1"/>
          <w:bCs w:val="1"/>
          <w:color w:val="auto"/>
        </w:rPr>
        <w:t>WAIVER</w:t>
      </w:r>
      <w:r>
        <w:rPr>
          <w:rFonts w:ascii="Times New Roman" w:cs="Times New Roman" w:eastAsia="Times New Roman" w:hAnsi="Times New Roman"/>
          <w:sz w:val="17"/>
          <w:szCs w:val="17"/>
          <w:color w:val="auto"/>
        </w:rPr>
        <w:t>. This Agreement shall be governed by and construed according to the laws of the State of California,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giving effect to any conflict of laws rules that would require application of other laws. If any provision of this Agreement is found by a court of competent jurisdiction to be unenforceable, that provision shall be severed and the remainder of this Agreement shall continue in full force and effect.</w:t>
      </w: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failure by either party to enforce any provision of this Agreement will not constitute a waiver of future enforcement of that or any other provision.</w:t>
      </w:r>
    </w:p>
    <w:p>
      <w:pPr>
        <w:spacing w:after="0" w:line="94" w:lineRule="exact"/>
        <w:rPr>
          <w:rFonts w:ascii="Times New Roman" w:cs="Times New Roman" w:eastAsia="Times New Roman" w:hAnsi="Times New Roman"/>
          <w:sz w:val="17"/>
          <w:szCs w:val="17"/>
          <w:b w:val="1"/>
          <w:bCs w:val="1"/>
          <w:color w:val="auto"/>
        </w:rPr>
      </w:pPr>
    </w:p>
    <w:p>
      <w:pPr>
        <w:ind w:left="4" w:right="740" w:hanging="4"/>
        <w:spacing w:after="0" w:line="286" w:lineRule="auto"/>
        <w:tabs>
          <w:tab w:leader="none" w:pos="274"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TTORNEYS</w:t>
      </w:r>
      <w:r>
        <w:rPr>
          <w:rFonts w:ascii="Times New Roman" w:cs="Times New Roman" w:eastAsia="Times New Roman" w:hAnsi="Times New Roman"/>
          <w:sz w:val="18"/>
          <w:szCs w:val="18"/>
          <w:b w:val="1"/>
          <w:bCs w:val="1"/>
          <w:color w:val="auto"/>
        </w:rPr>
        <w:t>’ F</w:t>
      </w:r>
      <w:r>
        <w:rPr>
          <w:rFonts w:ascii="Times New Roman" w:cs="Times New Roman" w:eastAsia="Times New Roman" w:hAnsi="Times New Roman"/>
          <w:sz w:val="14"/>
          <w:szCs w:val="14"/>
          <w:b w:val="1"/>
          <w:bCs w:val="1"/>
          <w:color w:val="auto"/>
        </w:rPr>
        <w:t>EES</w:t>
      </w:r>
      <w:r>
        <w:rPr>
          <w:rFonts w:ascii="Times New Roman" w:cs="Times New Roman" w:eastAsia="Times New Roman" w:hAnsi="Times New Roman"/>
          <w:sz w:val="18"/>
          <w:szCs w:val="18"/>
          <w:color w:val="auto"/>
        </w:rPr>
        <w:t>. If any action is necessary to enforce the terms of this Agreement, the substantially prevailing party will be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attorneys’ fees, costs and expenses in addition to any other relief to which such prevailing party may be entitled.</w:t>
      </w:r>
    </w:p>
    <w:p>
      <w:pPr>
        <w:spacing w:after="0" w:line="46" w:lineRule="exact"/>
        <w:rPr>
          <w:rFonts w:ascii="Times New Roman" w:cs="Times New Roman" w:eastAsia="Times New Roman" w:hAnsi="Times New Roman"/>
          <w:sz w:val="18"/>
          <w:szCs w:val="18"/>
          <w:b w:val="1"/>
          <w:bCs w:val="1"/>
          <w:color w:val="auto"/>
        </w:rPr>
      </w:pPr>
    </w:p>
    <w:p>
      <w:pPr>
        <w:ind w:left="4" w:right="60" w:hanging="4"/>
        <w:spacing w:after="0" w:line="268" w:lineRule="auto"/>
        <w:tabs>
          <w:tab w:leader="none" w:pos="274"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OMPLETE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NDERSTANDING</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4"/>
          <w:szCs w:val="14"/>
          <w:b w:val="1"/>
          <w:bCs w:val="1"/>
          <w:color w:val="auto"/>
        </w:rPr>
        <w:t>ODIFICATION</w:t>
      </w:r>
      <w:r>
        <w:rPr>
          <w:rFonts w:ascii="Times New Roman" w:cs="Times New Roman" w:eastAsia="Times New Roman" w:hAnsi="Times New Roman"/>
          <w:sz w:val="18"/>
          <w:szCs w:val="18"/>
          <w:color w:val="auto"/>
        </w:rPr>
        <w:t>. This Agreement, together with its Exhibit, constitutes the final, exclusive and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and agreement of the Company and Consultant with respect to the subject matter hereof. Any waiver, modification or amendment of any provision of this Agreement shall be effective only if in writing and signed by a Company officer.</w:t>
      </w:r>
    </w:p>
    <w:p>
      <w:pPr>
        <w:spacing w:after="0" w:line="62" w:lineRule="exact"/>
        <w:rPr>
          <w:rFonts w:ascii="Times New Roman" w:cs="Times New Roman" w:eastAsia="Times New Roman" w:hAnsi="Times New Roman"/>
          <w:sz w:val="18"/>
          <w:szCs w:val="18"/>
          <w:b w:val="1"/>
          <w:bCs w:val="1"/>
          <w:color w:val="auto"/>
        </w:rPr>
      </w:pPr>
    </w:p>
    <w:p>
      <w:pPr>
        <w:ind w:left="4" w:hanging="4"/>
        <w:spacing w:after="0" w:line="262" w:lineRule="auto"/>
        <w:tabs>
          <w:tab w:leader="none" w:pos="274"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OUNTERPARTS</w:t>
      </w:r>
      <w:r>
        <w:rPr>
          <w:rFonts w:ascii="Times New Roman" w:cs="Times New Roman" w:eastAsia="Times New Roman" w:hAnsi="Times New Roman"/>
          <w:sz w:val="18"/>
          <w:szCs w:val="18"/>
          <w:color w:val="auto"/>
        </w:rPr>
        <w:t>. Any notices required or permitted hereunder shall be given to the appropriate party at the address specified below 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address as the party shall specify in writing. Such notice shall be deemed given upon personal delivery to the appropriate address or sent by certified or registered mail, three days after the date of mailing. This Agreement may be executed in counterparts, each of which will be deemed an original, but all of which together will constitute one and the same instrument.</w:t>
      </w:r>
    </w:p>
    <w:p>
      <w:pPr>
        <w:sectPr>
          <w:pgSz w:w="11900" w:h="16838" w:orient="portrait"/>
          <w:cols w:equalWidth="0" w:num="1">
            <w:col w:w="10964"/>
          </w:cols>
          <w:pgMar w:left="436" w:top="265" w:right="49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Consultant:</w:t>
      </w:r>
    </w:p>
    <w:p>
      <w:pPr>
        <w:spacing w:after="0" w:line="129" w:lineRule="exact"/>
        <w:rPr>
          <w:sz w:val="20"/>
          <w:szCs w:val="20"/>
          <w:color w:val="auto"/>
        </w:rPr>
      </w:pPr>
    </w:p>
    <w:p>
      <w:pPr>
        <w:sectPr>
          <w:pgSz w:w="11900" w:h="16838" w:orient="portrait"/>
          <w:cols w:equalWidth="0" w:num="2">
            <w:col w:w="5024" w:space="720"/>
            <w:col w:w="5220"/>
          </w:cols>
          <w:pgMar w:left="436" w:top="265" w:right="49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Attn: Head of Legal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CC: Requestor Title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131 Oyster Point Blvd, Suite 200</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Attn: Charles Homcy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noted in preamble</w:t>
      </w:r>
    </w:p>
    <w:p>
      <w:pPr>
        <w:spacing w:after="0" w:line="596" w:lineRule="exact"/>
        <w:rPr>
          <w:sz w:val="20"/>
          <w:szCs w:val="20"/>
          <w:color w:val="auto"/>
        </w:rPr>
      </w:pPr>
    </w:p>
    <w:p>
      <w:pPr>
        <w:sectPr>
          <w:pgSz w:w="11900" w:h="16838" w:orient="portrait"/>
          <w:cols w:equalWidth="0" w:num="2">
            <w:col w:w="5024" w:space="720"/>
            <w:col w:w="5220"/>
          </w:cols>
          <w:pgMar w:left="436" w:top="265" w:right="499" w:bottom="1440" w:gutter="0" w:footer="0" w:header="0"/>
          <w:type w:val="continuous"/>
        </w:sectPr>
      </w:pPr>
    </w:p>
    <w:p>
      <w:pPr>
        <w:jc w:val="center"/>
        <w:ind w:right="-43"/>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964"/>
          </w:cols>
          <w:pgMar w:left="436" w:top="265" w:right="499" w:bottom="1440" w:gutter="0" w:footer="0" w:header="0"/>
          <w:type w:val="continuous"/>
        </w:sectPr>
      </w:pPr>
    </w:p>
    <w:bookmarkStart w:id="497" w:name="page498"/>
    <w:bookmarkEnd w:id="497"/>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hereto have executed this Agreement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MAZE THERAPEUTICS, INC.</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CONSULTANT FULL NAME</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Jason Coloma</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Homcy</w:t>
            </w:r>
          </w:p>
        </w:tc>
      </w:tr>
      <w:tr>
        <w:trPr>
          <w:trHeight w:val="205"/>
        </w:trPr>
        <w:tc>
          <w:tcPr>
            <w:tcW w:w="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83"/>
              </w:rPr>
              <w:t>Name:</w:t>
            </w:r>
          </w:p>
        </w:tc>
        <w:tc>
          <w:tcPr>
            <w:tcW w:w="474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Jason Coloma</w:t>
            </w:r>
          </w:p>
        </w:tc>
        <w:tc>
          <w:tcPr>
            <w:tcW w:w="112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w w:val="83"/>
              </w:rPr>
              <w:t>Name:</w:t>
            </w:r>
          </w:p>
        </w:tc>
        <w:tc>
          <w:tcPr>
            <w:tcW w:w="474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Charles Homcy</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Title: Consultant</w:t>
            </w:r>
          </w:p>
        </w:tc>
      </w:tr>
    </w:tbl>
    <w:p>
      <w:pPr>
        <w:sectPr>
          <w:pgSz w:w="11900" w:h="16838" w:orient="portrait"/>
          <w:cols w:equalWidth="0" w:num="1">
            <w:col w:w="11020"/>
          </w:cols>
          <w:pgMar w:left="440" w:top="265" w:right="439" w:bottom="1440" w:gutter="0" w:footer="0" w:header="0"/>
        </w:sectPr>
      </w:pPr>
    </w:p>
    <w:bookmarkStart w:id="498" w:name="page499"/>
    <w:bookmarkEnd w:id="4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DEFEND TRADE SECRETS ACT, 18 U.S. CODE § 1833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 Code Section 1833 provides as follows:</w:t>
      </w:r>
    </w:p>
    <w:p>
      <w:pPr>
        <w:spacing w:after="0" w:line="113" w:lineRule="exact"/>
        <w:rPr>
          <w:sz w:val="20"/>
          <w:szCs w:val="20"/>
          <w:color w:val="auto"/>
        </w:rPr>
      </w:pPr>
    </w:p>
    <w:p>
      <w:pPr>
        <w:ind w:left="440"/>
        <w:spacing w:after="0" w:line="259" w:lineRule="auto"/>
        <w:rPr>
          <w:sz w:val="20"/>
          <w:szCs w:val="20"/>
          <w:color w:val="auto"/>
        </w:rPr>
      </w:pPr>
      <w:r>
        <w:rPr>
          <w:rFonts w:ascii="Times New Roman" w:cs="Times New Roman" w:eastAsia="Times New Roman" w:hAnsi="Times New Roman"/>
          <w:sz w:val="18"/>
          <w:szCs w:val="18"/>
          <w:b w:val="1"/>
          <w:bCs w:val="1"/>
          <w:color w:val="auto"/>
        </w:rPr>
        <w:t>Immunity From Liability For Confidential Disclosure Of A Trade Secret To The Government Or In A Court Filing</w:t>
      </w:r>
      <w:r>
        <w:rPr>
          <w:rFonts w:ascii="Times New Roman" w:cs="Times New Roman" w:eastAsia="Times New Roman" w:hAnsi="Times New Roman"/>
          <w:sz w:val="18"/>
          <w:szCs w:val="18"/>
          <w:color w:val="auto"/>
        </w:rPr>
        <w:t>. An individual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71" w:lineRule="exact"/>
        <w:rPr>
          <w:sz w:val="20"/>
          <w:szCs w:val="20"/>
          <w:color w:val="auto"/>
        </w:rPr>
      </w:pPr>
    </w:p>
    <w:p>
      <w:pPr>
        <w:ind w:left="440" w:right="160"/>
        <w:spacing w:after="0" w:line="262" w:lineRule="auto"/>
        <w:rPr>
          <w:sz w:val="20"/>
          <w:szCs w:val="20"/>
          <w:color w:val="auto"/>
        </w:rPr>
      </w:pPr>
      <w:r>
        <w:rPr>
          <w:rFonts w:ascii="Times New Roman" w:cs="Times New Roman" w:eastAsia="Times New Roman" w:hAnsi="Times New Roman"/>
          <w:sz w:val="18"/>
          <w:szCs w:val="18"/>
          <w:b w:val="1"/>
          <w:bCs w:val="1"/>
          <w:color w:val="auto"/>
        </w:rPr>
        <w:t>Use of Trade Secret Information in Anti-Retaliation Lawsuit</w:t>
      </w:r>
      <w:r>
        <w:rPr>
          <w:rFonts w:ascii="Times New Roman" w:cs="Times New Roman" w:eastAsia="Times New Roman" w:hAnsi="Times New Roman"/>
          <w:sz w:val="18"/>
          <w:szCs w:val="18"/>
          <w:color w:val="auto"/>
        </w:rPr>
        <w:t>. An individual who files a lawsuit for retaliation by an employer for reporting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ectPr>
          <w:pgSz w:w="11900" w:h="16838" w:orient="portrait"/>
          <w:cols w:equalWidth="0" w:num="1">
            <w:col w:w="11000"/>
          </w:cols>
          <w:pgMar w:left="440" w:top="265" w:right="459" w:bottom="1440" w:gutter="0" w:footer="0" w:header="0"/>
        </w:sectPr>
      </w:pPr>
    </w:p>
    <w:bookmarkStart w:id="499" w:name="page500"/>
    <w:bookmarkEnd w:id="499"/>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ADVISOR AGREEMENT</w:t>
      </w:r>
    </w:p>
    <w:p>
      <w:pPr>
        <w:spacing w:after="0" w:line="12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THIS ADVISOR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July 1, 2021 by and between Richard Scheller, an individual (“</w:t>
      </w:r>
      <w:r>
        <w:rPr>
          <w:rFonts w:ascii="Times New Roman" w:cs="Times New Roman" w:eastAsia="Times New Roman" w:hAnsi="Times New Roman"/>
          <w:sz w:val="18"/>
          <w:szCs w:val="18"/>
          <w:u w:val="single" w:color="auto"/>
          <w:color w:val="auto"/>
        </w:rPr>
        <w:t>Advisor</w:t>
      </w:r>
      <w:r>
        <w:rPr>
          <w:rFonts w:ascii="Times New Roman" w:cs="Times New Roman" w:eastAsia="Times New Roman" w:hAnsi="Times New Roman"/>
          <w:sz w:val="18"/>
          <w:szCs w:val="18"/>
          <w:color w:val="auto"/>
        </w:rPr>
        <w:t>”), whose address is set forth on the last page below, and Maze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whose address is set forth on the last page below.</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and Advisor agree as follows:</w:t>
      </w:r>
    </w:p>
    <w:p>
      <w:pPr>
        <w:spacing w:after="0" w:line="221" w:lineRule="exact"/>
        <w:rPr>
          <w:sz w:val="20"/>
          <w:szCs w:val="20"/>
          <w:color w:val="auto"/>
        </w:rPr>
      </w:pPr>
    </w:p>
    <w:p>
      <w:pPr>
        <w:ind w:left="4"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Services</w:t>
      </w:r>
      <w:r>
        <w:rPr>
          <w:rFonts w:ascii="Times New Roman" w:cs="Times New Roman" w:eastAsia="Times New Roman" w:hAnsi="Times New Roman"/>
          <w:sz w:val="18"/>
          <w:szCs w:val="18"/>
          <w:color w:val="auto"/>
        </w:rPr>
        <w:t>. The Company hereby engages Advisor to provide to the Company, and Advisor agrees to provide to the Company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and conditions of this Agreement, the services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incorporated herein by reference and such other services for which the parties may mutually agree from time to time (hereinafter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Advisor agrees to make herself available to render the Services at such times and locations as may be mutually agreed, from time to time, as requested by the Company. Advisor’s title shall be “Special Advisor” and “Member of Scientific Advisory Board” for so long as he is providing the Services.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100" w:firstLine="987"/>
        <w:spacing w:after="0" w:line="272" w:lineRule="auto"/>
        <w:tabs>
          <w:tab w:leader="none" w:pos="1240" w:val="left"/>
        </w:tabs>
        <w:numPr>
          <w:ilvl w:val="1"/>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 shall receive $60,000 annually, payable in equal monthly payments. Advisor shall invoice the Company monthly, setting forth in such reasonable detail as may be required by the Company the actual Services rendered and time spent thereon, as well as any expenses incurred in accordance with Section 3 of this Agreement for which reimbursement is sought. All undisputed payments will be made by Company within forty-five</w:t>
      </w:r>
    </w:p>
    <w:p>
      <w:pPr>
        <w:spacing w:after="0" w:line="1"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Company’s receipt of Advisor’s invoice.</w:t>
      </w:r>
    </w:p>
    <w:p>
      <w:pPr>
        <w:spacing w:after="0" w:line="98"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50"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as consideration for the Services, the Company will grant Advisor 78,185 options to purchase shares of common stock of the Company,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under the Company’s 2019 Equity Incentive Plan, at a per share purchase price equal to the fair market value of a share of Common Stock as determined by the Board on the date of such grant. One twelfth (1/12) of the shares will vest monthly over the one-year period immediately following the date of grant, subject to Advisor’s continued performance of the Services with the Company. In consideration for the Services provided to the Company, Advisor shall also receive cash compensation in the manner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83" w:lineRule="exact"/>
        <w:rPr>
          <w:sz w:val="20"/>
          <w:szCs w:val="20"/>
          <w:color w:val="auto"/>
        </w:rPr>
      </w:pPr>
    </w:p>
    <w:p>
      <w:pPr>
        <w:ind w:left="4" w:right="2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The Company shall reimburse Advisor for reasonable necessary out-of-pocket expenses incurred by Advisor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the Services, provided such out-of-pocket expenses are approved in advance by an officer of the Company, and are supported by reasonable documentation. Such expenses shall include travel expenses of Advisor to the Company’s offices. Where travel expenses shall include the cost of airfare, Advisor shall obtain approval in advance by an officer of the Company.</w:t>
      </w:r>
    </w:p>
    <w:p>
      <w:pPr>
        <w:sectPr>
          <w:pgSz w:w="11900" w:h="16838" w:orient="portrait"/>
          <w:cols w:equalWidth="0" w:num="1">
            <w:col w:w="11024"/>
          </w:cols>
          <w:pgMar w:left="436" w:top="117" w:right="439" w:bottom="1440" w:gutter="0" w:footer="0" w:header="0"/>
        </w:sectPr>
      </w:pPr>
    </w:p>
    <w:bookmarkStart w:id="500" w:name="page501"/>
    <w:bookmarkEnd w:id="500"/>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Times New Roman" w:cs="Times New Roman" w:eastAsia="Times New Roman" w:hAnsi="Times New Roman"/>
          <w:sz w:val="18"/>
          <w:szCs w:val="18"/>
          <w:b w:val="1"/>
          <w:bCs w:val="1"/>
          <w:u w:val="single" w:color="auto"/>
          <w:color w:val="auto"/>
        </w:rPr>
        <w:t>Independent Contractor</w:t>
      </w:r>
      <w:r>
        <w:rPr>
          <w:rFonts w:ascii="Times New Roman" w:cs="Times New Roman" w:eastAsia="Times New Roman" w:hAnsi="Times New Roman"/>
          <w:sz w:val="18"/>
          <w:szCs w:val="18"/>
          <w:color w:val="auto"/>
        </w:rPr>
        <w:t>. Advisor is not, nor shall Advisor be deemed to be at any time during the term of this Agreement,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of the Company, and therefore Advisor shall not be entitled to any benefits provided by the Company to its employees (including such items as health and disability benefits). Advisor’s status and relationship with the Company shall be that of an independent contractor and consultant. Advisor shall not state or imply, directly or indirectly, that Advisor is empowered to bind the Company without the Company’s prior written consent. Nothing herein shall create, expressly or by implication, a partnership, joint venture or other association between the parties. Advisor will be solely responsible for payment of all charges and taxes arising from his or her relationship to the Company as an Advisor.</w:t>
      </w:r>
    </w:p>
    <w:p>
      <w:pPr>
        <w:spacing w:after="0" w:line="182"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Cancellation of Services</w:t>
      </w:r>
      <w:r>
        <w:rPr>
          <w:rFonts w:ascii="Times New Roman" w:cs="Times New Roman" w:eastAsia="Times New Roman" w:hAnsi="Times New Roman"/>
          <w:sz w:val="18"/>
          <w:szCs w:val="18"/>
          <w:color w:val="auto"/>
        </w:rPr>
        <w:t>. Either party may at any time terminate the performance of all or any portion of the Services to be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upon thirty (30) days prior written notice to the other stating its intention to terminate and specifying the portion of the Services to be terminated and the date upon which such termination shall be effective.</w:t>
      </w:r>
    </w:p>
    <w:p>
      <w:pPr>
        <w:spacing w:after="0" w:line="17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Term of Agreement; Termination</w:t>
      </w:r>
      <w:r>
        <w:rPr>
          <w:rFonts w:ascii="Times New Roman" w:cs="Times New Roman" w:eastAsia="Times New Roman" w:hAnsi="Times New Roman"/>
          <w:sz w:val="18"/>
          <w:szCs w:val="18"/>
          <w:color w:val="auto"/>
        </w:rPr>
        <w:t>. The term of this Agreement and Advisor’s Services hereunder shall commence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and, unless terminated earlier as a result of the death, physical incapacity or mental incompetence of Advisor, which shall result in automatic termination, or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shall continue in effect for a period of one (1) year commencing on the date of this Agreement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The term of this Agreement shall automatically be extended beyond the Initial Term for one or more additional year periods (individually, an “</w:t>
      </w:r>
      <w:r>
        <w:rPr>
          <w:rFonts w:ascii="Times New Roman" w:cs="Times New Roman" w:eastAsia="Times New Roman" w:hAnsi="Times New Roman"/>
          <w:sz w:val="18"/>
          <w:szCs w:val="18"/>
          <w:u w:val="single" w:color="auto"/>
          <w:color w:val="auto"/>
        </w:rPr>
        <w:t>Additional Term</w:t>
      </w:r>
      <w:r>
        <w:rPr>
          <w:rFonts w:ascii="Times New Roman" w:cs="Times New Roman" w:eastAsia="Times New Roman" w:hAnsi="Times New Roman"/>
          <w:sz w:val="18"/>
          <w:szCs w:val="18"/>
          <w:color w:val="auto"/>
        </w:rPr>
        <w:t xml:space="preserve">”), unless either party desires not to extend the term of this Agreement for an Additional Term, in which case such party shall give the other party at least thirty (30) days’ prior written notice of the intention not to extend the Agreement for an Additional Term. Except as otherwise explicitly provided herein, the provisions of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of this Agreement shall survive the termination or expiration of this Agreement for any reason.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Representations and Warranties of Adviso</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Advisor represents and warrants to the Company that:</w:t>
      </w:r>
    </w:p>
    <w:p>
      <w:pPr>
        <w:spacing w:after="0" w:line="121" w:lineRule="exact"/>
        <w:rPr>
          <w:sz w:val="20"/>
          <w:szCs w:val="20"/>
          <w:color w:val="auto"/>
        </w:rPr>
      </w:pPr>
    </w:p>
    <w:p>
      <w:pPr>
        <w:ind w:right="600" w:firstLine="987"/>
        <w:spacing w:after="0" w:line="282" w:lineRule="auto"/>
        <w:tabs>
          <w:tab w:leader="none" w:pos="120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information, know-how, knowledge or data disclosed by Advisor to the Company in the performance of this Agreement, Advisor has the full and unrestricted right to disclose the same; and</w:t>
      </w:r>
    </w:p>
    <w:p>
      <w:pPr>
        <w:spacing w:after="0" w:line="53" w:lineRule="exact"/>
        <w:rPr>
          <w:rFonts w:ascii="Times New Roman" w:cs="Times New Roman" w:eastAsia="Times New Roman" w:hAnsi="Times New Roman"/>
          <w:sz w:val="18"/>
          <w:szCs w:val="18"/>
          <w:color w:val="auto"/>
        </w:rPr>
      </w:pPr>
    </w:p>
    <w:p>
      <w:pPr>
        <w:jc w:val="both"/>
        <w:ind w:firstLine="987"/>
        <w:spacing w:after="0" w:line="261" w:lineRule="auto"/>
        <w:tabs>
          <w:tab w:leader="none" w:pos="1256"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Services by Advisor to the Company does not and will not breach any agreement with any employer, former employer or other third party, including any noncompete agreement or any agreement to keep in confidence or refrain from using information acquired by Advisor prior to her Services to the Company, and Advisor has not entered into, and will not enter into, any agreement, either written or oral, in conflict with her obligations under this Agreement.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5" w:right="479" w:bottom="1440" w:gutter="0" w:footer="0" w:header="0"/>
        </w:sectPr>
      </w:pPr>
    </w:p>
    <w:bookmarkStart w:id="501" w:name="page502"/>
    <w:bookmarkEnd w:id="50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b w:val="1"/>
          <w:bCs w:val="1"/>
          <w:u w:val="single" w:color="auto"/>
          <w:color w:val="auto"/>
        </w:rPr>
        <w:t>Covenants of Advisor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2" w:lineRule="auto"/>
        <w:tabs>
          <w:tab w:leader="none" w:pos="123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17 hereof, Advisor agrees that during the term of this Agreement, Advisor shall not become employed by or perform consulting or advisory services, which includes serving as a member of another scientific advisory board, for any person, association, company, entity or other for profit organization (any of the foregoing, the “</w:t>
      </w:r>
      <w:r>
        <w:rPr>
          <w:rFonts w:ascii="Times New Roman" w:cs="Times New Roman" w:eastAsia="Times New Roman" w:hAnsi="Times New Roman"/>
          <w:sz w:val="18"/>
          <w:szCs w:val="18"/>
          <w:u w:val="single" w:color="auto"/>
          <w:color w:val="auto"/>
        </w:rPr>
        <w:t>Activities</w:t>
      </w:r>
      <w:r>
        <w:rPr>
          <w:rFonts w:ascii="Times New Roman" w:cs="Times New Roman" w:eastAsia="Times New Roman" w:hAnsi="Times New Roman"/>
          <w:sz w:val="18"/>
          <w:szCs w:val="18"/>
          <w:color w:val="auto"/>
        </w:rPr>
        <w:t xml:space="preserve">”) that is, or, as a result of such Activities, would become, a competitor in the Field (as defined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below) or otherwise would create for Advisor a conflict of interest with Advisor’s obligations to the Company. Advisor has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any person, association, company, entity or other organization (whether for profit or not for profit) that Advisor currently performs consulting or advisory services for and agrees to notify the Company in advance of any new consulting or advisory services engagements, other than ad hoc consultation, to allow the Company to verify that there are no conflicts between Advisor’s Activities and those of the Company. After receipt of such notice from Advisor or upon learning of any such Activities, the Company shall have the right, but not the obligation, to terminate this Agreement and Advisor’s relationship with the Company for convenience, and such termination will be deemed effective from the day such notice was provided to the Company or, if Advisor provided no notice, from the time Advisor commenced the Activities. For the avoidance of doubt, the parties agree that nothing in this Section 8 prohibits Advisor from engaging in academic or non-profit research work in collaboration with academic or for- profit institutions. Advisor agrees that he shall not use any of Institution’s (as defined below) funding, materials or facilities in the creation or development of any intellectual property rights or other similar, corresponding or equivalent rights of the Company, including, without limitation, patents and patent applications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Advisor agrees that he will not perform services for any Institution which will vest any right, title or interest of such Institution in or to any Company Intellectual Property. Advisor is not, nor will become, party to any contract, license or agreement with any Institution that grants to such entity any right or license with respect to Company Intellectual Property. For the purposes hereof, “</w:t>
      </w:r>
      <w:r>
        <w:rPr>
          <w:rFonts w:ascii="Times New Roman" w:cs="Times New Roman" w:eastAsia="Times New Roman" w:hAnsi="Times New Roman"/>
          <w:sz w:val="18"/>
          <w:szCs w:val="18"/>
          <w:u w:val="single" w:color="auto"/>
          <w:color w:val="auto"/>
        </w:rPr>
        <w:t>Institution</w:t>
      </w:r>
      <w:r>
        <w:rPr>
          <w:rFonts w:ascii="Times New Roman" w:cs="Times New Roman" w:eastAsia="Times New Roman" w:hAnsi="Times New Roman"/>
          <w:sz w:val="18"/>
          <w:szCs w:val="18"/>
          <w:color w:val="auto"/>
        </w:rPr>
        <w:t>” means any governmental entity, educational institution (including any university or college), research center or not-for-profit institution.</w:t>
      </w:r>
    </w:p>
    <w:p>
      <w:pPr>
        <w:spacing w:after="0" w:line="83"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Advisor’s provision of Services to the Company, Advisor will not improperly make use of, or disclose, any information or trade secrets of any former or concurrent employer or other third party, nor will Advisor bring onto the premises of Company or use any unpublished documents or any property belonging to any concurrent or former employer or other third party, in violation of any lawful agreements with that former or concurrent employer or third party. Advisor will use in the delivery of the Services only information that is generally known and used by persons with training and experience comparable to her own, is common knowledge in the industry or otherwise legally in the public domain, or is otherwise provided or developed by Company.</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 will comply with all laws and regulations applicable to Advisor’s obligations under this Agreement.</w:t>
      </w:r>
    </w:p>
    <w:p>
      <w:pPr>
        <w:spacing w:after="0" w:line="221"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Advisor agrees to hold all Confidential Information (as hereinafter defined) of the Company (or other parties whose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the Company has in its possession under obligations of confidentiality) in trust and strict confidence and, except as may be authorized by the Company in writing, shall not use for any purpose other than the performance of the Services under this Agreement, nor disclose such Confidential Information to any person, association, company, entity or other organization (whether for profit or not for profit).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5" w:right="439" w:bottom="1440" w:gutter="0" w:footer="0" w:header="0"/>
        </w:sectPr>
      </w:pPr>
    </w:p>
    <w:bookmarkStart w:id="502" w:name="page503"/>
    <w:bookmarkEnd w:id="50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herein,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shall mean all knowledge and information which Advisor has acquired or may acquire as a result of, or related to, his or her relationship with the Company, including but not limited to, information concerning the Company’s business, finances, operations, strategic planning, research and development activities, products, molecules, organisms, laboratory materials, prototypes, cell lines, inventions, research developments, improvements, processes, trade secrets, services, cost and pricing policies, formulae, chemical structures, diagrams, schematics, notes, data, memoranda, methods, know- how, techniques, inventions, and marketing strategies. Confidential Information shall also include information received by the Company from third parties under an obligation of confidentiality. Notwithstanding the foregoing sentence, but subject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such Confidential Information does not include (i) information which is or becomes publicly available (except as may be disclosed by Advisor in violation of this Agreement), (ii) information acquired by Advisor from a third-party source other than the Company or any of its employees, officers, directors, Scientific Advisory Board members, affiliates, agents or shareholders, which source legally acquired such information under no obligation of confidentiality, or (iii) information of a general nature regarding the Field known to Advisor prior to advising the Company or acquired by Advisor during the term hereof by reason of his or her other business activities; (iv) information that was or is independently developed by Advisor without reference to Company Confidential Information; or (vi) information that is required to be disclosed by law, regulation or judicial or administrative process. For the purposes hereof, the “</w:t>
      </w:r>
      <w:r>
        <w:rPr>
          <w:rFonts w:ascii="Times New Roman" w:cs="Times New Roman" w:eastAsia="Times New Roman" w:hAnsi="Times New Roman"/>
          <w:sz w:val="18"/>
          <w:szCs w:val="18"/>
          <w:u w:val="single" w:color="auto"/>
          <w:color w:val="auto"/>
        </w:rPr>
        <w:t>Field</w:t>
      </w:r>
      <w:r>
        <w:rPr>
          <w:rFonts w:ascii="Times New Roman" w:cs="Times New Roman" w:eastAsia="Times New Roman" w:hAnsi="Times New Roman"/>
          <w:sz w:val="18"/>
          <w:szCs w:val="18"/>
          <w:color w:val="auto"/>
        </w:rPr>
        <w:t xml:space="preserve">” means target identification and target validation through the use of genetic tools in diseases of interest to the Company as detailed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as subject to periodic revision as agreed upon in writing by Advisor and the Company.</w:t>
      </w:r>
    </w:p>
    <w:p>
      <w:pPr>
        <w:spacing w:after="0" w:line="19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Ownership of Work Product</w:t>
      </w:r>
      <w:r>
        <w:rPr>
          <w:rFonts w:ascii="Times New Roman" w:cs="Times New Roman" w:eastAsia="Times New Roman" w:hAnsi="Times New Roman"/>
          <w:sz w:val="18"/>
          <w:szCs w:val="18"/>
          <w:color w:val="auto"/>
        </w:rPr>
        <w:t>. Advisor shall communicate in writing and disclose to the Company promptly and fully all concepts,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inventions, formulae, molecules, chemical structures, organisms, trade secrets, know-how, technical or business innovations, writings or other works of authorship and patents or patent rights created, reduced to practice, or conceived by Advisor during the term of this Agreement (whether or not patentable or copyrightable and whether made solely by Advisor or jointly with others) which result from the Services that Advisor performs for the Company or which result from information derived from the Company or its employees, officers, directors, Scientific Advisory Board members, affiliates, agents or shareholders (all of the foregoing herein collectively and individually called “</w:t>
      </w:r>
      <w:r>
        <w:rPr>
          <w:rFonts w:ascii="Times New Roman" w:cs="Times New Roman" w:eastAsia="Times New Roman" w:hAnsi="Times New Roman"/>
          <w:sz w:val="18"/>
          <w:szCs w:val="18"/>
          <w:u w:val="single" w:color="auto"/>
          <w:color w:val="auto"/>
        </w:rPr>
        <w:t>Works</w:t>
      </w:r>
      <w:r>
        <w:rPr>
          <w:rFonts w:ascii="Times New Roman" w:cs="Times New Roman" w:eastAsia="Times New Roman" w:hAnsi="Times New Roman"/>
          <w:sz w:val="18"/>
          <w:szCs w:val="18"/>
          <w:color w:val="auto"/>
        </w:rPr>
        <w:t xml:space="preserve">”). Advisor will perform Advisor’s obligations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without further compensation.</w:t>
      </w:r>
    </w:p>
    <w:p>
      <w:pPr>
        <w:spacing w:after="0" w:line="18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Works are being created at the instance of the Company and shall be deemed to be </w:t>
      </w:r>
      <w:r>
        <w:rPr>
          <w:rFonts w:ascii="Times New Roman" w:cs="Times New Roman" w:eastAsia="Times New Roman" w:hAnsi="Times New Roman"/>
          <w:sz w:val="18"/>
          <w:szCs w:val="18"/>
          <w:i w:val="1"/>
          <w:iCs w:val="1"/>
          <w:color w:val="auto"/>
        </w:rPr>
        <w:t>“works made for hire”</w:t>
      </w:r>
      <w:r>
        <w:rPr>
          <w:rFonts w:ascii="Times New Roman" w:cs="Times New Roman" w:eastAsia="Times New Roman" w:hAnsi="Times New Roman"/>
          <w:sz w:val="18"/>
          <w:szCs w:val="18"/>
          <w:color w:val="auto"/>
        </w:rPr>
        <w:t xml:space="preserve"> under the United States copyright laws, unless such laws are inapplicable by their specific terms. If such laws are inapplicable or in the event that the Works, or any part thereof, are determined by a court of competent jurisdiction not to be a work made for hire under the United States copyright laws, Advisor hereby irrevocably and unconditionally assigns and transfers and to the extent any such assignment cannot be made at present, will assign and transfer to the Company all Works, and this Agreement shall operate as an irrevocable and unconditional assignment by Advisor to the Company of, all of Advisor’s right, title and interest (including, without limitation all rights in and to the copyrights throughout the world, including the right to prepare derivative works and the right to all renewals and extensions) in the Works in perpetuity. The Company shall have the right to use the whole Works, any part or parts thereof, or none of the Works, in its sole discretion. All original material submitted by Advisor to the Company as part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9" w:right="459" w:bottom="1440" w:gutter="0" w:footer="0" w:header="0"/>
        </w:sectPr>
      </w:pPr>
    </w:p>
    <w:bookmarkStart w:id="503" w:name="page504"/>
    <w:bookmarkEnd w:id="503"/>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Works or as part of the process of creating the Works shall be the property of the Company whether or not the Company uses such materials. No rights or licenses are reserved to or implied for Advisor in the Works or any such materials. At the Company’s request, Advisor shall promptly execute documents evidencing or in connection with the Company’s ownership or registration of the Works, including copyright ownership or registration, in accordance with the terms of this Agreement.</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Advisor agrees to cooperate with the Company to perfect title to the Works, to execute or provide upon request any assignments, applications for letters patent of the United States, letters patent, any legal equivalent thereof of any foreign country or any other lawful documents and likewise to perform any other lawful acts which may be deemed necessary to secure fully the Works to the Company, its successors, assigns, and legal representatives, but at its or their expense and charge, including the execution of applications for patents in foreign countries, and the execution of substitution, reissue, divisional or continuation applications, and/or preliminary or other statements and the giving of testimony in any interference or other proceeding in which the Works or any application or patent directed thereto may be involved.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The Company Data</w:t>
      </w:r>
      <w:r>
        <w:rPr>
          <w:rFonts w:ascii="Times New Roman" w:cs="Times New Roman" w:eastAsia="Times New Roman" w:hAnsi="Times New Roman"/>
          <w:sz w:val="18"/>
          <w:szCs w:val="18"/>
          <w:color w:val="auto"/>
        </w:rPr>
        <w:t>. Any data or other materials furnished by the Company for use by Advisor in connection with the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Data</w:t>
      </w:r>
      <w:r>
        <w:rPr>
          <w:rFonts w:ascii="Times New Roman" w:cs="Times New Roman" w:eastAsia="Times New Roman" w:hAnsi="Times New Roman"/>
          <w:sz w:val="18"/>
          <w:szCs w:val="18"/>
          <w:color w:val="auto"/>
        </w:rPr>
        <w:t xml:space="preserve">”) shall remain the sole property of the Company and will be held in trust and confidence by Advisor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Information.</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Company may require the return of Company Data furnished to Advisor upon written notice to Advisor requesting such return, and in any event Advisor shall promptly return such Company Data upon termination of this Agreement.</w:t>
      </w:r>
    </w:p>
    <w:p>
      <w:pPr>
        <w:spacing w:after="0" w:line="158"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Advertising</w:t>
      </w:r>
      <w:r>
        <w:rPr>
          <w:rFonts w:ascii="Times New Roman" w:cs="Times New Roman" w:eastAsia="Times New Roman" w:hAnsi="Times New Roman"/>
          <w:sz w:val="18"/>
          <w:szCs w:val="18"/>
          <w:color w:val="auto"/>
        </w:rPr>
        <w:t>. Advisor shall not in any way or in any form publicize or advertise in any manner the fact that Advisor is performing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without the prior written consent of the Company. The Company may freely publicly disclose that Advisor is a consultant of the Company and may freely publicly disclose the Services performed by Advisor pursuant to this Agreement.</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Restriction on Solicitation</w:t>
      </w:r>
      <w:r>
        <w:rPr>
          <w:rFonts w:ascii="Times New Roman" w:cs="Times New Roman" w:eastAsia="Times New Roman" w:hAnsi="Times New Roman"/>
          <w:sz w:val="18"/>
          <w:szCs w:val="18"/>
          <w:color w:val="auto"/>
        </w:rPr>
        <w:t>. During the term of this Agreement and for a period of one (1) year thereafter, Advisor shall not recruit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solicit, entice or induce any employees, consultants, customers, vendors, contract research organizations or contract manufacturing organizations of the Company or any of its subsidiaries or affiliates to terminate their employment or consulting relationship with, or otherwise cease their relationships with the Company or any of its subsidiary or affiliates.</w:t>
      </w:r>
    </w:p>
    <w:p>
      <w:pPr>
        <w:spacing w:after="0" w:line="176" w:lineRule="exact"/>
        <w:rPr>
          <w:sz w:val="20"/>
          <w:szCs w:val="20"/>
          <w:color w:val="auto"/>
        </w:rPr>
      </w:pPr>
    </w:p>
    <w:p>
      <w:pPr>
        <w:ind w:right="10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14. </w:t>
      </w:r>
      <w:r>
        <w:rPr>
          <w:rFonts w:ascii="Times New Roman" w:cs="Times New Roman" w:eastAsia="Times New Roman" w:hAnsi="Times New Roman"/>
          <w:sz w:val="17"/>
          <w:szCs w:val="17"/>
          <w:b w:val="1"/>
          <w:bCs w:val="1"/>
          <w:u w:val="single" w:color="auto"/>
          <w:color w:val="auto"/>
        </w:rPr>
        <w:t>Indemnification/Release</w:t>
      </w:r>
      <w:r>
        <w:rPr>
          <w:rFonts w:ascii="Times New Roman" w:cs="Times New Roman" w:eastAsia="Times New Roman" w:hAnsi="Times New Roman"/>
          <w:sz w:val="17"/>
          <w:szCs w:val="17"/>
          <w:color w:val="auto"/>
        </w:rPr>
        <w:t>. Advisor agrees to take all necessary precautions to prevent injury to any persons (including employees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or damage to property (including the Company’s property) during the term of this Agreement. Advisor agrees to indemnify and hold the Company harmless from and against any and all claims, demands, liabilities, damages, costs, or expenses (including without limitation attorney’s fees, back wages, liquidated damages, penalties or interest) resulting from Advisor’s failure to collect, withhold, or pay any and all federal or state taxes required to be withheld or paid by employers or employees, including, without limitation, any and all income tax, social security, and F.U.T.A. taxes.</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9" w:right="499" w:bottom="1440" w:gutter="0" w:footer="0" w:header="0"/>
        </w:sectPr>
      </w:pPr>
    </w:p>
    <w:bookmarkStart w:id="504" w:name="page505"/>
    <w:bookmarkEnd w:id="504"/>
    <w:p>
      <w:pPr>
        <w:ind w:left="4" w:right="4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15. </w:t>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 This Agreement together with all exhibits hereto, including the Purchase Agreement, contains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of the parties with respect to the matters contained herein, and supersedes all proposals and agreements, written or oral, and all other communications between the parties relating to the subject matter of this Agreement. The Company shall have the right to assign this Agreement to its successors and assigns and this Agreement shall inure to the benefit of and be enforceable by said successors or assigns. Advisor may not assign this Agreement or any rights or obligations hereunder without the prior written consent of the Company and this Agreement shall be binding upon Advisor’s heirs, executors, administrators and legal representatives. This Agreement shall be governed by and construed in accordance with the laws of the State of California without regard to its conflict of laws rules that would require the application of laws of any other jurisdiction. This Agreement may not be modified or amended except in writing signed or executed by Advisor and the Company. In the event any provision of this Agreement is held to be unenforceable or invalid because it is overbroad or too far reaching, such provision shall be deemed to be revised so that it applies to the maximum extent permitted by law. Advisor acknowledges that a breach of any of the promises or agreements contained herein will result in irreparable and continuing damage to the Company for which there will be no adequate remedy at law, and the Company shall be entitled to seek injunctive relief or a decree for specific performance, and such other relief as may be proper (including monetary damages, if appropriate). All notices under this Agreement will be effective (i) upon personal or facsimile delivery, (ii) two (2) business days after deposit in the United States mail as registered or certified mail postage fully prepaid, or (iii) one (1) business day after pickup by any overnight commercial courier service, in each case sent or addressed to the Company at its principal office or to Advisor at the address set forth on the signature page hereto, as the case may be, or at such other address as either may from time to time designate in writing to the other.</w:t>
      </w:r>
    </w:p>
    <w:p>
      <w:pPr>
        <w:spacing w:after="0" w:line="19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u w:val="single" w:color="auto"/>
          <w:color w:val="auto"/>
        </w:rPr>
        <w:t>Conflicts</w:t>
      </w:r>
      <w:r>
        <w:rPr>
          <w:rFonts w:ascii="Times New Roman" w:cs="Times New Roman" w:eastAsia="Times New Roman" w:hAnsi="Times New Roman"/>
          <w:sz w:val="18"/>
          <w:szCs w:val="18"/>
          <w:color w:val="auto"/>
        </w:rPr>
        <w:t>. The Company acknowledges that as of the date first written above Advisor is an employee of the Institution. Nothing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construed to conflict with Advisor’s obligations and duties as such to not disclose such protected information to Company or any third party, and to fully comply with his/her pre-existing employment obligations to the Institution and other applicable regulations (the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xml:space="preserve">”). Advisor will promptly inform the Company in writing of any changes or additions to the Applicable Policies to the extent Advisor has knowledge thereof. In the event any of the Applicable Policies will in the Company’s judgment interfere with Advisor’s performance of the Services, the Company may terminate this Agreement immediately. In the event that the performance of the Services will result in a violation of the Applicable Policies resulting in Advisor’s termination as an employee of the Institution, Advisor may terminate this Agreement immediately. Nothing herein shall be interpreted to limit Advisor’s right to participate in any agreements or activities on behalf of the Institution regardless of whether such agreements or activities involve any organization or Activities described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only be applicable to Advisor solely in her capacity as an employee of the Institution; and further provided, that in no way shall the foregoing alter Advisor’s nondisclosure obligations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this Agreement.</w:t>
      </w:r>
    </w:p>
    <w:p>
      <w:pPr>
        <w:spacing w:after="0" w:line="182" w:lineRule="exact"/>
        <w:rPr>
          <w:sz w:val="20"/>
          <w:szCs w:val="20"/>
          <w:color w:val="auto"/>
        </w:rPr>
      </w:pPr>
    </w:p>
    <w:p>
      <w:pPr>
        <w:ind w:left="4" w:right="30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17. </w:t>
      </w:r>
      <w:r>
        <w:rPr>
          <w:rFonts w:ascii="Times New Roman" w:cs="Times New Roman" w:eastAsia="Times New Roman" w:hAnsi="Times New Roman"/>
          <w:sz w:val="17"/>
          <w:szCs w:val="17"/>
          <w:b w:val="1"/>
          <w:bCs w:val="1"/>
          <w:u w:val="single" w:color="auto"/>
          <w:color w:val="auto"/>
        </w:rPr>
        <w:t>Defend Trade Secrets Act of 2016</w:t>
      </w:r>
      <w:r>
        <w:rPr>
          <w:rFonts w:ascii="Times New Roman" w:cs="Times New Roman" w:eastAsia="Times New Roman" w:hAnsi="Times New Roman"/>
          <w:sz w:val="17"/>
          <w:szCs w:val="17"/>
          <w:color w:val="auto"/>
        </w:rPr>
        <w:t>. Advisor acknowledges receipt of the following notice under 18 U.S.C § 1833(b)(1):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individual shall not be held criminally or civilly liable under any Federal or State trade secret law for the disclosure of a trade secret that (A) is made</w:t>
      </w:r>
    </w:p>
    <w:p>
      <w:pPr>
        <w:spacing w:after="0" w:line="1" w:lineRule="exact"/>
        <w:rPr>
          <w:sz w:val="20"/>
          <w:szCs w:val="20"/>
          <w:color w:val="auto"/>
        </w:rPr>
      </w:pPr>
    </w:p>
    <w:p>
      <w:pPr>
        <w:ind w:left="4" w:right="280" w:hanging="4"/>
        <w:spacing w:after="0" w:line="255" w:lineRule="auto"/>
        <w:tabs>
          <w:tab w:leader="none" w:pos="219"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5" w:right="459" w:bottom="1440" w:gutter="0" w:footer="0" w:header="0"/>
        </w:sectPr>
      </w:pPr>
    </w:p>
    <w:bookmarkStart w:id="505" w:name="page506"/>
    <w:bookmarkEnd w:id="50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as of the date last below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ADVISOR</w:t>
            </w:r>
          </w:p>
        </w:tc>
        <w:tc>
          <w:tcPr>
            <w:tcW w:w="660" w:type="dxa"/>
            <w:vAlign w:val="bottom"/>
          </w:tcPr>
          <w:p>
            <w:pPr>
              <w:spacing w:after="0"/>
              <w:rPr>
                <w:sz w:val="20"/>
                <w:szCs w:val="20"/>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MAZE THERAPEUTICS, INC.</w:t>
            </w:r>
          </w:p>
        </w:tc>
      </w:tr>
      <w:tr>
        <w:trPr>
          <w:trHeight w:val="43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 Richard Scheller</w:t>
            </w:r>
          </w:p>
        </w:tc>
        <w:tc>
          <w:tcPr>
            <w:tcW w:w="6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  /s/ Jason Coloma</w:t>
            </w:r>
          </w:p>
        </w:tc>
      </w:tr>
      <w:tr>
        <w:trPr>
          <w:trHeight w:val="205"/>
        </w:trPr>
        <w:tc>
          <w:tcPr>
            <w:tcW w:w="508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Name: Richard Scheller</w:t>
            </w:r>
          </w:p>
        </w:tc>
        <w:tc>
          <w:tcPr>
            <w:tcW w:w="66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w w:val="73"/>
              </w:rPr>
              <w:t>Name</w:t>
            </w:r>
          </w:p>
        </w:tc>
        <w:tc>
          <w:tcPr>
            <w:tcW w:w="4960" w:type="dxa"/>
            <w:vAlign w:val="bottom"/>
            <w:tcBorders>
              <w:top w:val="single" w:sz="8" w:color="auto"/>
            </w:tcBorders>
            <w:gridSpan w:val="2"/>
          </w:tcPr>
          <w:p>
            <w:pPr>
              <w:ind w:left="140"/>
              <w:spacing w:after="0" w:line="205" w:lineRule="exact"/>
              <w:rPr>
                <w:sz w:val="20"/>
                <w:szCs w:val="20"/>
                <w:color w:val="auto"/>
              </w:rPr>
            </w:pPr>
            <w:r>
              <w:rPr>
                <w:rFonts w:ascii="Times New Roman" w:cs="Times New Roman" w:eastAsia="Times New Roman" w:hAnsi="Times New Roman"/>
                <w:sz w:val="18"/>
                <w:szCs w:val="18"/>
                <w:color w:val="auto"/>
              </w:rPr>
              <w:t>(Print): Jason Coloma</w:t>
            </w:r>
          </w:p>
        </w:tc>
      </w:tr>
      <w:tr>
        <w:trPr>
          <w:trHeight w:val="234"/>
        </w:trPr>
        <w:tc>
          <w:tcPr>
            <w:tcW w:w="4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32"/>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c>
          <w:tcPr>
            <w:tcW w:w="6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Address:</w:t>
            </w:r>
          </w:p>
        </w:tc>
      </w:tr>
      <w:tr>
        <w:trPr>
          <w:trHeight w:val="216"/>
        </w:trPr>
        <w:tc>
          <w:tcPr>
            <w:tcW w:w="4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504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04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r>
      <w:tr>
        <w:trPr>
          <w:trHeight w:val="399"/>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p>
        </w:tc>
        <w:tc>
          <w:tcPr>
            <w:tcW w:w="66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196"/>
        </w:trPr>
        <w:tc>
          <w:tcPr>
            <w:tcW w:w="440" w:type="dxa"/>
            <w:vAlign w:val="bottom"/>
          </w:tcPr>
          <w:p>
            <w:pPr>
              <w:spacing w:after="0"/>
              <w:rPr>
                <w:sz w:val="17"/>
                <w:szCs w:val="17"/>
                <w:color w:val="auto"/>
              </w:rPr>
            </w:pPr>
          </w:p>
        </w:tc>
        <w:tc>
          <w:tcPr>
            <w:tcW w:w="4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spacing w:after="0"/>
              <w:rPr>
                <w:sz w:val="17"/>
                <w:szCs w:val="17"/>
                <w:color w:val="auto"/>
              </w:rPr>
            </w:pPr>
          </w:p>
        </w:tc>
      </w:tr>
    </w:tbl>
    <w:p>
      <w:pPr>
        <w:sectPr>
          <w:pgSz w:w="11900" w:h="16838" w:orient="portrait"/>
          <w:cols w:equalWidth="0" w:num="1">
            <w:col w:w="11020"/>
          </w:cols>
          <w:pgMar w:left="440" w:top="269" w:right="439" w:bottom="1440" w:gutter="0" w:footer="0" w:header="0"/>
        </w:sectPr>
      </w:pPr>
    </w:p>
    <w:bookmarkStart w:id="506" w:name="page507"/>
    <w:bookmarkEnd w:id="506"/>
    <w:p>
      <w:pPr>
        <w:jc w:val="center"/>
        <w:ind w:right="-58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ind w:left="4664"/>
        <w:spacing w:after="0"/>
        <w:rPr>
          <w:sz w:val="20"/>
          <w:szCs w:val="20"/>
          <w:color w:val="auto"/>
        </w:rPr>
      </w:pPr>
      <w:r>
        <w:rPr>
          <w:rFonts w:ascii="Times New Roman" w:cs="Times New Roman" w:eastAsia="Times New Roman" w:hAnsi="Times New Roman"/>
          <w:sz w:val="18"/>
          <w:szCs w:val="18"/>
          <w:u w:val="single" w:color="auto"/>
          <w:color w:val="auto"/>
        </w:rPr>
        <w:t>Description of Services</w:t>
      </w:r>
    </w:p>
    <w:p>
      <w:pPr>
        <w:spacing w:after="0" w:line="252" w:lineRule="exact"/>
        <w:rPr>
          <w:sz w:val="20"/>
          <w:szCs w:val="20"/>
          <w:color w:val="auto"/>
        </w:rPr>
      </w:pPr>
    </w:p>
    <w:p>
      <w:pPr>
        <w:ind w:left="424" w:hanging="424"/>
        <w:spacing w:after="0"/>
        <w:tabs>
          <w:tab w:leader="none" w:pos="42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services to Company chief executive officer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 Advisory Board (“</w:t>
      </w:r>
      <w:r>
        <w:rPr>
          <w:rFonts w:ascii="Times New Roman" w:cs="Times New Roman" w:eastAsia="Times New Roman" w:hAnsi="Times New Roman"/>
          <w:sz w:val="18"/>
          <w:szCs w:val="18"/>
          <w:u w:val="single" w:color="auto"/>
          <w:color w:val="auto"/>
        </w:rPr>
        <w:t>SAB</w:t>
      </w:r>
      <w:r>
        <w:rPr>
          <w:rFonts w:ascii="Times New Roman" w:cs="Times New Roman" w:eastAsia="Times New Roman" w:hAnsi="Times New Roman"/>
          <w:sz w:val="18"/>
          <w:szCs w:val="18"/>
          <w:color w:val="auto"/>
        </w:rPr>
        <w:t>”) Membership:</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in-person or by video conference and participate in up to two (2) full- day meetings per year.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strategic scientific guidance to the Company regarding product development programs.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Company regarding ideas and concepts for new product areas and make recommendation on future scientific directions.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contacts within the scientific community.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advice to the Company in all of the following areas, as appropriate: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key discovery and development projects;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attracting external projects, new ideas and new investigators;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the conceptualization of new inventions;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the recruitment of excellent people to the Company’s team and SAB;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major business development meetings as an advisor to the Company and advising on attracting a major partnership.</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Services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consulting services of a minimum of 2 hours per month.</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outside meetings and participate in telephone discussions as an advisor to the Company. For example: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discussions;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development meetings;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Fundraising meetings.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Suggest candidates for key positions in the Company, advisors and SAB members.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Referencing on candidates.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scientific information to the Company as appropriate.</w:t>
      </w:r>
    </w:p>
    <w:p>
      <w:pPr>
        <w:sectPr>
          <w:pgSz w:w="11900" w:h="16838" w:orient="portrait"/>
          <w:cols w:equalWidth="0" w:num="1">
            <w:col w:w="10444"/>
          </w:cols>
          <w:pgMar w:left="436" w:top="269" w:right="1019" w:bottom="1440" w:gutter="0" w:footer="0" w:header="0"/>
        </w:sectPr>
      </w:pPr>
    </w:p>
    <w:bookmarkStart w:id="507" w:name="page508"/>
    <w:bookmarkEnd w:id="507"/>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ectPr>
          <w:pgSz w:w="11900" w:h="16838" w:orient="portrait"/>
          <w:cols w:equalWidth="0" w:num="1">
            <w:col w:w="9019"/>
          </w:cols>
          <w:pgMar w:left="1440" w:top="269"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Conflicts</w:t>
      </w:r>
    </w:p>
    <w:p>
      <w:pPr>
        <w:sectPr>
          <w:pgSz w:w="11900" w:h="16838" w:orient="portrait"/>
          <w:cols w:equalWidth="0" w:num="1">
            <w:col w:w="9019"/>
          </w:cols>
          <w:pgMar w:left="1440" w:top="269" w:right="1440" w:bottom="1440" w:gutter="0" w:footer="0" w:header="0"/>
          <w:type w:val="continuous"/>
        </w:sectPr>
      </w:pPr>
    </w:p>
    <w:bookmarkStart w:id="508" w:name="page509"/>
    <w:bookmarkEnd w:id="508"/>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ectPr>
          <w:pgSz w:w="11900" w:h="16838" w:orient="portrait"/>
          <w:cols w:equalWidth="0" w:num="1">
            <w:col w:w="9019"/>
          </w:cols>
          <w:pgMar w:left="1440" w:top="269"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Field</w:t>
      </w:r>
    </w:p>
    <w:p>
      <w:pPr>
        <w:sectPr>
          <w:pgSz w:w="11900" w:h="16838" w:orient="portrait"/>
          <w:cols w:equalWidth="0" w:num="1">
            <w:col w:w="9019"/>
          </w:cols>
          <w:pgMar w:left="1440" w:top="269" w:right="1440" w:bottom="1440" w:gutter="0" w:footer="0" w:header="0"/>
          <w:type w:val="continuous"/>
        </w:sectPr>
      </w:pPr>
    </w:p>
    <w:bookmarkStart w:id="509" w:name="page510"/>
    <w:bookmarkEnd w:id="509"/>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PACIFIC WESTERN BANK</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ectPr>
          <w:pgSz w:w="11900" w:h="16838" w:orient="portrait"/>
          <w:cols w:equalWidth="0" w:num="1">
            <w:col w:w="10020"/>
          </w:cols>
          <w:pgMar w:left="1440" w:top="117" w:right="439" w:bottom="1440" w:gutter="0" w:footer="0" w:header="0"/>
        </w:sectPr>
      </w:pPr>
    </w:p>
    <w:bookmarkStart w:id="510" w:name="page511"/>
    <w:bookmarkEnd w:id="510"/>
    <w:p>
      <w:pPr>
        <w:ind w:left="4"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LOAN AND SECURITY AGREEMENT (the “Agreement”) is entered into as of June 27, 2022, by and between PACIFIC WESTERN BANK, a California state chartered bank (“Bank”) and MAZE THERAPEUTICS, INC., a Delaware corporation (“Borrower”).</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Borrower wishes to obtain credit from time to time from Bank, and Bank desires to extend credit to Borrower. This Agreement sets forth the terms on which Bank will advance credit to Borrower, and Borrower will repay the amounts owing to Bank.</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parties agree as follows:</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 DEFINITIONS AND CONSTRUCTION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As used in this Agreement, all capitalized terms shall have the definitions set forth on Exhibit A. Any term used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and not defined herein shall have the meaning given to the term in the Code.</w:t>
      </w:r>
    </w:p>
    <w:p>
      <w:pPr>
        <w:spacing w:after="0" w:line="47"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1.2 Accounting Terms</w:t>
      </w:r>
      <w:r>
        <w:rPr>
          <w:rFonts w:ascii="Times New Roman" w:cs="Times New Roman" w:eastAsia="Times New Roman" w:hAnsi="Times New Roman"/>
          <w:sz w:val="18"/>
          <w:szCs w:val="18"/>
          <w:color w:val="auto"/>
        </w:rPr>
        <w:t>. Any accounting term not specifically defined on Exhibit A shall be construed in accordance with GAAP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calculations shall be made in accordance with GAAP (except for non-compliance with FAS 123R in monthly reporting). The term “financial statements” shall include the accompanying notes and schedules.</w:t>
      </w:r>
    </w:p>
    <w:p>
      <w:pPr>
        <w:spacing w:after="0" w:line="63" w:lineRule="exact"/>
        <w:rPr>
          <w:sz w:val="20"/>
          <w:szCs w:val="20"/>
          <w:color w:val="auto"/>
        </w:rPr>
      </w:pPr>
    </w:p>
    <w:p>
      <w:pPr>
        <w:ind w:left="984" w:right="7480" w:hanging="544"/>
        <w:spacing w:after="0" w:line="397" w:lineRule="auto"/>
        <w:tabs>
          <w:tab w:leader="none" w:pos="613" w:val="left"/>
        </w:tabs>
        <w:numPr>
          <w:ilvl w:val="1"/>
          <w:numId w:val="3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LOAN AND TERMS OF PAYMENT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2.1 </w:t>
      </w:r>
      <w:r>
        <w:rPr>
          <w:rFonts w:ascii="Times New Roman" w:cs="Times New Roman" w:eastAsia="Times New Roman" w:hAnsi="Times New Roman"/>
          <w:sz w:val="17"/>
          <w:szCs w:val="17"/>
          <w:color w:val="auto"/>
        </w:rPr>
        <w:t>Credit Extensions.</w:t>
      </w:r>
    </w:p>
    <w:p>
      <w:pPr>
        <w:spacing w:after="0" w:line="1" w:lineRule="exact"/>
        <w:rPr>
          <w:rFonts w:ascii="Times New Roman" w:cs="Times New Roman" w:eastAsia="Times New Roman" w:hAnsi="Times New Roman"/>
          <w:sz w:val="17"/>
          <w:szCs w:val="17"/>
          <w:b w:val="1"/>
          <w:bCs w:val="1"/>
          <w:color w:val="auto"/>
        </w:rPr>
      </w:pPr>
    </w:p>
    <w:p>
      <w:pPr>
        <w:ind w:left="4" w:right="40" w:firstLine="1428"/>
        <w:spacing w:after="0" w:line="268" w:lineRule="auto"/>
        <w:tabs>
          <w:tab w:leader="none" w:pos="1691" w:val="left"/>
        </w:tabs>
        <w:numPr>
          <w:ilvl w:val="2"/>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Promise to Pay</w:t>
      </w:r>
      <w:r>
        <w:rPr>
          <w:rFonts w:ascii="Times New Roman" w:cs="Times New Roman" w:eastAsia="Times New Roman" w:hAnsi="Times New Roman"/>
          <w:sz w:val="18"/>
          <w:szCs w:val="18"/>
          <w:color w:val="auto"/>
        </w:rPr>
        <w:t>. Borrower promises to pay to Bank, in lawful money of the United States of America, the aggregate unpaid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amount of all Credit Extensions made by Bank to Borrower, together with interest on the unpaid principal amount of such Credit Extensions at rates in accordance with the terms hereof.</w:t>
      </w:r>
    </w:p>
    <w:p>
      <w:pPr>
        <w:spacing w:after="0" w:line="62" w:lineRule="exact"/>
        <w:rPr>
          <w:rFonts w:ascii="Times New Roman" w:cs="Times New Roman" w:eastAsia="Times New Roman" w:hAnsi="Times New Roman"/>
          <w:sz w:val="18"/>
          <w:szCs w:val="18"/>
          <w:b w:val="1"/>
          <w:bCs w:val="1"/>
          <w:color w:val="auto"/>
        </w:rPr>
      </w:pPr>
    </w:p>
    <w:p>
      <w:pPr>
        <w:ind w:left="1704" w:hanging="272"/>
        <w:spacing w:after="0"/>
        <w:tabs>
          <w:tab w:leader="none" w:pos="1704" w:val="left"/>
        </w:tabs>
        <w:numPr>
          <w:ilvl w:val="2"/>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Advances Under Revolving Line.</w:t>
      </w:r>
    </w:p>
    <w:p>
      <w:pPr>
        <w:spacing w:after="0" w:line="117" w:lineRule="exact"/>
        <w:rPr>
          <w:rFonts w:ascii="Times New Roman" w:cs="Times New Roman" w:eastAsia="Times New Roman" w:hAnsi="Times New Roman"/>
          <w:sz w:val="18"/>
          <w:szCs w:val="18"/>
          <w:b w:val="1"/>
          <w:bCs w:val="1"/>
          <w:color w:val="auto"/>
        </w:rPr>
      </w:pPr>
    </w:p>
    <w:p>
      <w:pPr>
        <w:ind w:left="4" w:right="440" w:firstLine="1979"/>
        <w:spacing w:after="0" w:line="278" w:lineRule="auto"/>
        <w:tabs>
          <w:tab w:leader="none" w:pos="2202" w:val="left"/>
        </w:tabs>
        <w:numPr>
          <w:ilvl w:val="3"/>
          <w:numId w:val="3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Amount</w:t>
      </w:r>
      <w:r>
        <w:rPr>
          <w:rFonts w:ascii="Times New Roman" w:cs="Times New Roman" w:eastAsia="Times New Roman" w:hAnsi="Times New Roman"/>
          <w:sz w:val="17"/>
          <w:szCs w:val="17"/>
          <w:color w:val="auto"/>
        </w:rPr>
        <w:t>. Subject to and upon the terms and conditions of this Agreement (1) Borrower may request Advances in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aggregate outstanding principal amount not to exceed the Revolving Line, less any amounts reserved under the Ancillary Services Sublimit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w:t>
      </w:r>
    </w:p>
    <w:p>
      <w:pPr>
        <w:spacing w:after="0" w:line="1" w:lineRule="exact"/>
        <w:rPr>
          <w:rFonts w:ascii="Times New Roman" w:cs="Times New Roman" w:eastAsia="Times New Roman" w:hAnsi="Times New Roman"/>
          <w:sz w:val="17"/>
          <w:szCs w:val="17"/>
          <w:b w:val="1"/>
          <w:bCs w:val="1"/>
          <w:color w:val="auto"/>
        </w:rPr>
      </w:pPr>
    </w:p>
    <w:p>
      <w:pPr>
        <w:ind w:left="4" w:right="60" w:hanging="4"/>
        <w:spacing w:after="0" w:line="260" w:lineRule="auto"/>
        <w:tabs>
          <w:tab w:leader="none" w:pos="24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may be repaid and reborrowed at any time prior to the Revolving Maturity Date, at which time all Advances shall be immediately due and payable. Borrower may prepay any Advances without penalty or premium.</w:t>
      </w:r>
    </w:p>
    <w:p>
      <w:pPr>
        <w:spacing w:after="0" w:line="69" w:lineRule="exact"/>
        <w:rPr>
          <w:rFonts w:ascii="Times New Roman" w:cs="Times New Roman" w:eastAsia="Times New Roman" w:hAnsi="Times New Roman"/>
          <w:sz w:val="18"/>
          <w:szCs w:val="18"/>
          <w:color w:val="auto"/>
        </w:rPr>
      </w:pPr>
    </w:p>
    <w:p>
      <w:pPr>
        <w:ind w:left="4" w:right="260" w:firstLine="1979"/>
        <w:spacing w:after="0" w:line="262" w:lineRule="auto"/>
        <w:tabs>
          <w:tab w:leader="none" w:pos="2252" w:val="left"/>
        </w:tabs>
        <w:numPr>
          <w:ilvl w:val="3"/>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Request</w:t>
      </w:r>
      <w:r>
        <w:rPr>
          <w:rFonts w:ascii="Times New Roman" w:cs="Times New Roman" w:eastAsia="Times New Roman" w:hAnsi="Times New Roman"/>
          <w:sz w:val="18"/>
          <w:szCs w:val="18"/>
          <w:color w:val="auto"/>
        </w:rPr>
        <w:t>. Whenever Borrower desires an Advance, Borrower will notify Bank (which notice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irrevocable) by facsimile transmission or email (or, if permitted by Bank, through the use of an E-System) no later than 3:30 p.m. Eastern Time (2:30 p.m. Eastern Time for wire transfers), on the Business Day that the Advance is to be made. Each such notification shall be given by a Loan Advance/Paydown Request Form in substantially</w:t>
      </w:r>
    </w:p>
    <w:p>
      <w:pPr>
        <w:sectPr>
          <w:pgSz w:w="11900" w:h="16838" w:orient="portrait"/>
          <w:cols w:equalWidth="0" w:num="1">
            <w:col w:w="11004"/>
          </w:cols>
          <w:pgMar w:left="436" w:top="269" w:right="459" w:bottom="1440" w:gutter="0" w:footer="0" w:header="0"/>
        </w:sectPr>
      </w:pPr>
    </w:p>
    <w:bookmarkStart w:id="511" w:name="page512"/>
    <w:bookmarkEnd w:id="511"/>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form of Exhibit C. Bank is authorized to make Advances under this Agreement, based upon instructions received from an Authorized Officer, or without instructions if in Bank’s discretion such Advances are necessary to meet Obligations which have become due and remain unpaid. Bank shall be entitled to rely on any notice given by a person whom Bank reasonably believes to be an Authorized Officer through verbal confirmation of wire instructions, and Borrower shall indemnify and hold Bank harmless for any damages, loss, costs and expenses suffered by Bank as a result of such reliance. Bank will credit the amount of Advances to Borrower’s deposit account.</w:t>
      </w:r>
    </w:p>
    <w:p>
      <w:pPr>
        <w:spacing w:after="0" w:line="71" w:lineRule="exact"/>
        <w:rPr>
          <w:sz w:val="20"/>
          <w:szCs w:val="20"/>
          <w:color w:val="auto"/>
        </w:rPr>
      </w:pPr>
    </w:p>
    <w:p>
      <w:pPr>
        <w:ind w:left="4" w:right="80" w:firstLine="1979"/>
        <w:spacing w:after="0" w:line="272" w:lineRule="auto"/>
        <w:tabs>
          <w:tab w:leader="none" w:pos="2302" w:val="left"/>
        </w:tabs>
        <w:numPr>
          <w:ilvl w:val="2"/>
          <w:numId w:val="3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Ancillary Services Sublimit</w:t>
      </w:r>
      <w:r>
        <w:rPr>
          <w:rFonts w:ascii="Times New Roman" w:cs="Times New Roman" w:eastAsia="Times New Roman" w:hAnsi="Times New Roman"/>
          <w:sz w:val="17"/>
          <w:szCs w:val="17"/>
          <w:color w:val="auto"/>
        </w:rPr>
        <w:t>. Subject to the availability under the Revolving Line, at any time and from time to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the date hereof through the Business Day immediately prior to the Revolving Maturity Date, Borrower may request the provision of Ancillary Services from Bank. The aggregate limit of the Ancillary Services shall not exceed the Ancillary Services Sublimit, provided that availability under the Revolving Line shall be reduced by (i) the Letter of Credit Exposure, (ii) the aggregate limits of corporate credit card services provided to Borrower,</w:t>
      </w:r>
    </w:p>
    <w:p>
      <w:pPr>
        <w:ind w:left="4" w:hanging="4"/>
        <w:spacing w:after="0" w:line="253" w:lineRule="auto"/>
        <w:tabs>
          <w:tab w:leader="none" w:pos="319"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any Automated Clearing House processing reserves, (iv) the applicable Foreign Exchange Reserve Percentage, and (v) any other reserves taken by Bank in connection with other treasury management services requested by Borrower and approved by Bank. In addition, Bank may, in its sole discretion, charge as Advances any amounts for which Bank becomes liable to third parties in connection with the provision of the Ancillary Services. The terms and conditions (including repayment and fees) of such Ancillary Services shall be subject to the terms and conditions of the Bank’s standard forms of application and agreement for the applicable Ancillary Services, which Borrower hereby agrees to execute.</w:t>
      </w:r>
    </w:p>
    <w:p>
      <w:pPr>
        <w:spacing w:after="0" w:line="74" w:lineRule="exact"/>
        <w:rPr>
          <w:rFonts w:ascii="Times New Roman" w:cs="Times New Roman" w:eastAsia="Times New Roman" w:hAnsi="Times New Roman"/>
          <w:sz w:val="18"/>
          <w:szCs w:val="18"/>
          <w:color w:val="auto"/>
        </w:rPr>
      </w:pPr>
    </w:p>
    <w:p>
      <w:pPr>
        <w:ind w:left="4" w:right="20" w:firstLine="1979"/>
        <w:spacing w:after="0" w:line="256" w:lineRule="auto"/>
        <w:tabs>
          <w:tab w:leader="none" w:pos="2291" w:val="left"/>
        </w:tabs>
        <w:numPr>
          <w:ilvl w:val="2"/>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Collateralization of Obligations Extending Beyond Maturity</w:t>
      </w:r>
      <w:r>
        <w:rPr>
          <w:rFonts w:ascii="Times New Roman" w:cs="Times New Roman" w:eastAsia="Times New Roman" w:hAnsi="Times New Roman"/>
          <w:sz w:val="18"/>
          <w:szCs w:val="18"/>
          <w:color w:val="auto"/>
        </w:rPr>
        <w:t>. If Borrower has not secured to Bank’s satisfaction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with respect to any Ancillary Services by the Revolving Maturity Date, then, effective as of such date, the balance in any of Borrower’s deposit accounts held by Bank and the certificates of deposit or time deposit accounts issued by Bank in Borrower’s name (and any interest paid thereon or proceeds thereof, including any amounts payable upon the maturity or liquidation of such certificates or accounts), shall automatically secure such obligations to the extent of the then continuing or outstanding Ancillary Services. Borrower authorizes Bank to hold such balances in pledge and to decline to honor any drafts thereon or any requests by Borrower or any other Person to pay or otherwise transfer any part of such balances for so long as the applicable Ancillary Services are outstanding or continue.</w:t>
      </w:r>
    </w:p>
    <w:p>
      <w:pPr>
        <w:spacing w:after="0" w:line="74" w:lineRule="exact"/>
        <w:rPr>
          <w:rFonts w:ascii="Times New Roman" w:cs="Times New Roman" w:eastAsia="Times New Roman" w:hAnsi="Times New Roman"/>
          <w:sz w:val="18"/>
          <w:szCs w:val="18"/>
          <w:b w:val="1"/>
          <w:bCs w:val="1"/>
          <w:color w:val="auto"/>
        </w:rPr>
      </w:pPr>
    </w:p>
    <w:p>
      <w:pPr>
        <w:ind w:left="1684" w:hanging="252"/>
        <w:spacing w:after="0"/>
        <w:tabs>
          <w:tab w:leader="none" w:pos="1684" w:val="left"/>
        </w:tabs>
        <w:numPr>
          <w:ilvl w:val="1"/>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into Term Loan.</w:t>
      </w:r>
    </w:p>
    <w:p>
      <w:pPr>
        <w:spacing w:after="0" w:line="121" w:lineRule="exact"/>
        <w:rPr>
          <w:rFonts w:ascii="Times New Roman" w:cs="Times New Roman" w:eastAsia="Times New Roman" w:hAnsi="Times New Roman"/>
          <w:sz w:val="18"/>
          <w:szCs w:val="18"/>
          <w:b w:val="1"/>
          <w:bCs w:val="1"/>
          <w:color w:val="auto"/>
        </w:rPr>
      </w:pPr>
    </w:p>
    <w:p>
      <w:pPr>
        <w:ind w:left="4" w:right="60" w:firstLine="1979"/>
        <w:spacing w:after="0" w:line="258" w:lineRule="auto"/>
        <w:tabs>
          <w:tab w:leader="none" w:pos="2202" w:val="left"/>
        </w:tabs>
        <w:numPr>
          <w:ilvl w:val="2"/>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Borrower achieves the Funding Milestone, the aggregate principal amount of the Advances outstanding on the Revolving Maturity Date shall at Borrower’s option convert into a Term Loan. Borrower shall repay the Term Loan in 18 equal monthly installments of principal, plus all accrued interest, beginning on June 27, 2025, and continuing on the same day of each month thereafter through the Maturity Date, at which time all amounts outstanding under this Agreement shall be immediately due and payable. Borrower may prepay all or any part of the Term Loans, but no amount, once repaid, may be reborrowed.</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9" w:right="479" w:bottom="1440" w:gutter="0" w:footer="0" w:header="0"/>
        </w:sectPr>
      </w:pPr>
    </w:p>
    <w:bookmarkStart w:id="512" w:name="page513"/>
    <w:bookmarkEnd w:id="512"/>
    <w:p>
      <w:pPr>
        <w:ind w:right="360" w:firstLine="1979"/>
        <w:spacing w:after="0" w:line="282" w:lineRule="auto"/>
        <w:tabs>
          <w:tab w:leader="none" w:pos="2248"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Borrower does not achieve the Funding Milestone, all amounts outstanding under this Agreement shall be due and payable on the Revolving Maturity Date.</w:t>
      </w:r>
    </w:p>
    <w:p>
      <w:pPr>
        <w:spacing w:after="0" w:line="50" w:lineRule="exact"/>
        <w:rPr>
          <w:sz w:val="20"/>
          <w:szCs w:val="20"/>
          <w:color w:val="auto"/>
        </w:rPr>
      </w:pPr>
    </w:p>
    <w:p>
      <w:pPr>
        <w:ind w:right="7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2.2 Overadvances</w:t>
      </w:r>
      <w:r>
        <w:rPr>
          <w:rFonts w:ascii="Times New Roman" w:cs="Times New Roman" w:eastAsia="Times New Roman" w:hAnsi="Times New Roman"/>
          <w:sz w:val="18"/>
          <w:szCs w:val="18"/>
          <w:color w:val="auto"/>
        </w:rPr>
        <w:t>. If the aggregate amount of the outstanding Advances exceeds the Revolving Line at any time, Borrower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pay to Bank, in cash, the amount of such excess.</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color w:val="auto"/>
        </w:rPr>
        <w:t>Interest Rates, Payments, and Calculations.</w:t>
      </w:r>
    </w:p>
    <w:p>
      <w:pPr>
        <w:spacing w:after="0" w:line="117" w:lineRule="exact"/>
        <w:rPr>
          <w:sz w:val="20"/>
          <w:szCs w:val="20"/>
          <w:color w:val="auto"/>
        </w:rPr>
      </w:pPr>
    </w:p>
    <w:p>
      <w:pPr>
        <w:ind w:right="20" w:firstLine="1428"/>
        <w:spacing w:after="0" w:line="255" w:lineRule="auto"/>
        <w:tabs>
          <w:tab w:leader="none" w:pos="1687"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Late Fee; Default Rate</w:t>
      </w:r>
      <w:r>
        <w:rPr>
          <w:rFonts w:ascii="Times New Roman" w:cs="Times New Roman" w:eastAsia="Times New Roman" w:hAnsi="Times New Roman"/>
          <w:sz w:val="18"/>
          <w:szCs w:val="18"/>
          <w:color w:val="auto"/>
        </w:rPr>
        <w:t>. If any payment is not made within 15 days after the date such payment is due, Borrower shall pay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late fee equal to the lesser of (i) 3% of the amount of such unpaid amount or (ii) the maximum amount permitted to be charged under applicable law. After the occurrence and during the continuance of an Event of Default, all Obligations shall bear interest, upon notice of such increase given by Bank, at a rate equal to 3 percentage points above the interest rate applicable immediately prior to the occurrence of the Event of Default (such rate, the “Default Rate”); provided, that, from and after the occurrence of any Event of Default described in Section 8.5, such increase shall be automatic and without the requirement of any notice from Bank. In all such events, and notwithstanding the date on which application of the Default Rate is communicated to Borrower, the Default Rate may be accrued (at the election of Bank) from the initial date of any Event of Default until all existing Events of Default are waived in writing in accordance with the terms of this Agreement.</w:t>
      </w:r>
    </w:p>
    <w:p>
      <w:pPr>
        <w:spacing w:after="0" w:line="76" w:lineRule="exact"/>
        <w:rPr>
          <w:rFonts w:ascii="Times New Roman" w:cs="Times New Roman" w:eastAsia="Times New Roman" w:hAnsi="Times New Roman"/>
          <w:sz w:val="18"/>
          <w:szCs w:val="18"/>
          <w:b w:val="1"/>
          <w:bCs w:val="1"/>
          <w:color w:val="auto"/>
        </w:rPr>
      </w:pPr>
    </w:p>
    <w:p>
      <w:pPr>
        <w:ind w:firstLine="1428"/>
        <w:spacing w:after="0" w:line="286" w:lineRule="auto"/>
        <w:tabs>
          <w:tab w:leader="none" w:pos="1697"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Rates</w:t>
      </w:r>
      <w:r>
        <w:rPr>
          <w:rFonts w:ascii="Times New Roman" w:cs="Times New Roman" w:eastAsia="Times New Roman" w:hAnsi="Times New Roman"/>
          <w:sz w:val="18"/>
          <w:szCs w:val="18"/>
          <w:color w:val="auto"/>
        </w:rPr>
        <w:t>. Except as set forth in Section 2.3(b), the Advances shall bear interest, on the outstanding daily balance thereof,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variable annual rate equal to the greater of: (A) 0.75% above the Prime Rate then in effect; and (B) 4.50%.</w:t>
      </w:r>
    </w:p>
    <w:p>
      <w:pPr>
        <w:spacing w:after="0" w:line="46" w:lineRule="exact"/>
        <w:rPr>
          <w:rFonts w:ascii="Times New Roman" w:cs="Times New Roman" w:eastAsia="Times New Roman" w:hAnsi="Times New Roman"/>
          <w:sz w:val="18"/>
          <w:szCs w:val="18"/>
          <w:b w:val="1"/>
          <w:bCs w:val="1"/>
          <w:color w:val="auto"/>
        </w:rPr>
      </w:pPr>
    </w:p>
    <w:p>
      <w:pPr>
        <w:ind w:firstLine="1428"/>
        <w:spacing w:after="0" w:line="259" w:lineRule="auto"/>
        <w:tabs>
          <w:tab w:leader="none" w:pos="1677"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Interest under the Revolving Line shall be due and payable on the 27th calendar day of each month during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Borrower authorizes Bank to, at its option, charge such interest, all Bank Expenses, all Periodic Payments, and any other amounts due and owing in accordance with the terms of this Agreement against any of Borrower’s deposit accounts or against the Revolving Line, in which case those amounts shall thereafter accrue interest at the rate then applicable hereunder. Any interest not paid when due shall be compounded by becoming a part of the Obligations, and such interest shall thereafter accrue interest at the rate then applicable hereunder.</w:t>
      </w:r>
    </w:p>
    <w:p>
      <w:pPr>
        <w:spacing w:after="0" w:line="71" w:lineRule="exact"/>
        <w:rPr>
          <w:rFonts w:ascii="Times New Roman" w:cs="Times New Roman" w:eastAsia="Times New Roman" w:hAnsi="Times New Roman"/>
          <w:sz w:val="18"/>
          <w:szCs w:val="18"/>
          <w:b w:val="1"/>
          <w:bCs w:val="1"/>
          <w:color w:val="auto"/>
        </w:rPr>
      </w:pPr>
    </w:p>
    <w:p>
      <w:pPr>
        <w:ind w:right="120" w:firstLine="1428"/>
        <w:spacing w:after="0" w:line="268" w:lineRule="auto"/>
        <w:tabs>
          <w:tab w:leader="none" w:pos="1697"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Computation</w:t>
      </w:r>
      <w:r>
        <w:rPr>
          <w:rFonts w:ascii="Times New Roman" w:cs="Times New Roman" w:eastAsia="Times New Roman" w:hAnsi="Times New Roman"/>
          <w:sz w:val="18"/>
          <w:szCs w:val="18"/>
          <w:color w:val="auto"/>
        </w:rPr>
        <w:t>. In the event the Prime Rate is changed from time to time hereafter, the applicable rate of interest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increased or decreased, effective as of the day the Prime Rate is changed, by an amount equal to such change in the Prime Rate. All interest chargeable under the Loan Documents shall be computed on the basis of a 360 day year for the actual number of days elapsed.</w:t>
      </w:r>
    </w:p>
    <w:p>
      <w:pPr>
        <w:spacing w:after="0" w:line="63"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2.4 Crediting Payments</w:t>
      </w:r>
      <w:r>
        <w:rPr>
          <w:rFonts w:ascii="Times New Roman" w:cs="Times New Roman" w:eastAsia="Times New Roman" w:hAnsi="Times New Roman"/>
          <w:sz w:val="18"/>
          <w:szCs w:val="18"/>
          <w:color w:val="auto"/>
        </w:rPr>
        <w:t>. Prior to the occurrence of an Event of Default, Bank shall credit a wire transfer of funds, check or other item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to such deposit account or Obligation as Borrower specifies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occurrence and during the continuance of an Event of Default, Bank shall have the right, in its sole discretion, to immediately apply any wire transfer of funds, check, or other item of payment Bank may receive to conditionally reduce Obligations, but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9" w:right="459" w:bottom="1440" w:gutter="0" w:footer="0" w:header="0"/>
        </w:sectPr>
      </w:pPr>
    </w:p>
    <w:bookmarkStart w:id="513" w:name="page514"/>
    <w:bookmarkEnd w:id="51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applications of funds shall not be considered a payment on account unless such payment is of immediately available federal funds or unless and until such check or other item of payment is honored when presented for payment. Notwithstanding anything to the contrary contained herein, any wire transfer or payment received by Bank after 5:30 p.m. Eastern time shall be deemed to have been received by Bank as of the opening of business on the immediately following Business Day. Whenever any payment to Bank under the Loan Documents would otherwise be due (except by reason of acceleration) on a date that is not a Business Day, such payment shall instead be due on the next Business Day, and additional fees or interest, as the case may be, shall accrue and be payable for the period of such extension.</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2.5 Fees</w:t>
      </w:r>
      <w:r>
        <w:rPr>
          <w:rFonts w:ascii="Times New Roman" w:cs="Times New Roman" w:eastAsia="Times New Roman" w:hAnsi="Times New Roman"/>
          <w:sz w:val="18"/>
          <w:szCs w:val="18"/>
          <w:color w:val="auto"/>
        </w:rPr>
        <w:t>. Borrower shall pay to Bank the following:</w:t>
      </w:r>
    </w:p>
    <w:p>
      <w:pPr>
        <w:spacing w:after="0" w:line="117" w:lineRule="exact"/>
        <w:rPr>
          <w:sz w:val="20"/>
          <w:szCs w:val="20"/>
          <w:color w:val="auto"/>
        </w:rPr>
      </w:pPr>
    </w:p>
    <w:p>
      <w:pPr>
        <w:ind w:left="1680" w:hanging="252"/>
        <w:spacing w:after="0"/>
        <w:tabs>
          <w:tab w:leader="none" w:pos="1680"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Facility Fee</w:t>
      </w:r>
      <w:r>
        <w:rPr>
          <w:rFonts w:ascii="Times New Roman" w:cs="Times New Roman" w:eastAsia="Times New Roman" w:hAnsi="Times New Roman"/>
          <w:sz w:val="18"/>
          <w:szCs w:val="18"/>
          <w:color w:val="auto"/>
        </w:rPr>
        <w:t>. On or before the Closing Date, a fee equal to $25,000, which shall be nonrefundable;</w:t>
      </w:r>
    </w:p>
    <w:p>
      <w:pPr>
        <w:spacing w:after="0" w:line="117" w:lineRule="exact"/>
        <w:rPr>
          <w:rFonts w:ascii="Times New Roman" w:cs="Times New Roman" w:eastAsia="Times New Roman" w:hAnsi="Times New Roman"/>
          <w:sz w:val="18"/>
          <w:szCs w:val="18"/>
          <w:b w:val="1"/>
          <w:bCs w:val="1"/>
          <w:color w:val="auto"/>
        </w:rPr>
      </w:pPr>
    </w:p>
    <w:p>
      <w:pPr>
        <w:ind w:right="360" w:firstLine="1428"/>
        <w:spacing w:after="0" w:line="286" w:lineRule="auto"/>
        <w:tabs>
          <w:tab w:leader="none" w:pos="1697"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Expenses</w:t>
      </w:r>
      <w:r>
        <w:rPr>
          <w:rFonts w:ascii="Times New Roman" w:cs="Times New Roman" w:eastAsia="Times New Roman" w:hAnsi="Times New Roman"/>
          <w:sz w:val="18"/>
          <w:szCs w:val="18"/>
          <w:color w:val="auto"/>
        </w:rPr>
        <w:t>. On the Closing Date, all Bank Expenses incurred through the Closing Date, and, after the Closing Date,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Expenses, as and when they become due.</w:t>
      </w:r>
    </w:p>
    <w:p>
      <w:pPr>
        <w:spacing w:after="0" w:line="46" w:lineRule="exact"/>
        <w:rPr>
          <w:rFonts w:ascii="Times New Roman" w:cs="Times New Roman" w:eastAsia="Times New Roman" w:hAnsi="Times New Roman"/>
          <w:sz w:val="18"/>
          <w:szCs w:val="18"/>
          <w:b w:val="1"/>
          <w:bCs w:val="1"/>
          <w:color w:val="auto"/>
        </w:rPr>
      </w:pPr>
    </w:p>
    <w:p>
      <w:pPr>
        <w:ind w:right="80" w:firstLine="1428"/>
        <w:spacing w:after="0" w:line="262" w:lineRule="auto"/>
        <w:tabs>
          <w:tab w:leader="none" w:pos="1677"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 Fee. </w:t>
      </w:r>
      <w:r>
        <w:rPr>
          <w:rFonts w:ascii="Times New Roman" w:cs="Times New Roman" w:eastAsia="Times New Roman" w:hAnsi="Times New Roman"/>
          <w:sz w:val="18"/>
          <w:szCs w:val="18"/>
          <w:color w:val="auto"/>
        </w:rPr>
        <w:t>Upon a Success Fee Event, Borrower shall pay to Bank a fee equal to the greater of (i) four percent (4.0%)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Advances and (ii) one percent (1.0%) of the Revolving Line as of the Effective Date. This Section 2.5(c) shall survive any termination of this Agreement. If this Agreement is terminated prior to payment of the Success Fee, Borrower shall give Bank written notice of the first Success Fee Event to occur thereafter and pay the Success Fee upon the closing of such Success Fee Event.</w:t>
      </w:r>
    </w:p>
    <w:p>
      <w:pPr>
        <w:spacing w:after="0" w:line="68" w:lineRule="exact"/>
        <w:rPr>
          <w:sz w:val="20"/>
          <w:szCs w:val="20"/>
          <w:color w:val="auto"/>
        </w:rPr>
      </w:pPr>
    </w:p>
    <w:p>
      <w:pPr>
        <w:ind w:right="1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2.6 Term</w:t>
      </w:r>
      <w:r>
        <w:rPr>
          <w:rFonts w:ascii="Times New Roman" w:cs="Times New Roman" w:eastAsia="Times New Roman" w:hAnsi="Times New Roman"/>
          <w:sz w:val="18"/>
          <w:szCs w:val="18"/>
          <w:color w:val="auto"/>
        </w:rPr>
        <w:t>. This Agreement shall become effective on the Closing Date and, subject to Section 12.812.8 shall continue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for so long as any Obligations remain outstanding or Bank has any obligation to make Credit Extensions under this Agreement. Notwithstanding the foregoing, Bank shall have the right to terminate its obligation to make Credit Extensions under this Agreement immediately and without notice upon the occurrence and during the continuance of an Event of Default.</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 CONDITIONS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3.1 Conditions Precedent to </w:t>
      </w:r>
      <w:r>
        <w:rPr>
          <w:rFonts w:ascii="Times New Roman" w:cs="Times New Roman" w:eastAsia="Times New Roman" w:hAnsi="Times New Roman"/>
          <w:sz w:val="18"/>
          <w:szCs w:val="18"/>
          <w:color w:val="auto"/>
        </w:rPr>
        <w:t>Closing. The agreement of Bank to enter into this Agreement on the Closing Date is subject to the condition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precedent that Bank shall have received, in form and substance satisfactory to Bank, each of the following items and completed each of the following requirements:</w:t>
      </w:r>
    </w:p>
    <w:p>
      <w:pPr>
        <w:spacing w:after="0" w:line="67" w:lineRule="exact"/>
        <w:rPr>
          <w:sz w:val="20"/>
          <w:szCs w:val="20"/>
          <w:color w:val="auto"/>
        </w:rPr>
      </w:pPr>
    </w:p>
    <w:p>
      <w:pPr>
        <w:ind w:left="1680" w:hanging="252"/>
        <w:spacing w:after="0"/>
        <w:tabs>
          <w:tab w:leader="none" w:pos="1680"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w:t>
      </w:r>
    </w:p>
    <w:p>
      <w:pPr>
        <w:spacing w:after="0" w:line="117"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officer’s certificate of Borrower with respect to incumbency and resolutions authorizing the execution and delivery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left="1680" w:hanging="252"/>
        <w:spacing w:after="0"/>
        <w:tabs>
          <w:tab w:leader="none" w:pos="1680"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financing statement (Form UCC-1);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9" w:right="459" w:bottom="1440" w:gutter="0" w:footer="0" w:header="0"/>
        </w:sectPr>
      </w:pPr>
    </w:p>
    <w:bookmarkStart w:id="514" w:name="page515"/>
    <w:bookmarkEnd w:id="514"/>
    <w:p>
      <w:pPr>
        <w:ind w:left="1700" w:hanging="272"/>
        <w:spacing w:after="0"/>
        <w:tabs>
          <w:tab w:leader="none" w:pos="1700"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the fees and Bank Expenses then due specified in Section 2.5, which may be debited from any of Borrower’s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with Bank;</w:t>
      </w:r>
    </w:p>
    <w:p>
      <w:pPr>
        <w:spacing w:after="0" w:line="98"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SOS Reports indicating that except for Permitted Liens, there are no other security interests or Liens of record in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Collateral;</w:t>
      </w:r>
    </w:p>
    <w:p>
      <w:pPr>
        <w:spacing w:after="0" w:line="98" w:lineRule="exact"/>
        <w:rPr>
          <w:rFonts w:ascii="Times New Roman" w:cs="Times New Roman" w:eastAsia="Times New Roman" w:hAnsi="Times New Roman"/>
          <w:sz w:val="18"/>
          <w:szCs w:val="18"/>
          <w:b w:val="1"/>
          <w:bCs w:val="1"/>
          <w:color w:val="auto"/>
        </w:rPr>
      </w:pPr>
    </w:p>
    <w:p>
      <w:pPr>
        <w:ind w:firstLine="1428"/>
        <w:spacing w:after="0" w:line="261" w:lineRule="auto"/>
        <w:tabs>
          <w:tab w:leader="none" w:pos="1657"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financial statements, including audited statements (or such other level required by the Borrower’s board of directors) for Borrower’s most recently ended fiscal year, company prepared consolidated and consolidating balance sheets, income statements, and statements of cash flows for the most recently ended fiscal quarter in accordance with Section 6.2, and such other updated financial information as Bank may reasonably request;</w:t>
      </w:r>
    </w:p>
    <w:p>
      <w:pPr>
        <w:spacing w:after="0" w:line="71"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Compliance Certificate in accordance with Section 6.2;</w:t>
      </w:r>
    </w:p>
    <w:p>
      <w:pPr>
        <w:spacing w:after="0" w:line="117"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Borrower Information Certificate;</w:t>
      </w:r>
    </w:p>
    <w:p>
      <w:pPr>
        <w:spacing w:after="0" w:line="117" w:lineRule="exact"/>
        <w:rPr>
          <w:rFonts w:ascii="Times New Roman" w:cs="Times New Roman" w:eastAsia="Times New Roman" w:hAnsi="Times New Roman"/>
          <w:sz w:val="18"/>
          <w:szCs w:val="18"/>
          <w:b w:val="1"/>
          <w:bCs w:val="1"/>
          <w:color w:val="auto"/>
        </w:rPr>
      </w:pPr>
    </w:p>
    <w:p>
      <w:pPr>
        <w:ind w:left="1660" w:hanging="232"/>
        <w:spacing w:after="0"/>
        <w:tabs>
          <w:tab w:leader="none" w:pos="1660"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opinion of Borrower’s counsel;</w:t>
      </w:r>
    </w:p>
    <w:p>
      <w:pPr>
        <w:spacing w:after="0" w:line="117"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have opened and funded not less than $50,000 in deposit accounts held with Bank; and</w:t>
      </w:r>
    </w:p>
    <w:p>
      <w:pPr>
        <w:spacing w:after="0" w:line="117"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other documents or certificates, and completion of such other matters, as Bank may reasonably request.</w:t>
      </w:r>
    </w:p>
    <w:p>
      <w:pPr>
        <w:spacing w:after="0" w:line="113" w:lineRule="exact"/>
        <w:rPr>
          <w:sz w:val="20"/>
          <w:szCs w:val="20"/>
          <w:color w:val="auto"/>
        </w:rPr>
      </w:pPr>
    </w:p>
    <w:p>
      <w:pPr>
        <w:ind w:right="2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3.2 Conditions Precedent to all Credit Extensions</w:t>
      </w:r>
      <w:r>
        <w:rPr>
          <w:rFonts w:ascii="Times New Roman" w:cs="Times New Roman" w:eastAsia="Times New Roman" w:hAnsi="Times New Roman"/>
          <w:sz w:val="18"/>
          <w:szCs w:val="18"/>
          <w:color w:val="auto"/>
        </w:rPr>
        <w:t>. The obligation of Bank to make each Credit Extension, including the initial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is contingent upon the Borrower’s compliance with Section 3.1 above, and is further subject to the following conditions:</w:t>
      </w:r>
    </w:p>
    <w:p>
      <w:pPr>
        <w:spacing w:after="0" w:line="51" w:lineRule="exact"/>
        <w:rPr>
          <w:sz w:val="20"/>
          <w:szCs w:val="20"/>
          <w:color w:val="auto"/>
        </w:rPr>
      </w:pPr>
    </w:p>
    <w:p>
      <w:pPr>
        <w:ind w:left="1680" w:hanging="252"/>
        <w:spacing w:after="0"/>
        <w:tabs>
          <w:tab w:leader="none" w:pos="1680"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timely receipt by Bank of the Loan Advance/Paydown Request Form as provided in Section 2.1;</w:t>
      </w:r>
    </w:p>
    <w:p>
      <w:pPr>
        <w:spacing w:after="0" w:line="117"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be in compliance with Section 6.6 hereof;</w:t>
      </w:r>
    </w:p>
    <w:p>
      <w:pPr>
        <w:spacing w:after="0" w:line="117"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Bank’s sole discretion, there has not been a Material Adverse Effect; and</w:t>
      </w:r>
    </w:p>
    <w:p>
      <w:pPr>
        <w:spacing w:after="0" w:line="117" w:lineRule="exact"/>
        <w:rPr>
          <w:rFonts w:ascii="Times New Roman" w:cs="Times New Roman" w:eastAsia="Times New Roman" w:hAnsi="Times New Roman"/>
          <w:sz w:val="18"/>
          <w:szCs w:val="18"/>
          <w:b w:val="1"/>
          <w:bCs w:val="1"/>
          <w:color w:val="auto"/>
        </w:rPr>
      </w:pPr>
    </w:p>
    <w:p>
      <w:pPr>
        <w:ind w:right="40" w:firstLine="1428"/>
        <w:spacing w:after="0" w:line="255" w:lineRule="auto"/>
        <w:tabs>
          <w:tab w:leader="none" w:pos="1697"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representations and warranties contained in Section 5 shall be true and correct in all material respects on and as of the date of such Loan Advance/Paydown Request Form and on the effective date of each Credit Extension as though made at and as of each such date, and no Event of Default shall have occurred and be continuing, or would exist after giving effect to such Credit Extension (provided, however, that those representations and warranties expressly referring to another date or time period shall be true and correct in all material respects as of such date or with respect to such time period, and provided further that any representation or warranty that contains a materiality qualification therein shall be true and correct in all respects). The making of each Credit Extension shall be deemed to be a representation and warranty by Borrower on the date of such Credit Extension as to the accuracy of the facts referred to in this Section 3.2.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9" w:right="459" w:bottom="1440" w:gutter="0" w:footer="0" w:header="0"/>
        </w:sectPr>
      </w:pPr>
    </w:p>
    <w:bookmarkStart w:id="515" w:name="page516"/>
    <w:bookmarkEnd w:id="515"/>
    <w:p>
      <w:pPr>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 Post Closing Conditions</w:t>
      </w:r>
      <w:r>
        <w:rPr>
          <w:rFonts w:ascii="Times New Roman" w:cs="Times New Roman" w:eastAsia="Times New Roman" w:hAnsi="Times New Roman"/>
          <w:sz w:val="18"/>
          <w:szCs w:val="18"/>
          <w:color w:val="auto"/>
        </w:rPr>
        <w:t>. Within thirty (30) days after the Closing Date, Borrower shall deliver to Bank evidence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Bank that the insurance policies required by Section 6.5 hereof are in full force and effect, together with appropriate evidence showing loss payable and additional insured clauses or endorsements in favor of Bank.</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 CREATION OF SECURITY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4.1 Grant of Security Interest</w:t>
      </w:r>
      <w:r>
        <w:rPr>
          <w:rFonts w:ascii="Times New Roman" w:cs="Times New Roman" w:eastAsia="Times New Roman" w:hAnsi="Times New Roman"/>
          <w:sz w:val="18"/>
          <w:szCs w:val="18"/>
          <w:color w:val="auto"/>
        </w:rPr>
        <w:t>. Borrower grants and pledges to Bank a continuing security interest in the Collateral to secure prompt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repayment of any and all Obligations and to secure prompt performance by Borrower of each of its covenants and duties under the Loan Documents. Except for Permitted Liens or as disclosed in the Schedule, such security interest constitutes a valid, first priority security interest in the presently existing Collateral, and will constitute a valid, first priority security interest in later-acquired Collateral. Except for the granting of Permitted Liens under clause (i) of the definition thereof, Borrower shall not sell, transfer, assign, mortgage, pledge, lease, grant a security interest in, or encumber any of its Intellectual Property. Notwithstanding any termination of this Agreement or of any filings undertaken related to Bank’s rights under the Code, Bank’s Lien on the Collateral shall remain in effect for so long as any Obligations are outstanding.</w:t>
      </w:r>
    </w:p>
    <w:p>
      <w:pPr>
        <w:spacing w:after="0" w:line="7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b w:val="1"/>
          <w:bCs w:val="1"/>
          <w:color w:val="auto"/>
        </w:rPr>
        <w:t>4.2 Perfection of Security Interest</w:t>
      </w:r>
      <w:r>
        <w:rPr>
          <w:rFonts w:ascii="Times New Roman" w:cs="Times New Roman" w:eastAsia="Times New Roman" w:hAnsi="Times New Roman"/>
          <w:sz w:val="18"/>
          <w:szCs w:val="18"/>
          <w:color w:val="auto"/>
        </w:rPr>
        <w:t>. Borrower authorizes Bank to file at any time financing statements, continuation statements,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amendments thereto that (i) either specifically describe the Collateral or describe the Collateral as all assets of Borrower of the kind pledged hereunder, and (ii) contain any other information required by the Code for the sufficiency of filing office acceptance of any financing statement, continuation statement, or amendment, including whether Borrower is an organization, the type of organization and any organizational identification number issued to Borrower, if applicable. Borrower shall have possession of the Collateral, except where expressly otherwise provided in this Agreement or where Bank chooses to perfect its security interest by possession in addition to the filing of a financing statement. Where Collateral is in possession of a third party bailee, Borrower shall take such steps as Bank reasonably requests for Bank to (i) subject to Section 7.11 below, obtain an acknowledgment, in form and substance reasonably satisfactory to Bank, of the bailee that the bailee holds such Collateral for the benefit of Bank, and (ii) obtain “control” of any Collateral consisting of investment property, deposit accounts, letter-of-credit rights or electronic chattel paper (as such items and the term “control” are defined in Revised Article 9 of the Code) by causing the securities intermediary or depositary institution or issuing bank to execute a control agreement in form and substance reasonably satisfactory to Bank. Borrower will not create any chattel paper without placing a legend on the chattel paper reasonably acceptable to Bank indicating that Bank has a security interest in the chattel paper. Borrower from time to time may deposit with Bank specific cash collateral to secure specific Obligations; Borrower authorizes Bank to hold such specific balances in pledge and to decline to honor any drafts thereon or any request by Borrower or any other Person to pay or otherwise transfer any part of such balances for so long as the specific Obligations are outstanding. Borrower shall take such other actions as Bank reasonably requests to perfect its security interests granted under this Agreement.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5" w:right="459" w:bottom="1440" w:gutter="0" w:footer="0" w:header="0"/>
        </w:sectPr>
      </w:pPr>
    </w:p>
    <w:bookmarkStart w:id="516" w:name="page517"/>
    <w:bookmarkEnd w:id="516"/>
    <w:p>
      <w:pPr>
        <w:ind w:left="440" w:right="6900" w:hanging="4"/>
        <w:spacing w:after="0" w:line="397" w:lineRule="auto"/>
        <w:tabs>
          <w:tab w:leader="none" w:pos="620" w:val="left"/>
        </w:tabs>
        <w:numPr>
          <w:ilvl w:val="0"/>
          <w:numId w:val="4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represents and warrants as follows:</w:t>
      </w:r>
    </w:p>
    <w:p>
      <w:pPr>
        <w:spacing w:after="0" w:line="1" w:lineRule="exact"/>
        <w:rPr>
          <w:sz w:val="20"/>
          <w:szCs w:val="20"/>
          <w:color w:val="auto"/>
        </w:rPr>
      </w:pPr>
    </w:p>
    <w:p>
      <w:pPr>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5.1 Due Organization and Qualification</w:t>
      </w:r>
      <w:r>
        <w:rPr>
          <w:rFonts w:ascii="Times New Roman" w:cs="Times New Roman" w:eastAsia="Times New Roman" w:hAnsi="Times New Roman"/>
          <w:sz w:val="18"/>
          <w:szCs w:val="18"/>
          <w:color w:val="auto"/>
        </w:rPr>
        <w:t>. Borrower and each Subsidiary is duly existing under the laws of the state in which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organized and qualified and licensed to do business in any state in which the conduct of its business or its ownership of property requires that it be so qualified, except where the failure to do so would not reasonably be expected to cause a Material Adverse Effect.</w:t>
      </w:r>
    </w:p>
    <w:p>
      <w:pPr>
        <w:spacing w:after="0" w:line="63"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5.2 Due Authorization; No Conflict</w:t>
      </w:r>
      <w:r>
        <w:rPr>
          <w:rFonts w:ascii="Times New Roman" w:cs="Times New Roman" w:eastAsia="Times New Roman" w:hAnsi="Times New Roman"/>
          <w:sz w:val="18"/>
          <w:szCs w:val="18"/>
          <w:color w:val="auto"/>
        </w:rPr>
        <w:t>. The execution, delivery, and performance of the Loan Documents are within Borrower’s 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authorized, and are not in conflict with nor constitute a breach of any provision contained in Borrower’s Certificate of Incorporation or Bylaws, nor will they constitute an event of default under any material agreement by which Borrower is bound. Borrower is not in default under any agreement by which it is bound, except to the extent such default would not reasonably be expected to cause a Material Adverse Effect.</w:t>
      </w:r>
    </w:p>
    <w:p>
      <w:pPr>
        <w:spacing w:after="0" w:line="68" w:lineRule="exact"/>
        <w:rPr>
          <w:sz w:val="20"/>
          <w:szCs w:val="20"/>
          <w:color w:val="auto"/>
        </w:rPr>
      </w:pPr>
    </w:p>
    <w:p>
      <w:pPr>
        <w:ind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5.3 Collateral</w:t>
      </w:r>
      <w:r>
        <w:rPr>
          <w:rFonts w:ascii="Times New Roman" w:cs="Times New Roman" w:eastAsia="Times New Roman" w:hAnsi="Times New Roman"/>
          <w:sz w:val="18"/>
          <w:szCs w:val="18"/>
          <w:color w:val="auto"/>
        </w:rPr>
        <w:t>. Borrower has rights in or the power to transfer the Collateral, and its title to the Collateral is free and clear of Liens,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claims, and restrictions on transfer or pledge except for Permitted Liens. All Inventory is in all material respects of good and merchantable quality, free from all material defects, except for Inventory for which adequate reserves have been made. Except as set forth in the Schedule, none of the Borrower’s Cash is maintained or invested with a Person other than Bank or Bank’s affiliates.</w:t>
      </w:r>
    </w:p>
    <w:p>
      <w:pPr>
        <w:spacing w:after="0" w:line="68"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5.4 Intellectual Property</w:t>
      </w:r>
      <w:r>
        <w:rPr>
          <w:rFonts w:ascii="Times New Roman" w:cs="Times New Roman" w:eastAsia="Times New Roman" w:hAnsi="Times New Roman"/>
          <w:sz w:val="18"/>
          <w:szCs w:val="18"/>
          <w:color w:val="auto"/>
        </w:rPr>
        <w:t>. Borrower is the sole owner of the Intellectual Property, except for (a) Permitted Liens under clause (i)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definition thereof, (b) commercially available software products or services under standard end-user license agreements, (c) other intellectual property of which Borrower is a licensee in compliance with Section 6.9 hereof, and (d) licenses granted by Borrower to its customers in the ordinary course of business. To Borrower’s knowledge, each of the Copyrights, Trademarks and Patents is valid and enforceable, and no part of the Intellectual Property has been judged invalid or unenforceable, in whole or in part, and no claim has been made to Borrower that any part of the Intellectual Property violates the rights of any third party except to the extent such claim would not reasonably be expected to cause a Material Adverse Effect.</w:t>
      </w:r>
    </w:p>
    <w:p>
      <w:pPr>
        <w:spacing w:after="0" w:line="74" w:lineRule="exact"/>
        <w:rPr>
          <w:sz w:val="20"/>
          <w:szCs w:val="20"/>
          <w:color w:val="auto"/>
        </w:rPr>
      </w:pPr>
    </w:p>
    <w:p>
      <w:pPr>
        <w:ind w:right="3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5.5 Name; Location of Chief Executive Office</w:t>
      </w:r>
      <w:r>
        <w:rPr>
          <w:rFonts w:ascii="Times New Roman" w:cs="Times New Roman" w:eastAsia="Times New Roman" w:hAnsi="Times New Roman"/>
          <w:sz w:val="18"/>
          <w:szCs w:val="18"/>
          <w:color w:val="auto"/>
        </w:rPr>
        <w:t>. Except as disclosed in the Schedule, Borrower has not done business under any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that specified on the signature page hereof, and its exact legal name is as set forth in the first paragraph of this Agreement. The chief executive office of Borrower is located at the address indicated in Section 10 hereof.</w:t>
      </w:r>
    </w:p>
    <w:p>
      <w:pPr>
        <w:spacing w:after="0" w:line="63" w:lineRule="exact"/>
        <w:rPr>
          <w:sz w:val="20"/>
          <w:szCs w:val="20"/>
          <w:color w:val="auto"/>
        </w:rPr>
      </w:pPr>
    </w:p>
    <w:p>
      <w:pPr>
        <w:ind w:right="16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5.6 Litigation</w:t>
      </w:r>
      <w:r>
        <w:rPr>
          <w:rFonts w:ascii="Times New Roman" w:cs="Times New Roman" w:eastAsia="Times New Roman" w:hAnsi="Times New Roman"/>
          <w:sz w:val="17"/>
          <w:szCs w:val="17"/>
          <w:color w:val="auto"/>
        </w:rPr>
        <w:t>. Except as set forth in the Schedule, there are no actions or proceedings pending by or against Borrower or any Subsidiary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before any court or administrative agency in which a likely adverse decision would reasonably be expected to have a Material Adverse Effect.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5" w:right="459" w:bottom="1440" w:gutter="0" w:footer="0" w:header="0"/>
        </w:sectPr>
      </w:pPr>
    </w:p>
    <w:bookmarkStart w:id="517" w:name="page518"/>
    <w:bookmarkEnd w:id="517"/>
    <w:p>
      <w:pPr>
        <w:ind w:right="1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5.7 No Material Adverse Change in Financial Statements</w:t>
      </w:r>
      <w:r>
        <w:rPr>
          <w:rFonts w:ascii="Times New Roman" w:cs="Times New Roman" w:eastAsia="Times New Roman" w:hAnsi="Times New Roman"/>
          <w:sz w:val="18"/>
          <w:szCs w:val="18"/>
          <w:color w:val="auto"/>
        </w:rPr>
        <w:t>. All consolidated and consolidating financial statements related to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Subsidiary that are delivered by Borrower to Bank or otherwise submitted to Bank by or on behalf of Borrower fairly present in all material respects Borrower’s consolidated and consolidating financial condition as of the date thereof and Borrower’s consolidated and consolidating results of operations for the period then ended. There has not been a material adverse change in the consolidated or in the consolidating financial condition of Borrower since the date of the most recent of such financial statements submitted to Bank.</w:t>
      </w:r>
    </w:p>
    <w:p>
      <w:pPr>
        <w:spacing w:after="0" w:line="71" w:lineRule="exact"/>
        <w:rPr>
          <w:sz w:val="20"/>
          <w:szCs w:val="20"/>
          <w:color w:val="auto"/>
        </w:rPr>
      </w:pPr>
    </w:p>
    <w:p>
      <w:pPr>
        <w:ind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5.8 Solvency, Payment of Debts</w:t>
      </w:r>
      <w:r>
        <w:rPr>
          <w:rFonts w:ascii="Times New Roman" w:cs="Times New Roman" w:eastAsia="Times New Roman" w:hAnsi="Times New Roman"/>
          <w:sz w:val="18"/>
          <w:szCs w:val="18"/>
          <w:color w:val="auto"/>
        </w:rPr>
        <w:t>. Borrower is able to pay its debts (including trade debts) as they mature; the fair saleable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assets (including goodwill minus disposition costs) exceeds the fair value of its liabilities; and Borrower is not left with unreasonably small capital after the transactions contemplated by this Agreement.</w:t>
      </w:r>
    </w:p>
    <w:p>
      <w:pPr>
        <w:spacing w:after="0" w:line="6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5.9 Compliance with Laws and Regulations</w:t>
      </w:r>
      <w:r>
        <w:rPr>
          <w:rFonts w:ascii="Times New Roman" w:cs="Times New Roman" w:eastAsia="Times New Roman" w:hAnsi="Times New Roman"/>
          <w:sz w:val="18"/>
          <w:szCs w:val="18"/>
          <w:color w:val="auto"/>
        </w:rPr>
        <w:t>. Borrower and each Subsidiary have met the minimum funding requirements of ERISA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employee benefit plans subject to ERISA. No event has occurred resulting from Borrower’s failure to comply with ERISA that is reasonably likely to result in Borrower’s incurring any liability that could have a Material Adverse Effect. Borrower is not an “investment company” or a company “controlled” by an “investment company” within the meaning of the Investment Company Act of 1940. Borrower is not engaged principally, or as one of its important activities, in the business of extending credit for the purpose of purchasing or carrying margin stock (within the meaning of Regulations T and U of the Board of Governors of the Federal Reserve System). Borrower has not violated any statutes, laws, ordinances or rules applicable to it, the violation of which would reasonably be expected to have a Material Adverse Effect. Borrower and each Subsidiary have filed or caused to be filed all tax returns required to be filed, and have paid, or have made adequate provision for the payment of, all taxes reflected therein except those being contested in good faith with adequate reserves under GAAP or where the failure to file such returns or pay such taxes would not reasonably be expected to have a Material Adverse Effect.</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5.10 Subsidiaries</w:t>
      </w:r>
      <w:r>
        <w:rPr>
          <w:rFonts w:ascii="Times New Roman" w:cs="Times New Roman" w:eastAsia="Times New Roman" w:hAnsi="Times New Roman"/>
          <w:sz w:val="18"/>
          <w:szCs w:val="18"/>
          <w:color w:val="auto"/>
        </w:rPr>
        <w:t>. Borrower does not own any stock, partnership interest or other equity securities of any Person, except for Permitted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95"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5.11 Government Consents</w:t>
      </w:r>
      <w:r>
        <w:rPr>
          <w:rFonts w:ascii="Times New Roman" w:cs="Times New Roman" w:eastAsia="Times New Roman" w:hAnsi="Times New Roman"/>
          <w:sz w:val="18"/>
          <w:szCs w:val="18"/>
          <w:color w:val="auto"/>
        </w:rPr>
        <w:t>. Borrower and each Subsidiary have obtained all consents, approvals and authorizations of, made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declarations or filings with, and given all notices to, all governmental authorities that are necessary for the continued operation of Borrower’s business as currently conducted, except where the failure to do so would not reasonably be expected to cause a Material Adverse Effect.</w:t>
      </w:r>
    </w:p>
    <w:p>
      <w:pPr>
        <w:spacing w:after="0" w:line="63" w:lineRule="exact"/>
        <w:rPr>
          <w:sz w:val="20"/>
          <w:szCs w:val="20"/>
          <w:color w:val="auto"/>
        </w:rPr>
      </w:pPr>
    </w:p>
    <w:p>
      <w:pPr>
        <w:ind w:right="2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5.12 Inbound Licenses</w:t>
      </w:r>
      <w:r>
        <w:rPr>
          <w:rFonts w:ascii="Times New Roman" w:cs="Times New Roman" w:eastAsia="Times New Roman" w:hAnsi="Times New Roman"/>
          <w:sz w:val="18"/>
          <w:szCs w:val="18"/>
          <w:color w:val="auto"/>
        </w:rPr>
        <w:t>. Except as disclosed on the Schedule, Borrower is not a party to, nor is bound by, any material license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important for the conduct of Borrower’s business that prohibits or otherwise restricts Borrower from granting a security interest in Borrower’s interest in such license or agreement or any other property important for the conduct of Borrower’s business, other than this Agreement or the other Loan Documents.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5" w:right="459" w:bottom="1440" w:gutter="0" w:footer="0" w:header="0"/>
        </w:sectPr>
      </w:pPr>
    </w:p>
    <w:bookmarkStart w:id="518" w:name="page519"/>
    <w:bookmarkEnd w:id="518"/>
    <w:p>
      <w:pPr>
        <w:ind w:left="4"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5.13 Full Disclosure</w:t>
      </w:r>
      <w:r>
        <w:rPr>
          <w:rFonts w:ascii="Times New Roman" w:cs="Times New Roman" w:eastAsia="Times New Roman" w:hAnsi="Times New Roman"/>
          <w:sz w:val="18"/>
          <w:szCs w:val="18"/>
          <w:color w:val="auto"/>
        </w:rPr>
        <w:t>. No representation, warranty or other statement made by Borrower in any report, certificate, or written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furnished or submitted to Bank taken together with all such reports, certificates, and written statements furnished or submitted to Bank contains any untrue statement of a material fact or omits to state a material fact necessary to make the statements contained in such reports, certificates, or statements not misleading in light of the circumstances in which they were made, it being recognized by Bank that the projections and forecasts provided by Borrower in good faith and based upon reasonable assumptions are not to be viewed as facts and that actual results during the period or periods covered by any such projections and forecasts may differ from the projected or forecasted results.</w:t>
      </w:r>
    </w:p>
    <w:p>
      <w:pPr>
        <w:spacing w:after="0" w:line="74" w:lineRule="exact"/>
        <w:rPr>
          <w:sz w:val="20"/>
          <w:szCs w:val="20"/>
          <w:color w:val="auto"/>
        </w:rPr>
      </w:pPr>
    </w:p>
    <w:p>
      <w:pPr>
        <w:ind w:left="444" w:right="7780" w:hanging="4"/>
        <w:spacing w:after="0" w:line="397" w:lineRule="auto"/>
        <w:tabs>
          <w:tab w:leader="none" w:pos="624" w:val="left"/>
        </w:tabs>
        <w:numPr>
          <w:ilvl w:val="0"/>
          <w:numId w:val="4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AFFIRMATIVE COVENANTS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shall do all of the following:</w:t>
      </w:r>
    </w:p>
    <w:p>
      <w:pPr>
        <w:spacing w:after="0" w:line="1"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6.1 Good Standing and Government Compliance</w:t>
      </w:r>
      <w:r>
        <w:rPr>
          <w:rFonts w:ascii="Times New Roman" w:cs="Times New Roman" w:eastAsia="Times New Roman" w:hAnsi="Times New Roman"/>
          <w:sz w:val="18"/>
          <w:szCs w:val="18"/>
          <w:color w:val="auto"/>
        </w:rPr>
        <w:t>. Borrower shall maintain its and each of its Subsidiaries’ corporate existence and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in the respective states of formation, shall maintain qualification and good standing in each other jurisdiction in which the failure to so qualify would reasonably be expected to have a Material Adverse Effect, and shall furnish to Bank the organizational identification number issued to Borrower by the authorities of the state in which Borrower is organized, if applicable. Borrower shall meet, and shall cause each Subsidiary to meet, the minimum funding requirements of ERISA with respect to any employee benefit plans subject to ERISA. Borrower shall comply, and shall cause each Subsidiary to comply, with all statutes, laws, ordinances and government rules and regulations to which it is subject, and shall maintain, and shall cause each of its Subsidiaries to maintain, in force all licenses, approvals and agreements, the loss of which or failure to comply with which would reasonably be expected to have a Material Adverse Effect.</w:t>
      </w:r>
    </w:p>
    <w:p>
      <w:pPr>
        <w:spacing w:after="0" w:line="7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6.2 Financial Statements, Reports, Certificates, Collateral Audits.</w:t>
      </w:r>
    </w:p>
    <w:p>
      <w:pPr>
        <w:spacing w:after="0" w:line="121" w:lineRule="exact"/>
        <w:rPr>
          <w:sz w:val="20"/>
          <w:szCs w:val="20"/>
          <w:color w:val="auto"/>
        </w:rPr>
      </w:pPr>
    </w:p>
    <w:p>
      <w:pPr>
        <w:ind w:left="4" w:right="20" w:firstLine="1428"/>
        <w:spacing w:after="0" w:line="252" w:lineRule="auto"/>
        <w:tabs>
          <w:tab w:leader="none" w:pos="1691" w:val="left"/>
        </w:tabs>
        <w:numPr>
          <w:ilvl w:val="1"/>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deliver to Bank: (i) as soon as available, but in any event within 45 days after the end of each calendar quarter (and within 30 days after the last day of any calendar month in which the aggregate Cash in account(s) with Bank is less than $100,000,000), a company prepared consolidated and consolidating balance sheet, income statement, and statement of cash flows covering Borrower’s operations during such period, in a form reasonably acceptable to Bank and certified by a Responsible Officer; (ii) as soon as available, but in any event within 180 days after the end of Borrower’s fiscal year, audited consolidated and consolidating financial statements of Borrower prepared in accordance with GAAP, consistently applied, together with an opinion which is either unqualified or qualified only for “going concern” on such financial statements of an independent certified public accounting firm reasonably acceptable to Bank; (iii) annual budget approved by Borrower’s Board of Directors as soon as available but not later than sixty (60) days after the last day of the preceding year; (iv) if applicable, copies of all statements, reports and notices sent or made available generally by Borrower to its security holders or to any holders of Subordinated Debt and all reports on Forms 10-K and 10-Q filed with the Securities and Exchange Commission; (v) promptly upon receipt of notice thereof, a report of any legal actions pending or threatened against Borrower or any Subsidiary that could reasonably be expected to result in damages or costs to Borrower or any Subsidiary of $250,000 or more;</w:t>
      </w:r>
    </w:p>
    <w:p>
      <w:pPr>
        <w:spacing w:after="0" w:line="3" w:lineRule="exact"/>
        <w:rPr>
          <w:rFonts w:ascii="Times New Roman" w:cs="Times New Roman" w:eastAsia="Times New Roman" w:hAnsi="Times New Roman"/>
          <w:sz w:val="18"/>
          <w:szCs w:val="18"/>
          <w:b w:val="1"/>
          <w:bCs w:val="1"/>
          <w:color w:val="auto"/>
        </w:rPr>
      </w:pPr>
    </w:p>
    <w:p>
      <w:pPr>
        <w:ind w:left="4" w:right="700" w:hanging="4"/>
        <w:spacing w:after="0" w:line="250" w:lineRule="auto"/>
        <w:tabs>
          <w:tab w:leader="none" w:pos="309"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receipt, each management letter prepared by Borrower’s independent certified public accounting firm regarding Borrower’s management control systems; (vii) upon the Bank’s reasonable requests from time to time, such budgets, sales</w:t>
      </w:r>
    </w:p>
    <w:p>
      <w:pPr>
        <w:ind w:left="4"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operating plans or other information, including informal pre-clinical and clinical updates on any material developments as Borrower may determine in its sole discretion.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5" w:right="459" w:bottom="1440" w:gutter="0" w:footer="0" w:header="0"/>
        </w:sectPr>
      </w:pPr>
    </w:p>
    <w:bookmarkStart w:id="519" w:name="page520"/>
    <w:bookmarkEnd w:id="519"/>
    <w:p>
      <w:pPr>
        <w:ind w:right="140" w:firstLine="1428"/>
        <w:spacing w:after="0" w:line="282" w:lineRule="auto"/>
        <w:tabs>
          <w:tab w:leader="none" w:pos="1697" w:val="left"/>
        </w:tabs>
        <w:numPr>
          <w:ilvl w:val="0"/>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30 days after the last day of each month, Borrower shall deliver to Bank a Compliance Certificate certified as of the last day of the applicable month and signed by a Responsible Officer.</w:t>
      </w:r>
    </w:p>
    <w:p>
      <w:pPr>
        <w:spacing w:after="0" w:line="53" w:lineRule="exact"/>
        <w:rPr>
          <w:rFonts w:ascii="Times New Roman" w:cs="Times New Roman" w:eastAsia="Times New Roman" w:hAnsi="Times New Roman"/>
          <w:sz w:val="18"/>
          <w:szCs w:val="18"/>
          <w:b w:val="1"/>
          <w:bCs w:val="1"/>
          <w:color w:val="auto"/>
        </w:rPr>
      </w:pPr>
    </w:p>
    <w:p>
      <w:pPr>
        <w:ind w:right="60" w:firstLine="1428"/>
        <w:spacing w:after="0" w:line="266" w:lineRule="auto"/>
        <w:tabs>
          <w:tab w:leader="none" w:pos="1677" w:val="left"/>
        </w:tabs>
        <w:numPr>
          <w:ilvl w:val="0"/>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soon as possible and in any event within 3 Business Days after becoming aware of the occurrence or existence of an Event of Default hereunder, Borrower shall deliver to Bank a written statement of a Responsible Officer setting forth details of the Event of Default, and the action which Borrower has taken or proposes to take with respect thereto.</w:t>
      </w:r>
    </w:p>
    <w:p>
      <w:pPr>
        <w:spacing w:after="0" w:line="67" w:lineRule="exact"/>
        <w:rPr>
          <w:rFonts w:ascii="Times New Roman" w:cs="Times New Roman" w:eastAsia="Times New Roman" w:hAnsi="Times New Roman"/>
          <w:sz w:val="18"/>
          <w:szCs w:val="18"/>
          <w:b w:val="1"/>
          <w:bCs w:val="1"/>
          <w:color w:val="auto"/>
        </w:rPr>
      </w:pPr>
    </w:p>
    <w:p>
      <w:pPr>
        <w:ind w:right="60" w:firstLine="1428"/>
        <w:spacing w:after="0" w:line="261" w:lineRule="auto"/>
        <w:tabs>
          <w:tab w:leader="none" w:pos="1697" w:val="left"/>
        </w:tabs>
        <w:numPr>
          <w:ilvl w:val="0"/>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Bank (through any of its officers, employees, or agents) shall have the right, upon reasonable prior notice, from time to time during Borrower’s usual business hours but no more than once a year (unless an Event of Default has occurred and is continuing), to inspect Borrower’s Books and to make copies thereof and to check, test, inspect, audit and appraise the Collateral at Borrower’s expense in order to verify Borrower’s financial condition or the amount, condition of, or any other matter relating to, the Collateral.</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Borrower may deliver to Bank on an electronic basis any certificates, reports, requests, or information required pursuant to this Section 6.2, and Bank shall be entitled to rely on the information contained in the electronic files, provided that Bank in good faith believes that the files were delivered by a Responsible Officer. Borrower shall include a submission date on any certificates, statements, and reports to be delivered electronically.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submission by Borrower of a Compliance Certificate or other financial statement pursuant to this Section 6.2, shall be deemed to be a representation by Borrower that (i) as of the date of such Compliance Certificate or financial statement, the information and calculations set forth therein are true and correct in all material respects, (ii) as of the end of the compliance period forth in such submission, Borrower is in complete compliance with all required covenants, except as noted in such Compliance Certificate or financial statement, as applicable; (iii) as of the date of such submission, no Events of Default have occurred or are continuing; and (iv) all representations and warranties, other than any representations or warranties that are made as of a specific date, in Section 5 remain true and correct in all material respects as of the date of such submission, except as noted in such Compliance Certificate or financial statement, as applicable.</w:t>
      </w:r>
    </w:p>
    <w:p>
      <w:pPr>
        <w:spacing w:after="0" w:line="77" w:lineRule="exact"/>
        <w:rPr>
          <w:sz w:val="20"/>
          <w:szCs w:val="20"/>
          <w:color w:val="auto"/>
        </w:rPr>
      </w:pPr>
    </w:p>
    <w:p>
      <w:pPr>
        <w:ind w:right="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6.3 Inventory and Equipment; Returns</w:t>
      </w:r>
      <w:r>
        <w:rPr>
          <w:rFonts w:ascii="Times New Roman" w:cs="Times New Roman" w:eastAsia="Times New Roman" w:hAnsi="Times New Roman"/>
          <w:sz w:val="18"/>
          <w:szCs w:val="18"/>
          <w:color w:val="auto"/>
        </w:rPr>
        <w:t>. Borrower shall keep all Inventory and Equipment in good and merchantable condition,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all material defects except for Inventory and Equipment (i) sold in the ordinary course of business, and (ii) for which adequate reserves have been made, in all cases in the United States and such other locations as to which Borrower gives prior written notice. Returns and allowances, if any, as between Borrower and its account debtors shall be on the same basis and in accordance with the usual customary practices of Borrower, as they exist on the Closing Date. Borrower shall promptly notify Bank of all returns and recoveries and of all disputes and claims involving inventory having a book value of more than $250,000.</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9" w:right="459" w:bottom="1440" w:gutter="0" w:footer="0" w:header="0"/>
        </w:sectPr>
      </w:pPr>
    </w:p>
    <w:bookmarkStart w:id="520" w:name="page521"/>
    <w:bookmarkEnd w:id="520"/>
    <w:p>
      <w:pPr>
        <w:ind w:right="8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6.4 Taxes</w:t>
      </w:r>
      <w:r>
        <w:rPr>
          <w:rFonts w:ascii="Times New Roman" w:cs="Times New Roman" w:eastAsia="Times New Roman" w:hAnsi="Times New Roman"/>
          <w:sz w:val="18"/>
          <w:szCs w:val="18"/>
          <w:color w:val="auto"/>
        </w:rPr>
        <w:t>. Borrower shall make, and cause each Subsidiary to make, due and timely payment or deposit of all material federal, state,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taxes, assessments, or contributions required of it by law, including, but not limited to, those laws concerning income taxes, F.I.C.A., F.U.T.A. and state disability, and will execute and deliver to Bank, on demand, proof reasonably satisfactory to Bank indicating that Borrower or a Subsidiary has made such payments or deposits and any appropriate certificates attesting to the payment or deposit thereof; provided that Borrower or a Subsidiary need not make any payment if the amount or validity of such payment is contested in good faith by appropriate proceedings and is reserved against (to the extent required by GAAP) by Borrower or such Subsidiary.</w:t>
      </w:r>
    </w:p>
    <w:p>
      <w:pPr>
        <w:spacing w:after="0" w:line="7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6.5 Insurance</w:t>
      </w:r>
      <w:r>
        <w:rPr>
          <w:rFonts w:ascii="Times New Roman" w:cs="Times New Roman" w:eastAsia="Times New Roman" w:hAnsi="Times New Roman"/>
          <w:sz w:val="18"/>
          <w:szCs w:val="18"/>
          <w:color w:val="auto"/>
        </w:rPr>
        <w:t>. Borrower, at its expense, shall (i) keep the Collateral insured against loss or damage, and (ii) maintain liability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in each case as ordinarily insured against by other owners in businesses similar to Borrower’s. All such policies of insurance shall be in such form, with such companies, and in such amounts as reasonably satisfactory to Bank. All policies of property insurance shall contain a lender’s loss payable endorsement, in a form reasonably satisfactory to Bank, showing Bank as lender’s loss payee. All liability insurance policies shall show, or have endorsements showing, Bank as an additional insured. Any such insurance policies shall specify that the insurer must give at least 20 days’ notice to Bank before canceling its policy for any reason other than failure to pay the required premium on such policy, in which case 10 days’ notice shall be required. Within 30 days of the Closing Date, Borrower shall cause to be furnished to Bank a copy of its policies of insurance including any endorsements covering Bank or showing Bank as an additional insured. Upon Bank’s request, Borrower shall deliver to Bank certified copies of the policies of insurance and evidence of all premium payments. Proceeds payable under any casualty policy will, at Borrower’s option, be payable to Borrower to replace the property subject to the claim, provided that any such replacement property shall be deemed Collateral in which Bank has been granted a first priority security interest, provided that if an Event of Default has occurred and is continuing, all proceeds payable under any such policy shall, at Bank’s option, be payable to Bank to be applied on account of the Obligations.</w:t>
      </w:r>
    </w:p>
    <w:p>
      <w:pPr>
        <w:spacing w:after="0" w:line="8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6.6 Primary Depository. </w:t>
      </w:r>
      <w:r>
        <w:rPr>
          <w:rFonts w:ascii="Times New Roman" w:cs="Times New Roman" w:eastAsia="Times New Roman" w:hAnsi="Times New Roman"/>
          <w:sz w:val="18"/>
          <w:szCs w:val="18"/>
          <w:color w:val="auto"/>
        </w:rPr>
        <w:t>(a) Within 30 days after the Closing Date, Borrower shall maintain, and shall cause all of its Subsidiaries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all non-operating accounts with Bank and all investment accounts with Bank or Bank’s affiliates and (b) within 90 days after the Closing Date, Borrower shall maintain substantially all its domestic operating accounts with Bank or Bank’s affiliates. Before Borrower opens any investment accounts with Bank’s affiliate(s), Borrower, Bank, and any such affiliate shall have entered into a securities account control agreement with respect to any such investment accounts, in form and substance reasonably satisfactory to Bank. Notwithstanding the above, Borrower may maintain corporate credit cards with any third party and may leave any FX Contracts and /or Letters of Credit outstanding, provided Borrower shall transition such FX Contracts and Letters of Credit to Bank upon expiration or expiry.</w:t>
      </w:r>
    </w:p>
    <w:p>
      <w:pPr>
        <w:spacing w:after="0" w:line="75" w:lineRule="exact"/>
        <w:rPr>
          <w:sz w:val="20"/>
          <w:szCs w:val="20"/>
          <w:color w:val="auto"/>
        </w:rPr>
      </w:pPr>
    </w:p>
    <w:p>
      <w:pPr>
        <w:ind w:right="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6.7 Minimum Cash. </w:t>
      </w:r>
      <w:r>
        <w:rPr>
          <w:rFonts w:ascii="Times New Roman" w:cs="Times New Roman" w:eastAsia="Times New Roman" w:hAnsi="Times New Roman"/>
          <w:sz w:val="18"/>
          <w:szCs w:val="18"/>
          <w:color w:val="auto"/>
        </w:rPr>
        <w:t>At any time that one or more Credit Extension is/are outstanding, Borrower shall maintain a balance of Cash at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not less than fifty percent (50%) of the aggregate amount of such Credit Extensions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5" w:right="459" w:bottom="1440" w:gutter="0" w:footer="0" w:header="0"/>
        </w:sectPr>
      </w:pPr>
    </w:p>
    <w:bookmarkStart w:id="521" w:name="page522"/>
    <w:bookmarkEnd w:id="521"/>
    <w:p>
      <w:pPr>
        <w:ind w:right="8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6.8 Consent of Inbound Licensors</w:t>
      </w:r>
      <w:r>
        <w:rPr>
          <w:rFonts w:ascii="Times New Roman" w:cs="Times New Roman" w:eastAsia="Times New Roman" w:hAnsi="Times New Roman"/>
          <w:sz w:val="18"/>
          <w:szCs w:val="18"/>
          <w:color w:val="auto"/>
        </w:rPr>
        <w:t>. Within thirty (30) days of entering into or becoming bound by any material inbound license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Borrower shall: (i) provide written notice to Bank of the material terms of such license or agreement with a description, in Borrower’s good faith judgment, of its reasonably likely impact on Borrower’s business or financial condition; and (ii) in good faith use commercially reasonable efforts to obtain the consent of, or waiver by, any person whose consent or waiver is necessary for Borrower’s interest in such licenses or contract rights to be deemed Collateral and for Bank to have a security interest in it that might otherwise be restricted by the terms of the applicable license or agreement, whether now existing or entered into in the future, provided, however, that the failure to obtain any such consent or waiver shall not constitute a default under this Agreement.</w:t>
      </w:r>
    </w:p>
    <w:p>
      <w:pPr>
        <w:spacing w:after="0" w:line="7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6.9 Creation/Acquisition of Subsidiaries. </w:t>
      </w:r>
      <w:r>
        <w:rPr>
          <w:rFonts w:ascii="Times New Roman" w:cs="Times New Roman" w:eastAsia="Times New Roman" w:hAnsi="Times New Roman"/>
          <w:sz w:val="18"/>
          <w:szCs w:val="18"/>
          <w:color w:val="auto"/>
        </w:rPr>
        <w:t>In the event any Borrower or any Subsidiary of any Borrower creates or acquires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Borrower or such Subsidiary shall promptly notify Bank of such creation or acquisition, and Borrower or such Subsidiary shall take all actions reasonably requested by Bank to achieve any of the following with respect to such “</w:t>
      </w:r>
      <w:r>
        <w:rPr>
          <w:rFonts w:ascii="Times New Roman" w:cs="Times New Roman" w:eastAsia="Times New Roman" w:hAnsi="Times New Roman"/>
          <w:sz w:val="18"/>
          <w:szCs w:val="18"/>
          <w:b w:val="1"/>
          <w:bCs w:val="1"/>
          <w:i w:val="1"/>
          <w:iCs w:val="1"/>
          <w:color w:val="auto"/>
        </w:rPr>
        <w:t>New Subsidiary</w:t>
      </w:r>
      <w:r>
        <w:rPr>
          <w:rFonts w:ascii="Times New Roman" w:cs="Times New Roman" w:eastAsia="Times New Roman" w:hAnsi="Times New Roman"/>
          <w:sz w:val="18"/>
          <w:szCs w:val="18"/>
          <w:color w:val="auto"/>
        </w:rPr>
        <w:t>” (defined as a Subsidiary formed after the date hereof during the term of this Agreement): (i) if such New Subsidiary is organized under the laws of a state in the United States, to cause New Subsidiary to become either a co-Borrower hereunder or a secured guarantor with respect to the Obligations; and (ii) to grant and pledge to Bank a perfected security interest in 100% of the stock, units or other evidence of ownership held by Borrower or its Subsidiaries of any such New Subsidiary which is organized under the laws of a state in the United States, and 65% of the stock, units or other evidence of ownership held by Borrower or its Subsidiaries of any such New Subsidiary which is not organized under the laws of a state in the United States.</w:t>
      </w:r>
    </w:p>
    <w:p>
      <w:pPr>
        <w:spacing w:after="0" w:line="77"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6.10 Further Assurances</w:t>
      </w:r>
      <w:r>
        <w:rPr>
          <w:rFonts w:ascii="Times New Roman" w:cs="Times New Roman" w:eastAsia="Times New Roman" w:hAnsi="Times New Roman"/>
          <w:sz w:val="18"/>
          <w:szCs w:val="18"/>
          <w:color w:val="auto"/>
        </w:rPr>
        <w:t>. At any time and from time to time Borrower shall execute and deliver such further instruments and take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 as may reasonably be requested by Bank to effect the purposes of this Agreement.</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 NEGATIVE COVENANTS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Borrower shall not do any of the following:</w:t>
      </w:r>
    </w:p>
    <w:p>
      <w:pPr>
        <w:spacing w:after="0" w:line="113"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7.1 Dispositions</w:t>
      </w:r>
      <w:r>
        <w:rPr>
          <w:rFonts w:ascii="Times New Roman" w:cs="Times New Roman" w:eastAsia="Times New Roman" w:hAnsi="Times New Roman"/>
          <w:sz w:val="18"/>
          <w:szCs w:val="18"/>
          <w:color w:val="auto"/>
        </w:rPr>
        <w:t>. Convey, sell, lease, license, transfer or otherwise dispose of (collectively, to “Transfer”), or permit any of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Transfer, all or any part of its business or property, or move cash balances on deposit with Bank to accounts opened at another financial institution, other than Permitted Transfers.</w:t>
      </w:r>
    </w:p>
    <w:p>
      <w:pPr>
        <w:spacing w:after="0" w:line="6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7.2 Change in Name, Location, Executive Office, or Executive Management; Change in Business; Change in Fiscal Year; Change in Control</w:t>
      </w:r>
      <w:r>
        <w:rPr>
          <w:rFonts w:ascii="Times New Roman" w:cs="Times New Roman" w:eastAsia="Times New Roman" w:hAnsi="Times New Roman"/>
          <w:sz w:val="18"/>
          <w:szCs w:val="18"/>
          <w:color w:val="auto"/>
        </w:rPr>
        <w:t>. Change its name or the state of Borrower’s formation or relocate its chief executive office without 15 days prior written notification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replace or suffer the departure of its chief executive officer or chief financial officer without delivering written notification to Bank within 10 Business Days; fail to appoint an interim replacement or fill a vacancy in the position of chief executive officer or chief financial officer (or other officer performing the functions of a chief financial officer) for more than 90 consecutive days following the departure of such officer; take action to liquidate, wind up, or otherwise cease to conduct business in the ordinary course; engage in any business, or permit any of its Subsidiaries to engage in any business, other than or reasonably related or incidental to the businesses currently engaged in by Borrower; change its fiscal year end; have a Change in Control.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5" w:right="479" w:bottom="1440" w:gutter="0" w:footer="0" w:header="0"/>
        </w:sectPr>
      </w:pPr>
    </w:p>
    <w:bookmarkStart w:id="522" w:name="page523"/>
    <w:bookmarkEnd w:id="522"/>
    <w:p>
      <w:pPr>
        <w:ind w:lef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7.3 Mergers or Acquisitions</w:t>
      </w:r>
      <w:r>
        <w:rPr>
          <w:rFonts w:ascii="Times New Roman" w:cs="Times New Roman" w:eastAsia="Times New Roman" w:hAnsi="Times New Roman"/>
          <w:sz w:val="18"/>
          <w:szCs w:val="18"/>
          <w:color w:val="auto"/>
        </w:rPr>
        <w:t>. Merge or consolidate, or permit any of its Subsidiaries to merge or consolidate, with or into any other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business organization (other than mergers or consolidations of a Subsidiary into another Subsidiary or into Borrower), or acquire, or permit any of its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Subsidiaries to acquire, all or substantially all of the capital stock or property of another Person except where (a) each of the following conditions 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applicable: (i) the consideration paid in connection with such transactions (including assumption of liabilities) does not in the aggregate exceed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$2,000,000 during any fiscal year, (ii) no Event of Default has occurred, is continuing or would exist after giving effect to such transactions, (iii)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transactions do not result in a Change in Control, and (iv) Borrower is the surviving entity; or (b) the Obligations are repaid in full concurrently with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closing of any merger or consolidation of Borrower in which Borrower is not the surviving entity.</w:t>
      </w:r>
    </w:p>
    <w:p>
      <w:pPr>
        <w:spacing w:after="0" w:line="95"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7.4 Indebtedness</w:t>
      </w:r>
      <w:r>
        <w:rPr>
          <w:rFonts w:ascii="Times New Roman" w:cs="Times New Roman" w:eastAsia="Times New Roman" w:hAnsi="Times New Roman"/>
          <w:sz w:val="18"/>
          <w:szCs w:val="18"/>
          <w:color w:val="auto"/>
        </w:rPr>
        <w:t>. Create, incur, assume, guarantee or be or remain liable with respect to any Indebtedness, or permit any Subsidiary so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other than Permitted Indebtedness, or prepay any Indebtedness or take any actions which impose on Borrower an obligation to prepay any Indebtedness, except Indebtedness to Bank.</w:t>
      </w:r>
    </w:p>
    <w:p>
      <w:pPr>
        <w:spacing w:after="0" w:line="63"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7.5 Encumbrances</w:t>
      </w:r>
      <w:r>
        <w:rPr>
          <w:rFonts w:ascii="Times New Roman" w:cs="Times New Roman" w:eastAsia="Times New Roman" w:hAnsi="Times New Roman"/>
          <w:sz w:val="18"/>
          <w:szCs w:val="18"/>
          <w:color w:val="auto"/>
        </w:rPr>
        <w:t>. Create, incur, assume or allow any Lien with respect to its property, or assign or otherwise convey any right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including the sale of any Accounts, or permit any of its Subsidiaries so to do, except for Permitted Liens, or covenant to any other Person (other than (i) the licensors of in-licensed property with respect to such property, (ii) the lessors of specific equipment or lenders financing specific equipment with respect to such leased or financed equipment or (iii) lessors of real property with respect to Borrower’s leasehold interest in that real property) that Borrower in the future will refrain from creating, incurring, assuming or allowing any Lien with respect to any of Borrower’s property, including Intellectual Property.</w:t>
      </w:r>
    </w:p>
    <w:p>
      <w:pPr>
        <w:spacing w:after="0" w:line="74" w:lineRule="exact"/>
        <w:rPr>
          <w:sz w:val="20"/>
          <w:szCs w:val="20"/>
          <w:color w:val="auto"/>
        </w:rPr>
      </w:pPr>
    </w:p>
    <w:p>
      <w:pPr>
        <w:ind w:left="4" w:right="6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7.6 Distributions</w:t>
      </w:r>
      <w:r>
        <w:rPr>
          <w:rFonts w:ascii="Times New Roman" w:cs="Times New Roman" w:eastAsia="Times New Roman" w:hAnsi="Times New Roman"/>
          <w:sz w:val="18"/>
          <w:szCs w:val="18"/>
          <w:color w:val="auto"/>
        </w:rPr>
        <w:t>. Pay any dividends or make any other distribution or payment on account of or in redemption, retirement or purchase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capital stock, except that Borrower may (i) repurchase the stock of former employees or directors pursuant to stock repurchase agreements in an aggregate amount not to exceed $300,000 in any fiscal year, as long as an Event of Default does not exist prior to such repurchase or would not exist after giving effect to such repurchase; (ii) convert any of its convertible securities into other securities pursuant to the terms of such convertible securities or otherwise in exchange thereof (including pursuant to “net exercise” or “net share settlement” of options and warrants), (iii) repurchase the stock of former employees or directors pursuant to stock repurchase agreements by the cancellation of indebtedness owed by such former employees or directors to Borrower regardless of whether an Event of Default exists, (iv) make cash payments in lieu of the issuance of fractional shares of capital stock upon conversion of convertible securities, stock splits, stock combinations or business combinations so long as an Event of Default does not exist at the time of any such payment and would not exist after giving effect to any such payment provided that the aggregate amount of all such payments does not exceed Twenty-Five Thousand Dollars ($25,000.00) in any twelve (12) month period, (v) pay dividends solely in common stock, and</w:t>
      </w:r>
    </w:p>
    <w:p>
      <w:pPr>
        <w:ind w:left="4" w:right="580" w:hanging="4"/>
        <w:spacing w:after="0" w:line="260" w:lineRule="auto"/>
        <w:tabs>
          <w:tab w:leader="none" w:pos="309"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deemed to occur upon withholding of a portion of the equity interests granted or awarded to current or former directors, employees or consultants to pay for the taxes payable by such Person upon such grant or award (or upon vesting thereof).</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5" w:right="459" w:bottom="1440" w:gutter="0" w:footer="0" w:header="0"/>
        </w:sectPr>
      </w:pPr>
    </w:p>
    <w:bookmarkStart w:id="523" w:name="page524"/>
    <w:bookmarkEnd w:id="523"/>
    <w:p>
      <w:pPr>
        <w:ind w:right="2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7.7 Investments</w:t>
      </w:r>
      <w:r>
        <w:rPr>
          <w:rFonts w:ascii="Times New Roman" w:cs="Times New Roman" w:eastAsia="Times New Roman" w:hAnsi="Times New Roman"/>
          <w:sz w:val="18"/>
          <w:szCs w:val="18"/>
          <w:color w:val="auto"/>
        </w:rPr>
        <w:t>. Directly or indirectly acquire or own an Investment in, or make any Investment in or to any Person, or permit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so to do, other than Permitted Investments, or maintain or invest any of its investment property with a Person other than Bank or permit any Subsidiary to do so unless such Person has entered into a control agreement with Bank, in form and substance reasonably satisfactory to Bank, or suffer or permit any Subsidiary to be a party to, or be bound by, an agreement that restricts such Subsidiary from paying dividends or otherwise distributing property to Borrower.</w:t>
      </w:r>
    </w:p>
    <w:p>
      <w:pPr>
        <w:spacing w:after="0" w:line="71" w:lineRule="exact"/>
        <w:rPr>
          <w:sz w:val="20"/>
          <w:szCs w:val="20"/>
          <w:color w:val="auto"/>
        </w:rPr>
      </w:pPr>
    </w:p>
    <w:p>
      <w:pPr>
        <w:ind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7.8 Capital Expenditures</w:t>
      </w:r>
      <w:r>
        <w:rPr>
          <w:rFonts w:ascii="Times New Roman" w:cs="Times New Roman" w:eastAsia="Times New Roman" w:hAnsi="Times New Roman"/>
          <w:sz w:val="18"/>
          <w:szCs w:val="18"/>
          <w:color w:val="auto"/>
        </w:rPr>
        <w:t>. Make Capital Expenditures in excess of $5,000,000 (or such greater amount as may be agreed by Bank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but reasonable discretion) in the aggregate in any fiscal year of Borrower.</w:t>
      </w:r>
    </w:p>
    <w:p>
      <w:pPr>
        <w:spacing w:after="0" w:line="4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7.9 Transactions with Affiliates</w:t>
      </w:r>
      <w:r>
        <w:rPr>
          <w:rFonts w:ascii="Times New Roman" w:cs="Times New Roman" w:eastAsia="Times New Roman" w:hAnsi="Times New Roman"/>
          <w:sz w:val="18"/>
          <w:szCs w:val="18"/>
          <w:color w:val="auto"/>
        </w:rPr>
        <w:t>. Directly or indirectly enter into or permit to exist any material transaction with any Affiliate of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(i) transactions that are in the ordinary course of Borrower’s business, upon fair and reasonable terms that are no less favorable to Borrower than would be obtained in an arm’s length transaction with a non-affiliated Person, (ii) the sale of Borrower’s equity securities in bona fide transactions with Borrower’s existing investors that do not result in a Change in Control, and (iii) commercially reasonable and customary compensation or severance arrangements with Borrower’s employees, officers and directors, and (d) transactions in respect of reseller, transfer pricing, cost plus and cost sharing arrangements on terms that are in accordance with Section 482 of the IRC, and any state or foreign law equivalents, and supported by contemporaneous reseller, transfer pricing, cost plus and cost sharing documentation required by applicable law, all in accordance with GAAP and pursuant to terms and conditions approved by Borrower’s legal, tax or accounting advisors.</w:t>
      </w:r>
    </w:p>
    <w:p>
      <w:pPr>
        <w:spacing w:after="0" w:line="77" w:lineRule="exact"/>
        <w:rPr>
          <w:sz w:val="20"/>
          <w:szCs w:val="20"/>
          <w:color w:val="auto"/>
        </w:rPr>
      </w:pPr>
    </w:p>
    <w:p>
      <w:pPr>
        <w:ind w:right="38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7.10 Subordinated Debt</w:t>
      </w:r>
      <w:r>
        <w:rPr>
          <w:rFonts w:ascii="Times New Roman" w:cs="Times New Roman" w:eastAsia="Times New Roman" w:hAnsi="Times New Roman"/>
          <w:sz w:val="18"/>
          <w:szCs w:val="18"/>
          <w:color w:val="auto"/>
        </w:rPr>
        <w:t>. Make any payment in respect of any Subordinated Debt, or permit any of its Subsidiaries to make any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except in compliance with the terms of such Subordinated Debt, or amend any provision affecting Bank’s rights contained in any documentation relating to the Subordinated Debt without Bank’s prior written consent.</w:t>
      </w:r>
    </w:p>
    <w:p>
      <w:pPr>
        <w:spacing w:after="0" w:line="6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7.11 Inventory and Equipment</w:t>
      </w:r>
      <w:r>
        <w:rPr>
          <w:rFonts w:ascii="Times New Roman" w:cs="Times New Roman" w:eastAsia="Times New Roman" w:hAnsi="Times New Roman"/>
          <w:sz w:val="18"/>
          <w:szCs w:val="18"/>
          <w:color w:val="auto"/>
        </w:rPr>
        <w:t>. Store the Inventory or the Equipment of a book value in excess of $1,000,000 with a bailee,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warehouseman, collocation facility or similar third party unless the third party has been notified of Bank’s security interest and (a) Borrower has used commercially reasonable efforts to deliver to Bank an acknowledgment from the third party that it is holding or will hold the Inventory or Equipment for Bank’s benefit or (b) Bank is in possession of the warehouse receipt, where negotiable, covering such Inventory or Equipment. Except for Inventory sold in the ordinary course of business and for movable items of personal property having an aggregate book value not in excess of $1,000,000, and except for such other locations as Bank may approve in writing, Borrower shall keep the Inventory and Equipment only at the location set forth in Section 10 and such other locations of which Borrower gives Bank prior written notice and as to which Borrower has used commercially reasonable efforts to deliver to Bank such documents as Bank reasonable requests to allow Bank to perfect its security interest or to obtain a bailee’s acknowledgment of Bank’s rights in the Collateral.</w:t>
      </w:r>
    </w:p>
    <w:p>
      <w:pPr>
        <w:spacing w:after="0" w:line="80"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7.12 No Investment Company; Margin Regulation</w:t>
      </w:r>
      <w:r>
        <w:rPr>
          <w:rFonts w:ascii="Times New Roman" w:cs="Times New Roman" w:eastAsia="Times New Roman" w:hAnsi="Times New Roman"/>
          <w:sz w:val="18"/>
          <w:szCs w:val="18"/>
          <w:color w:val="auto"/>
        </w:rPr>
        <w:t>. Become or be controlled by an “investment company,” within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Act of 1940, or become principally engaged in, or undertake as one of its important activities, the business of extending credit for the purpose of purchasing or carrying margin stock, or use the proceeds of any Credit Extension for such purpose.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5" w:right="459" w:bottom="1440" w:gutter="0" w:footer="0" w:header="0"/>
        </w:sectPr>
      </w:pPr>
    </w:p>
    <w:bookmarkStart w:id="524" w:name="page525"/>
    <w:bookmarkEnd w:id="52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 EVENTS OF DEFAULT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one or more of the following events shall constitute an Event of Default by Borrower under this Agreement:</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8.1 Payment Default</w:t>
      </w:r>
      <w:r>
        <w:rPr>
          <w:rFonts w:ascii="Times New Roman" w:cs="Times New Roman" w:eastAsia="Times New Roman" w:hAnsi="Times New Roman"/>
          <w:sz w:val="18"/>
          <w:szCs w:val="18"/>
          <w:color w:val="auto"/>
        </w:rPr>
        <w:t>. If Borrower fails to pay any of the Obligations when due;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8.2 Covenant Default.</w:t>
      </w:r>
    </w:p>
    <w:p>
      <w:pPr>
        <w:spacing w:after="0" w:line="121" w:lineRule="exact"/>
        <w:rPr>
          <w:sz w:val="20"/>
          <w:szCs w:val="20"/>
          <w:color w:val="auto"/>
        </w:rPr>
      </w:pPr>
    </w:p>
    <w:p>
      <w:pPr>
        <w:ind w:firstLine="1428"/>
        <w:spacing w:after="0" w:line="282" w:lineRule="auto"/>
        <w:tabs>
          <w:tab w:leader="none" w:pos="1687"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Borrower fails to perform any obligation under Sections 6.2 (reporting), 6.4 (taxes), 6.5 (insurance), 6.6 (primary accounts), or 6.7 (financial covenants), or violates any of the covenants contained in Article 7 of this Agreement;</w:t>
      </w:r>
    </w:p>
    <w:p>
      <w:pPr>
        <w:spacing w:after="0" w:line="53" w:lineRule="exact"/>
        <w:rPr>
          <w:rFonts w:ascii="Times New Roman" w:cs="Times New Roman" w:eastAsia="Times New Roman" w:hAnsi="Times New Roman"/>
          <w:sz w:val="18"/>
          <w:szCs w:val="18"/>
          <w:b w:val="1"/>
          <w:bCs w:val="1"/>
          <w:color w:val="auto"/>
        </w:rPr>
      </w:pPr>
    </w:p>
    <w:p>
      <w:pPr>
        <w:ind w:right="60" w:firstLine="1428"/>
        <w:spacing w:after="0" w:line="255" w:lineRule="auto"/>
        <w:tabs>
          <w:tab w:leader="none" w:pos="1697"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Borrower fails or neglects to perform or observe any other material term, provision, condition, covenant contained in this Agreement, in any of the Loan Documents, or in any other present or future agreement between Borrower and Bank and as to any default under such other term, provision, condition or covenant that can be cured, has failed to cure such default within 10 days after Borrower receives notice thereof or any officer of Borrower becomes aware thereof; provided, however, that if the default cannot by its nature be cured within the 10 day period or cannot after diligent attempts by Borrower be cured within such 10 day period, and such default is likely to be cured within a reasonable time, then Borrower shall have an additional reasonable period (which shall not in any case exceed 30 days) to attempt to cure such default, and within such reasonable time period the failure to have cured such default shall not be deemed an Event of Default but no Credit Extensions will be made;</w:t>
      </w:r>
    </w:p>
    <w:p>
      <w:pPr>
        <w:spacing w:after="0" w:line="77"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8.3 Material Adverse Change</w:t>
      </w:r>
      <w:r>
        <w:rPr>
          <w:rFonts w:ascii="Times New Roman" w:cs="Times New Roman" w:eastAsia="Times New Roman" w:hAnsi="Times New Roman"/>
          <w:sz w:val="18"/>
          <w:szCs w:val="18"/>
          <w:color w:val="auto"/>
        </w:rPr>
        <w:t>. If there occurs any circumstance or any circumstances which would reasonably be expected to have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Adverse Effect;</w:t>
      </w:r>
    </w:p>
    <w:p>
      <w:pPr>
        <w:spacing w:after="0" w:line="4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8.4 Attachment</w:t>
      </w:r>
      <w:r>
        <w:rPr>
          <w:rFonts w:ascii="Times New Roman" w:cs="Times New Roman" w:eastAsia="Times New Roman" w:hAnsi="Times New Roman"/>
          <w:sz w:val="18"/>
          <w:szCs w:val="18"/>
          <w:color w:val="auto"/>
        </w:rPr>
        <w:t>. If any material portion of Borrower’s assets is attached, seized, subjected to a writ or distress warrant, or is levied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comes into the possession of any trustee, receiver or person acting in a similar capacity and such attachment, seizure, writ or distress warrant or levy has not been stayed, removed, discharged or rescinded within 10 days, or if Borrower is enjoined, restrained, or in any way prevented by court order from continuing to conduct all or any material part of its business affairs, or if a judgment or other claim becomes a lien or encumbrance upon any material portion of Borrower’s assets, or if a notice of lien, levy, or assessment is filed of record with respect to any material portion of Borrower’s assets by the United States Government, or any department, agency, or instrumentality thereof, or by any state, county, municipal, or governmental agency, and the same is not paid within ten days after Borrower receives notice thereof, provided that none of the foregoing shall constitute an Event of Default where such action or event is stayed or an adequate bond has been posted pending a good faith contest by Borrower (provided that no Credit Extensions will be made during such cure period);</w:t>
      </w:r>
    </w:p>
    <w:p>
      <w:pPr>
        <w:spacing w:after="0" w:line="80"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8.5 Insolvency</w:t>
      </w:r>
      <w:r>
        <w:rPr>
          <w:rFonts w:ascii="Times New Roman" w:cs="Times New Roman" w:eastAsia="Times New Roman" w:hAnsi="Times New Roman"/>
          <w:sz w:val="18"/>
          <w:szCs w:val="18"/>
          <w:color w:val="auto"/>
        </w:rPr>
        <w:t>. If Borrower becomes insolvent, or if an Insolvency Proceeding is commenced by Borrower, or if an Insolvency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is commenced against Borrower and is not dismissed or stayed within 30 days (provided that no Credit Extensions will be made prior to the dismissal of such Insolvency Proceeding);</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5" w:right="499" w:bottom="1440" w:gutter="0" w:footer="0" w:header="0"/>
        </w:sectPr>
      </w:pPr>
    </w:p>
    <w:bookmarkStart w:id="525" w:name="page526"/>
    <w:bookmarkEnd w:id="525"/>
    <w:p>
      <w:pPr>
        <w:ind w:firstLine="991"/>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8.6 Other Agreements</w:t>
      </w:r>
      <w:r>
        <w:rPr>
          <w:rFonts w:ascii="Times New Roman" w:cs="Times New Roman" w:eastAsia="Times New Roman" w:hAnsi="Times New Roman"/>
          <w:sz w:val="17"/>
          <w:szCs w:val="17"/>
          <w:color w:val="auto"/>
        </w:rPr>
        <w:t>. If (a) there is a default or other failure to perform in any agreement to which Borrower is a party with a third party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parties (i) resulting in a right by such third party or parties, whether or not exercised, to accelerate the maturity of any Indebtedness in an amount in excess of $500,000, (ii) in connection with any lease of real property material to the conduct of Borrower’s business, if the default or failure to perform gives the landlord the right to terminate such lease, or (iii) that would reasonably be expected to have a Material Adverse Effect, or (b) any default or event of default (however designated) shall occur with respect to any Subordinated Debt which is not cured within any applicable cure period;</w:t>
      </w:r>
    </w:p>
    <w:p>
      <w:pPr>
        <w:spacing w:after="0" w:line="56"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8.7 Judgments</w:t>
      </w:r>
      <w:r>
        <w:rPr>
          <w:rFonts w:ascii="Times New Roman" w:cs="Times New Roman" w:eastAsia="Times New Roman" w:hAnsi="Times New Roman"/>
          <w:sz w:val="18"/>
          <w:szCs w:val="18"/>
          <w:color w:val="auto"/>
        </w:rPr>
        <w:t>. If a final, uninsured judgment or judgments for the payment of money in an amount, individually or in the aggregate, of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$500,000 shall be rendered against Borrower and shall remain unsatisfied and unstayed for a period of 10 days (provided that no Credit Extensions will be made prior to the satisfaction or stay of the judgment); or</w:t>
      </w:r>
    </w:p>
    <w:p>
      <w:pPr>
        <w:spacing w:after="0" w:line="63"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8.8 Misrepresentations</w:t>
      </w:r>
      <w:r>
        <w:rPr>
          <w:rFonts w:ascii="Times New Roman" w:cs="Times New Roman" w:eastAsia="Times New Roman" w:hAnsi="Times New Roman"/>
          <w:sz w:val="18"/>
          <w:szCs w:val="18"/>
          <w:color w:val="auto"/>
        </w:rPr>
        <w:t>. If any material misrepresentation or material misstatement exists now or hereafter in any warranty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set forth herein or in any report or certificate or other writing delivered to Bank by any Responsible Officer pursuant to this Agreement or to induce Bank to enter into this Agreement or any other Loan Document.</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 BANK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RIGHTS AND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9.1 Rights and Remedies</w:t>
      </w:r>
      <w:r>
        <w:rPr>
          <w:rFonts w:ascii="Times New Roman" w:cs="Times New Roman" w:eastAsia="Times New Roman" w:hAnsi="Times New Roman"/>
          <w:sz w:val="18"/>
          <w:szCs w:val="18"/>
          <w:color w:val="auto"/>
        </w:rPr>
        <w:t>. Upon the occurrence and during the continuance of an Event of Default, Bank may, at its election,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its election and without demand, do any one or more of the following, all of which are authorized by Borrower:</w:t>
      </w:r>
    </w:p>
    <w:p>
      <w:pPr>
        <w:spacing w:after="0" w:line="51" w:lineRule="exact"/>
        <w:rPr>
          <w:sz w:val="20"/>
          <w:szCs w:val="20"/>
          <w:color w:val="auto"/>
        </w:rPr>
      </w:pPr>
    </w:p>
    <w:p>
      <w:pPr>
        <w:ind w:right="100" w:firstLine="1428"/>
        <w:spacing w:after="0" w:line="266" w:lineRule="auto"/>
        <w:tabs>
          <w:tab w:leader="none" w:pos="1687"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Declare all Obligations, whether evidenced by this Agreement, by any of the other Loan Documents, or otherwise, immediately due and payable (provided that upon the occurrence of an Event of Default described in Section 8.5 (insolvency), all Obligations shall become immediately due and payable without any action by Bank);</w:t>
      </w:r>
    </w:p>
    <w:p>
      <w:pPr>
        <w:spacing w:after="0" w:line="67" w:lineRule="exact"/>
        <w:rPr>
          <w:rFonts w:ascii="Times New Roman" w:cs="Times New Roman" w:eastAsia="Times New Roman" w:hAnsi="Times New Roman"/>
          <w:sz w:val="18"/>
          <w:szCs w:val="18"/>
          <w:b w:val="1"/>
          <w:bCs w:val="1"/>
          <w:color w:val="auto"/>
        </w:rPr>
      </w:pPr>
    </w:p>
    <w:p>
      <w:pPr>
        <w:jc w:val="both"/>
        <w:ind w:right="20" w:firstLine="1428"/>
        <w:spacing w:after="0" w:line="266" w:lineRule="auto"/>
        <w:tabs>
          <w:tab w:leader="none" w:pos="1697"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Demand that Borrower (i) deposit cash with Bank in an amount equal to the amount of any Letters of Credit remaining undrawn, as collateral security for the repayment of any future drawings under such Letters of Credit, and (ii) pay in advance all Letter of Credit fees scheduled to be paid or payable over the remaining term of the Letters of Credit, and Borrower shall promptly deposit and pay such amounts;</w:t>
      </w:r>
    </w:p>
    <w:p>
      <w:pPr>
        <w:spacing w:after="0" w:line="67" w:lineRule="exact"/>
        <w:rPr>
          <w:rFonts w:ascii="Times New Roman" w:cs="Times New Roman" w:eastAsia="Times New Roman" w:hAnsi="Times New Roman"/>
          <w:sz w:val="18"/>
          <w:szCs w:val="18"/>
          <w:b w:val="1"/>
          <w:bCs w:val="1"/>
          <w:color w:val="auto"/>
        </w:rPr>
      </w:pPr>
    </w:p>
    <w:p>
      <w:pPr>
        <w:ind w:right="20" w:firstLine="1428"/>
        <w:spacing w:after="0" w:line="282" w:lineRule="auto"/>
        <w:tabs>
          <w:tab w:leader="none" w:pos="1677"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Cease advancing money or extending credit to or for the benefit of Borrower under this Agreement or under any other agreement between Borrower and Bank;</w:t>
      </w:r>
    </w:p>
    <w:p>
      <w:pPr>
        <w:spacing w:after="0" w:line="53" w:lineRule="exact"/>
        <w:rPr>
          <w:rFonts w:ascii="Times New Roman" w:cs="Times New Roman" w:eastAsia="Times New Roman" w:hAnsi="Times New Roman"/>
          <w:sz w:val="18"/>
          <w:szCs w:val="18"/>
          <w:b w:val="1"/>
          <w:bCs w:val="1"/>
          <w:color w:val="auto"/>
        </w:rPr>
      </w:pPr>
    </w:p>
    <w:p>
      <w:pPr>
        <w:ind w:right="460" w:firstLine="1428"/>
        <w:spacing w:after="0" w:line="282" w:lineRule="auto"/>
        <w:tabs>
          <w:tab w:leader="none" w:pos="1697"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Settle or adjust disputes and claims directly with account debtors for amounts, upon terms and in whatever order that Bank reasonably considers advisable;</w:t>
      </w:r>
    </w:p>
    <w:p>
      <w:pPr>
        <w:spacing w:after="0" w:line="53" w:lineRule="exact"/>
        <w:rPr>
          <w:rFonts w:ascii="Times New Roman" w:cs="Times New Roman" w:eastAsia="Times New Roman" w:hAnsi="Times New Roman"/>
          <w:sz w:val="18"/>
          <w:szCs w:val="18"/>
          <w:b w:val="1"/>
          <w:bCs w:val="1"/>
          <w:color w:val="auto"/>
        </w:rPr>
      </w:pPr>
    </w:p>
    <w:p>
      <w:pPr>
        <w:ind w:right="80" w:firstLine="1428"/>
        <w:spacing w:after="0" w:line="282" w:lineRule="auto"/>
        <w:tabs>
          <w:tab w:leader="none" w:pos="1677" w:val="left"/>
        </w:tabs>
        <w:numPr>
          <w:ilvl w:val="0"/>
          <w:numId w:val="4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such payments and do such acts as Bank considers necessary or reasonable to protect its security interest in the Collateral. Borrower agrees to assemble the Collateral if Bank so requires, and to make the Collateral available to Bank as Bank may designate.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5" w:right="479" w:bottom="1440" w:gutter="0" w:footer="0" w:header="0"/>
        </w:sectPr>
      </w:pPr>
    </w:p>
    <w:bookmarkStart w:id="526" w:name="page527"/>
    <w:bookmarkEnd w:id="52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authorizes Bank to enter the premises where the Collateral is located, to take and maintain possession of the Collateral, or any part of it, and to pay, purchase, contest, or compromise any encumbrance, charge, or lien which in Bank’s determination appears to be prior or superior to its security interest and to pay all expenses incurred in connection therewith. With respect to any of Borrower’s owned premises, Borrower hereby grants Bank a license to enter into possession of such premises and to occupy the same, without charge, in order to exercise any of Bank’s rights or remedies provided herein, at law, in equity, or otherwise;</w:t>
      </w:r>
    </w:p>
    <w:p>
      <w:pPr>
        <w:spacing w:after="0" w:line="75" w:lineRule="exact"/>
        <w:rPr>
          <w:sz w:val="20"/>
          <w:szCs w:val="20"/>
          <w:color w:val="auto"/>
        </w:rPr>
      </w:pPr>
    </w:p>
    <w:p>
      <w:pPr>
        <w:ind w:right="140" w:firstLine="1428"/>
        <w:spacing w:after="0" w:line="282" w:lineRule="auto"/>
        <w:tabs>
          <w:tab w:leader="none" w:pos="1657"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53" w:lineRule="exact"/>
        <w:rPr>
          <w:rFonts w:ascii="Times New Roman" w:cs="Times New Roman" w:eastAsia="Times New Roman" w:hAnsi="Times New Roman"/>
          <w:sz w:val="18"/>
          <w:szCs w:val="18"/>
          <w:b w:val="1"/>
          <w:bCs w:val="1"/>
          <w:color w:val="auto"/>
        </w:rPr>
      </w:pPr>
    </w:p>
    <w:p>
      <w:pPr>
        <w:ind w:right="100" w:firstLine="1428"/>
        <w:spacing w:after="0" w:line="282" w:lineRule="auto"/>
        <w:tabs>
          <w:tab w:leader="none" w:pos="1687"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Set off and apply to the Obligations any and all (i) balances and deposits of Borrower held by Bank, and (ii) indebtedness at any time owing to or for the credit or the account of Borrower held by Bank;</w:t>
      </w:r>
    </w:p>
    <w:p>
      <w:pPr>
        <w:spacing w:after="0" w:line="53" w:lineRule="exact"/>
        <w:rPr>
          <w:rFonts w:ascii="Times New Roman" w:cs="Times New Roman" w:eastAsia="Times New Roman" w:hAnsi="Times New Roman"/>
          <w:sz w:val="18"/>
          <w:szCs w:val="18"/>
          <w:b w:val="1"/>
          <w:bCs w:val="1"/>
          <w:color w:val="auto"/>
        </w:rPr>
      </w:pPr>
    </w:p>
    <w:p>
      <w:pPr>
        <w:ind w:right="220" w:firstLine="1428"/>
        <w:spacing w:after="0" w:line="256" w:lineRule="auto"/>
        <w:tabs>
          <w:tab w:leader="none" w:pos="1697"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Ship, reclaim, recover, store, finish, maintain, repair, prepare for sale, advertise for sale, and sell (in the manner provided for herein) the Collateral. Bank is hereby granted a license or other right, solely pursuant to the provisions of this Section 9.1, to use, without charge, Borrower’s labels, patents, copyrights, rights of use of any name, trade secrets, trade names, trademarks, service marks, and advertising matter, or any property of a similar nature, as it pertains to the Collateral, in completing production of, advertising for sale, and selling any Collateral and, in connection with Bank’s exercise of its rights under this Section 9.1, Borrower’s rights under all licenses and all franchise agreements shall inure to Bank’s benefit;</w:t>
      </w:r>
    </w:p>
    <w:p>
      <w:pPr>
        <w:spacing w:after="0" w:line="79" w:lineRule="exact"/>
        <w:rPr>
          <w:rFonts w:ascii="Times New Roman" w:cs="Times New Roman" w:eastAsia="Times New Roman" w:hAnsi="Times New Roman"/>
          <w:sz w:val="18"/>
          <w:szCs w:val="18"/>
          <w:b w:val="1"/>
          <w:bCs w:val="1"/>
          <w:color w:val="auto"/>
        </w:rPr>
      </w:pPr>
    </w:p>
    <w:p>
      <w:pPr>
        <w:ind w:right="40" w:firstLine="1428"/>
        <w:spacing w:after="0" w:line="255" w:lineRule="auto"/>
        <w:tabs>
          <w:tab w:leader="none" w:pos="1647"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 the Collateral at either a public or private sale, or both, by way of one or more contracts or transactions, for cash or on terms, in such manner and at such places (including Borrower’s premises) as Bank determines is commercially reasonable, and apply any proceeds to the Obligations in whatever manner or order Bank deems appropriate. Bank may sell the Collateral without giving any warranties as to the Collateral. Bank may specifically disclaim any warranties of title or the like. This procedure will not be considered adversely to affect the commercial reasonableness of any sale of the Collateral. If Bank sells any of the Collateral upon credit, Borrower will be credited only with payments actually made by the purchaser, received by Bank, and applied to the indebtedness of the purchaser. If the purchaser fails to pay for the Collateral, Bank may resell the Collateral and Borrower shall be credited with the proceeds of the sale;</w:t>
      </w:r>
    </w:p>
    <w:p>
      <w:pPr>
        <w:spacing w:after="0" w:line="80" w:lineRule="exact"/>
        <w:rPr>
          <w:rFonts w:ascii="Times New Roman" w:cs="Times New Roman" w:eastAsia="Times New Roman" w:hAnsi="Times New Roman"/>
          <w:sz w:val="18"/>
          <w:szCs w:val="18"/>
          <w:b w:val="1"/>
          <w:bCs w:val="1"/>
          <w:color w:val="auto"/>
        </w:rPr>
      </w:pPr>
    </w:p>
    <w:p>
      <w:pPr>
        <w:ind w:left="1660" w:hanging="232"/>
        <w:spacing w:after="0"/>
        <w:tabs>
          <w:tab w:leader="none" w:pos="1660"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Bank may credit bid and purchase at any public sale;</w:t>
      </w:r>
    </w:p>
    <w:p>
      <w:pPr>
        <w:spacing w:after="0" w:line="117" w:lineRule="exact"/>
        <w:rPr>
          <w:rFonts w:ascii="Times New Roman" w:cs="Times New Roman" w:eastAsia="Times New Roman" w:hAnsi="Times New Roman"/>
          <w:sz w:val="18"/>
          <w:szCs w:val="18"/>
          <w:b w:val="1"/>
          <w:bCs w:val="1"/>
          <w:color w:val="auto"/>
        </w:rPr>
      </w:pPr>
    </w:p>
    <w:p>
      <w:pPr>
        <w:jc w:val="both"/>
        <w:ind w:right="100" w:firstLine="1428"/>
        <w:spacing w:after="0" w:line="266" w:lineRule="auto"/>
        <w:tabs>
          <w:tab w:leader="none" w:pos="1697"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Apply for the appointment of a receiver, trustee, liquidator or conservator of the Collateral, without notice and without regard to the adequacy of the security for the Obligations and without regard to the solvency of Borrower, any guarantor or any other Person liable for any of the Obligations; and</w:t>
      </w:r>
    </w:p>
    <w:p>
      <w:pPr>
        <w:spacing w:after="0" w:line="67"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deficiency that exists after disposition of the Collateral as provided above will be paid immediately by Borrower.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9" w:right="459" w:bottom="1440" w:gutter="0" w:footer="0" w:header="0"/>
        </w:sectPr>
      </w:pPr>
    </w:p>
    <w:bookmarkStart w:id="527" w:name="page528"/>
    <w:bookmarkEnd w:id="527"/>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may comply with any applicable state or federal law requirements in connection with a disposition of the Collateral and compliance will not be considered adversely to affect the commercial reasonableness of any sale of the Collateral.</w:t>
      </w:r>
    </w:p>
    <w:p>
      <w:pPr>
        <w:spacing w:after="0" w:line="5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9.2 Power of Attorney</w:t>
      </w:r>
      <w:r>
        <w:rPr>
          <w:rFonts w:ascii="Times New Roman" w:cs="Times New Roman" w:eastAsia="Times New Roman" w:hAnsi="Times New Roman"/>
          <w:sz w:val="18"/>
          <w:szCs w:val="18"/>
          <w:color w:val="auto"/>
        </w:rPr>
        <w:t>. Effective only upon the occurrence and during the continuance of an Event of Default, Borrower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irrevocably appoints Bank (through Bank’s designated officers, or employees) as Borrower’s true and lawful attorney to: (a) send requests for verification of Accounts or notify account debtors of Bank’s security interest in the Accounts; (b) endorse Borrower’s name on any checks or other forms of payment or security that may come into Bank’s possession; (c) sign Borrower’s name on any invoice or bill of lading relating to any Account, drafts against account debtors, schedules and assignments of Accounts, verifications of Accounts, and notices to account debtors; (d) dispose of any Collateral; (e) make, settle, and adjust all claims under and decisions with respect to Borrower’s policies of insurance; (f) settle and adjust disputes and claims respecting the accounts directly with account debtors, for amounts and upon terms which Bank determines to be reasonable; and (g) file, in its sole discretion, one or more financing or continuation statements and amendments thereto, relative to any of the Collateral; provided Bank may exercise such power of attorney to sign the name of Borrower on any of the documents described in clauses (g), above, regardless of whether an Event of Default has occurred. The appointment of Bank as Borrower’s attorney in fact, and each and every one of Bank’s rights and powers, being coupled with an interest, is irrevocable until all of the Obligations have been fully repaid and performed and Bank’s obligation to provide advances hereunder is terminated.</w:t>
      </w:r>
    </w:p>
    <w:p>
      <w:pPr>
        <w:spacing w:after="0" w:line="82" w:lineRule="exact"/>
        <w:rPr>
          <w:sz w:val="20"/>
          <w:szCs w:val="20"/>
          <w:color w:val="auto"/>
        </w:rPr>
      </w:pPr>
    </w:p>
    <w:p>
      <w:pPr>
        <w:ind w:right="2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9.3 Accounts Collection</w:t>
      </w:r>
      <w:r>
        <w:rPr>
          <w:rFonts w:ascii="Times New Roman" w:cs="Times New Roman" w:eastAsia="Times New Roman" w:hAnsi="Times New Roman"/>
          <w:sz w:val="18"/>
          <w:szCs w:val="18"/>
          <w:color w:val="auto"/>
        </w:rPr>
        <w:t>. At any time after the occurrence and during the continuation of an Event of Default, Bank may notify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owing funds to Borrower of Bank’s security interest in such funds and verify the amount of such Account. Borrower shall collect all amounts owing to Borrower for Bank, receive in trust all payments as Bank’s trustee, and immediately deliver such payments to Bank in their original form as received from the account debtor, with proper endorsements for deposit.</w:t>
      </w:r>
    </w:p>
    <w:p>
      <w:pPr>
        <w:spacing w:after="0" w:line="6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9.4 Bank Expenses</w:t>
      </w:r>
      <w:r>
        <w:rPr>
          <w:rFonts w:ascii="Times New Roman" w:cs="Times New Roman" w:eastAsia="Times New Roman" w:hAnsi="Times New Roman"/>
          <w:sz w:val="18"/>
          <w:szCs w:val="18"/>
          <w:color w:val="auto"/>
        </w:rPr>
        <w:t>. If Borrower fails to pay any amounts or furnish any required proof of payment due to third persons or entities,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under the terms of this Agreement, then Bank may do any or all of the following after reasonable notice to Borrower: (a) make payment of the same or any part thereof; and/or (b) set up such reserves under the Revolving Line as Bank deems necessary to protect Bank from the exposure created by such failure; or (c) obtain and maintain insurance policies of the type discussed in Section 6.5 of this Agreement, and take any action with respect to such policies as Bank deems prudent. Any amounts so paid or deposited by Bank shall constitute Bank Expenses, shall be immediately due and payable, and shall bear interest at the then applicable rate hereinabove provided, and shall be secured by the Collateral. Any payments made by Bank shall not constitute an agreement by Bank to make similar payments in the future or a waiver by Bank of any Event of Default under this Agreement.</w:t>
      </w:r>
    </w:p>
    <w:p>
      <w:pPr>
        <w:spacing w:after="0" w:line="7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9.5 Bank’s Liability; Waiver of Liability</w:t>
      </w:r>
      <w:r>
        <w:rPr>
          <w:rFonts w:ascii="Times New Roman" w:cs="Times New Roman" w:eastAsia="Times New Roman" w:hAnsi="Times New Roman"/>
          <w:sz w:val="18"/>
          <w:szCs w:val="18"/>
          <w:color w:val="auto"/>
        </w:rPr>
        <w:t>. Bank has no obligation to clean up or otherwise prepare the Collateral for sale. All risk of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 or destruction of the Collateral shall be borne by Borrower. Each party hereto waives any claim for consequential, special, or punitive damages against the other party hereto;</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9" w:right="479" w:bottom="1440" w:gutter="0" w:footer="0" w:header="0"/>
        </w:sectPr>
      </w:pPr>
    </w:p>
    <w:bookmarkStart w:id="528" w:name="page529"/>
    <w:bookmarkEnd w:id="528"/>
    <w:p>
      <w:pPr>
        <w:ind w:right="12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9.6 No Obligation to Pursue Others</w:t>
      </w:r>
      <w:r>
        <w:rPr>
          <w:rFonts w:ascii="Times New Roman" w:cs="Times New Roman" w:eastAsia="Times New Roman" w:hAnsi="Times New Roman"/>
          <w:sz w:val="17"/>
          <w:szCs w:val="17"/>
          <w:color w:val="auto"/>
        </w:rPr>
        <w:t>. Bank has no obligation to attempt to satisfy the Obligations by collecting them from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liable for them and Bank may release, modify or waive any collateral provided by any other Person to secure any of the Obligations, all without affecting Bank’s rights against Borrower. Borrower waives any right it may have to require Bank to pursue any other Person for any of the Obligations.</w:t>
      </w:r>
    </w:p>
    <w:p>
      <w:pPr>
        <w:spacing w:after="0" w:line="45" w:lineRule="exact"/>
        <w:rPr>
          <w:sz w:val="20"/>
          <w:szCs w:val="20"/>
          <w:color w:val="auto"/>
        </w:rPr>
      </w:pPr>
    </w:p>
    <w:p>
      <w:pPr>
        <w:ind w:right="160" w:firstLine="991"/>
        <w:spacing w:after="0" w:line="275" w:lineRule="auto"/>
        <w:rPr>
          <w:sz w:val="20"/>
          <w:szCs w:val="20"/>
          <w:color w:val="auto"/>
        </w:rPr>
      </w:pPr>
      <w:r>
        <w:rPr>
          <w:rFonts w:ascii="Times New Roman" w:cs="Times New Roman" w:eastAsia="Times New Roman" w:hAnsi="Times New Roman"/>
          <w:sz w:val="17"/>
          <w:szCs w:val="17"/>
          <w:b w:val="1"/>
          <w:bCs w:val="1"/>
          <w:color w:val="auto"/>
        </w:rPr>
        <w:t>9.7 Remedies Cumulative</w:t>
      </w:r>
      <w:r>
        <w:rPr>
          <w:rFonts w:ascii="Times New Roman" w:cs="Times New Roman" w:eastAsia="Times New Roman" w:hAnsi="Times New Roman"/>
          <w:sz w:val="17"/>
          <w:szCs w:val="17"/>
          <w:color w:val="auto"/>
        </w:rPr>
        <w:t>. Bank’s rights and remedies under this Agreement, the Loan Documents, and all other agreements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cumulative. Bank shall have all other rights and remedies not inconsistent herewith as provided under the Code, by law, or in equity. No exercise by Bank of one right or remedy shall be deemed an election, and no waiver by Bank of any Event of Default on Borrower’s part shall be deemed a continuing waiver. No delay by Bank shall constitute a waiver, election, or acquiescence by it. No waiver by Bank shall be effective unless made in a written document signed on behalf of Bank and then shall be effective only in the specific instance and for the specific purpose for which it was given. Borrower expressly agrees that this Section 9.7 may not be waived or modified by Bank by course of performance, conduct, estoppel or otherwise.</w:t>
      </w:r>
    </w:p>
    <w:p>
      <w:pPr>
        <w:spacing w:after="0" w:line="60" w:lineRule="exact"/>
        <w:rPr>
          <w:sz w:val="20"/>
          <w:szCs w:val="20"/>
          <w:color w:val="auto"/>
        </w:rPr>
      </w:pPr>
    </w:p>
    <w:p>
      <w:pPr>
        <w:ind w:right="4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9.8 Demand; Protest</w:t>
      </w:r>
      <w:r>
        <w:rPr>
          <w:rFonts w:ascii="Times New Roman" w:cs="Times New Roman" w:eastAsia="Times New Roman" w:hAnsi="Times New Roman"/>
          <w:sz w:val="18"/>
          <w:szCs w:val="18"/>
          <w:color w:val="auto"/>
        </w:rPr>
        <w:t>. Except as otherwise provided in this Agreement, Borrower waives demand, protest, notice of protest,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or dishonor, notice of payment and nonpayment and any other notices relating to the Obligations.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 NOTICES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Unless otherwise provided in this Agreement, all notices or demands by any party relating to this Agreement or any other agreement entered into in connection herewith shall be in writing and (except for financial statements and other reporting required pursuant to Section 6.2 of this Agreement, which shall be sent as directed in the reporting forms provided by Bank) shall be personally delivered or sent by a recognized overnight delivery service, certified mail, postage prepaid, return receipt requested, or by telefacsimile or electronic mail to Borrower or to Bank, as the case may be, at its addresses set forth below:</w:t>
      </w:r>
    </w:p>
    <w:p>
      <w:pPr>
        <w:sectPr>
          <w:pgSz w:w="11900" w:h="16838" w:orient="portrait"/>
          <w:cols w:equalWidth="0" w:num="1">
            <w:col w:w="11000"/>
          </w:cols>
          <w:pgMar w:left="440" w:top="265" w:right="459" w:bottom="1440" w:gutter="0" w:footer="0" w:header="0"/>
        </w:sectPr>
      </w:pP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 Oyster Point Blvd.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Amy Bachrodt, VP-Finance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sectPr>
          <w:pgSz w:w="11900" w:h="16838" w:orient="portrait"/>
          <w:cols w:equalWidth="0" w:num="2">
            <w:col w:w="2020" w:space="720"/>
            <w:col w:w="8260"/>
          </w:cols>
          <w:pgMar w:left="440" w:top="265"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1191 Second Avenue, 10</w:t>
      </w:r>
      <w:r>
        <w:rPr>
          <w:rFonts w:ascii="Times New Roman" w:cs="Times New Roman" w:eastAsia="Times New Roman" w:hAnsi="Times New Roman"/>
          <w:sz w:val="12"/>
          <w:szCs w:val="12"/>
          <w:color w:val="auto"/>
        </w:rPr>
        <w:t>th</w:t>
      </w:r>
      <w:r>
        <w:rPr>
          <w:rFonts w:ascii="Times New Roman" w:cs="Times New Roman" w:eastAsia="Times New Roman" w:hAnsi="Times New Roman"/>
          <w:sz w:val="17"/>
          <w:szCs w:val="17"/>
          <w:color w:val="auto"/>
        </w:rPr>
        <w:t xml:space="preserve"> Floor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 98101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Amanda Rose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sectPr>
          <w:pgSz w:w="11900" w:h="16838" w:orient="portrait"/>
          <w:cols w:equalWidth="0" w:num="2">
            <w:col w:w="2020" w:space="720"/>
            <w:col w:w="8260"/>
          </w:cols>
          <w:pgMar w:left="440" w:top="265"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If to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Pacific Western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555 S Mangum Street, Suite 1000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Durham, North Carolina 27701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Loan Operations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w:t>
      </w:r>
    </w:p>
    <w:p>
      <w:pPr>
        <w:spacing w:after="0" w:line="99" w:lineRule="exact"/>
        <w:rPr>
          <w:sz w:val="20"/>
          <w:szCs w:val="20"/>
          <w:color w:val="auto"/>
        </w:rPr>
      </w:pPr>
    </w:p>
    <w:p>
      <w:pPr>
        <w:sectPr>
          <w:pgSz w:w="11900" w:h="16838" w:orient="portrait"/>
          <w:cols w:equalWidth="0" w:num="2">
            <w:col w:w="2020" w:space="720"/>
            <w:col w:w="8260"/>
          </w:cols>
          <w:pgMar w:left="440" w:top="265"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Pacific Western Bank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Jay McNeil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sectPr>
          <w:pgSz w:w="11900" w:h="16838" w:orient="portrait"/>
          <w:cols w:equalWidth="0" w:num="2">
            <w:col w:w="2020" w:space="720"/>
            <w:col w:w="8260"/>
          </w:cols>
          <w:pgMar w:left="440" w:top="265" w:right="4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5" w:right="459" w:bottom="1440" w:gutter="0" w:footer="0" w:header="0"/>
          <w:type w:val="continuous"/>
        </w:sectPr>
      </w:pPr>
    </w:p>
    <w:bookmarkStart w:id="529" w:name="page530"/>
    <w:bookmarkEnd w:id="529"/>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may change the address at which they are to receive notices hereunder, by notice in writing in the foregoing manner given to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 CHOICE OF LAW AND VENUE; JURY TRIAL WAIVER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0"/>
        <w:spacing w:after="0" w:line="251"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internal laws of the State of New York, without regard to principles of conflicts of law (except as set forth in Section 5-1401 of the New York General Obligations Law). Jurisdiction shall lie in the State of New York. All disputes, controversies, claims, actions and similar proceedings arising with respect to Borrower’s account or any related agreement or transaction shall be brought in the United States District Court for the Southern District of New York, except as provided below with respect to arbitration of such matters. BANK AND BORROWER EACH ACKNOWLEDGE THAT THE RIGHT TO TRIAL BY JURY IS A CONSTITUTIONAL ONE, BUT THAT IT MAY BE WAIVED. EACH OF THEM, AFTER CONSULTING OR HAVING HAD THE OPPORTUNITY TO CONSULT, WITH COUNSEL OF THEIR CHOICE, KNOWINGLY, VOLUNTARILY AND INTENTIONALLY WAIVES ANY RIGHT ANY OF THEM MAY HAVE TO A TRIAL BY JURY IN ANY LITIGATION BASED UPON OR ARISING OUT OF THIS AGREEMENT OR ANY RELATED INSTRUMENT OR LOAN DOCUMENT OR ANY OF THE TRANSACTIONS CONTEMPLATED BY THIS AGREEMENT OR ANY COURSE OF CONDUCT, DEALING, STATEMENTS (WHETHER ORAL OR WRITTEN), OR ACTION OF ANY OF THEM. THESE PROVISIONS SHALL NOT BE DEEMED TO HAVE BEEN MODIFIED IN ANY RESPECT OR RELINQUISHED BY BANK OR BORROWER, EXCEPT BY A WRITTEN INSTRUMENT EXECUTED BY EACH OF THEM. If the jury waiver set forth in this Section 11 is not enforceable, then any dispute, controversy, claim, action or similar proceeding arising out of or relating to this Agreement, the Loan Documents or any of the transactions contemplated therein shall be settled by final and binding arbitration held in New York, New York in accordance with the then current Commercial Arbitration Rules of the American Arbitration Association by one arbitrator appointed in accordance with those rules. The arbitrator shall apply New York law to the resolution of any dispute, without reference to rules of conflicts of law or rules of statutory arbitration. Judgment upon any award resulting from arbitration may be entered into and enforced by any state or federal court having jurisdiction thereof. Notwithstanding the foregoing, the parties may apply to any court of competent jurisdiction for preliminary or interim equitable relief, or to compel arbitration in accordance with this Section. The costs and expenses of the arbitration, including without limitation, the arbitrator’s fees and expert witness fees, and reasonable attorneys’ fees, incurred by the parties to the arbitration may be awarded to the prevailing party, in the discretion of the arbitrator, or may be apportioned between the parties in any manner deemed appropriate by the arbitrator. Unless and until the arbitrator decides that one party is to pay for all (or a share) of such costs and expenses, both parties shall share equally in the payment of the arbitrator’s fees as and when billed by the arbitrator.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9" w:right="439" w:bottom="1440" w:gutter="0" w:footer="0" w:header="0"/>
        </w:sectPr>
      </w:pPr>
    </w:p>
    <w:bookmarkStart w:id="530" w:name="page531"/>
    <w:bookmarkEnd w:id="53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 GENERAL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12.1 Successors and Assigns</w:t>
      </w:r>
      <w:r>
        <w:rPr>
          <w:rFonts w:ascii="Times New Roman" w:cs="Times New Roman" w:eastAsia="Times New Roman" w:hAnsi="Times New Roman"/>
          <w:sz w:val="18"/>
          <w:szCs w:val="18"/>
          <w:color w:val="auto"/>
        </w:rPr>
        <w:t>. This Agreement shall bind and inure to the benefit of the respective successors and permitted assigns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parties and shall bind all persons who become bound as a debtor to this Agreement; provided, however, that neither this Agreement nor any rights hereunder may be assigned by Borrower without Bank’s prior written consent, which consent may be granted or withheld in Bank’s sole discretion. Bank shall have the right without the consent of or notice to Borrower to sell, assign, transfer, negotiate, or grant participation in all or any part of, or any interest in, Bank’s obligations, rights and benefits hereunder.</w:t>
      </w:r>
    </w:p>
    <w:p>
      <w:pPr>
        <w:spacing w:after="0" w:line="71"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12.2 Indemnification</w:t>
      </w:r>
      <w:r>
        <w:rPr>
          <w:rFonts w:ascii="Times New Roman" w:cs="Times New Roman" w:eastAsia="Times New Roman" w:hAnsi="Times New Roman"/>
          <w:sz w:val="18"/>
          <w:szCs w:val="18"/>
          <w:color w:val="auto"/>
        </w:rPr>
        <w:t>. Borrower shall defend, indemnify and hold harmless Bank and its officers, directors, employees, affiliates, advisors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agents against: (a) all obligations, demands, claims, and liabilities claimed or asserted by any other party in connection with the transactions contemplated by this Agreement; and (b) all losses or Bank Expenses in any way suffered, incurred, or paid by Bank, its officers, employees and agents as a result of or in any way arising out of, following, or consequential to transactions between Bank and Borrower whether under this Agreement, or otherwise (including without limitation reasonable attorneys fees and expenses), except for losses caused by Bank’s gross negligence or willful misconduct as adjudicated in accordance with Section 11 of this Agreement.</w:t>
      </w:r>
    </w:p>
    <w:p>
      <w:pPr>
        <w:spacing w:after="0" w:line="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12.3 Time of Essence</w:t>
      </w:r>
      <w:r>
        <w:rPr>
          <w:rFonts w:ascii="Times New Roman" w:cs="Times New Roman" w:eastAsia="Times New Roman" w:hAnsi="Times New Roman"/>
          <w:sz w:val="18"/>
          <w:szCs w:val="18"/>
          <w:color w:val="auto"/>
        </w:rPr>
        <w:t>. Time is of the essence for the performance of all obligations set forth in this Agreement.</w:t>
      </w:r>
    </w:p>
    <w:p>
      <w:pPr>
        <w:spacing w:after="0" w:line="117"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12.4 Severability of Provisions</w:t>
      </w:r>
      <w:r>
        <w:rPr>
          <w:rFonts w:ascii="Times New Roman" w:cs="Times New Roman" w:eastAsia="Times New Roman" w:hAnsi="Times New Roman"/>
          <w:sz w:val="18"/>
          <w:szCs w:val="18"/>
          <w:color w:val="auto"/>
        </w:rPr>
        <w:t>. Each provision of this Agreement shall be severable from every other provision of this Agreement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determining the legal enforceability of any specific provision.</w:t>
      </w:r>
    </w:p>
    <w:p>
      <w:pPr>
        <w:spacing w:after="0" w:line="47"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12.5 Amendments in Writing, Integration. </w:t>
      </w:r>
      <w:r>
        <w:rPr>
          <w:rFonts w:ascii="Times New Roman" w:cs="Times New Roman" w:eastAsia="Times New Roman" w:hAnsi="Times New Roman"/>
          <w:sz w:val="18"/>
          <w:szCs w:val="18"/>
          <w:color w:val="auto"/>
        </w:rPr>
        <w:t>All amendments to or terminations of this Agreement or the other Loan Documents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writing. All prior agreements, understandings, representations, warranties, and negotiations between the parties hereto with respect to the subject matter of this Agreement and the other Loan Documents, if any, are merged into this Agreement and the Loan Documents.</w:t>
      </w:r>
    </w:p>
    <w:p>
      <w:pPr>
        <w:spacing w:after="0" w:line="63"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12.6 Counterparts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Electronic Transmission; Electronic Signatures. </w:t>
      </w:r>
      <w:r>
        <w:rPr>
          <w:rFonts w:ascii="Times New Roman" w:cs="Times New Roman" w:eastAsia="Times New Roman" w:hAnsi="Times New Roman"/>
          <w:sz w:val="18"/>
          <w:szCs w:val="18"/>
          <w:color w:val="auto"/>
        </w:rPr>
        <w:t>This Agreement may be executed in any number of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by different parties on separate counterparts, each of which, when executed and delivered, shall be deemed to be an original, and all of which, when taken together, shall constitute but one and the same Agreement. Executed copies of this Agreement or the signature pages of this Agreement sent by facsimile or transmitted electronically in Portable Document Format (“PDF”) or any similar format, or transmitted electronically by digital image, DocuSign, or other means of electronic transmission or electronic signature, shall be treated as originals, fully binding and with full legal force and effect, and the parties waive any rights they may have to object to such treatment. The words “execution,” “signed,” “signature,” “delivery,” and words of like import in or relating to this Agreement and/or any document to be signed in connection with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 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5" w:right="479" w:bottom="1440" w:gutter="0" w:footer="0" w:header="0"/>
        </w:sectPr>
      </w:pPr>
    </w:p>
    <w:bookmarkStart w:id="531" w:name="page532"/>
    <w:bookmarkEnd w:id="531"/>
    <w:p>
      <w:pPr>
        <w:ind w:left="4"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12.7 E-Systems. </w:t>
      </w:r>
      <w:r>
        <w:rPr>
          <w:rFonts w:ascii="Times New Roman" w:cs="Times New Roman" w:eastAsia="Times New Roman" w:hAnsi="Times New Roman"/>
          <w:sz w:val="18"/>
          <w:szCs w:val="18"/>
          <w:color w:val="auto"/>
        </w:rPr>
        <w:t>Borrower authorizes Bank to establish procedures (and to amend such procedures from time to time) to facilitate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and servicing of the Credit Extensions and other matters incidental thereto. Without limiting the generality of the foregoing, Borrower authorizes Bank to establish procedures to make available or deliver, or to accept, notices, documents and similar items, by posting to or submitting and/or completion, on E- Systems. Borrower acknowledges and agrees that the use of transmissions via an E-System or electronic mail is not necessarily secure and that there are risks associated with such use, including risks of interception, disclosure and abuse, and Borrower assumes and accepts such risks by hereby authorizing the transmission via E-Systems or electronic mail. All uses of an E-System shall be governed by and subject to, in addition to this Section, the separate terms and conditions posted or referenced in such E-System (or such terms and conditions as may be updated from time to time, including on such E-System) and related contractual obligations executed by Borrower in connection with the use of such E-System. ALL E-SYSTEMS AND ELECTRONIC TRANSMISSIONS SHALL BE PROVIDED “AS-IS” AND “AS AVAILABLE”. NO REPRESENTATION OR WARRANTY OF ANY KIND IS MADE BY BANK OR ANY OF ITS AFFILIATES IN CONNECTION WITH ANY E-SYSTEMS.</w:t>
      </w:r>
    </w:p>
    <w:p>
      <w:pPr>
        <w:spacing w:after="0" w:line="77" w:lineRule="exact"/>
        <w:rPr>
          <w:sz w:val="20"/>
          <w:szCs w:val="20"/>
          <w:color w:val="auto"/>
        </w:rPr>
      </w:pPr>
    </w:p>
    <w:p>
      <w:pPr>
        <w:ind w:left="4"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12.8 Survival</w:t>
      </w:r>
      <w:r>
        <w:rPr>
          <w:rFonts w:ascii="Times New Roman" w:cs="Times New Roman" w:eastAsia="Times New Roman" w:hAnsi="Times New Roman"/>
          <w:sz w:val="18"/>
          <w:szCs w:val="18"/>
          <w:color w:val="auto"/>
        </w:rPr>
        <w:t>. All covenants, representations and warranties made in this Agreement shall continue in full force and effect so long as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remain outstanding or Bank has any obligation to make any Credit Extension to Borrower. The obligations of Borrower to indemnify Bank with respect to the expenses, damages, losses, costs and liabilities described in Section 12.2 shall survive until all applicable statute of limitations periods with respect to actions that may be brought against Bank have run.</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12.9 Confidentiality and Publicity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320" w:firstLine="1428"/>
        <w:spacing w:after="0" w:line="276" w:lineRule="auto"/>
        <w:tabs>
          <w:tab w:leader="none" w:pos="1691" w:val="left"/>
        </w:tabs>
        <w:numPr>
          <w:ilvl w:val="1"/>
          <w:numId w:val="4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shall not, and shall not permit any of its Affiliates to: (i) publish or disclose any materials containing Bank’s name, including in any press release or otherwise in connection with any advertising or marketing, without first obtaining Bank’s prior written consent, or</w:t>
      </w:r>
    </w:p>
    <w:p>
      <w:pPr>
        <w:ind w:left="264" w:hanging="264"/>
        <w:spacing w:after="0"/>
        <w:tabs>
          <w:tab w:leader="none" w:pos="264"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Bank’s name (or the name of any of its Affiliates) in connection with its operations or business.</w:t>
      </w:r>
    </w:p>
    <w:p>
      <w:pPr>
        <w:spacing w:after="0" w:line="98" w:lineRule="exact"/>
        <w:rPr>
          <w:rFonts w:ascii="Times New Roman" w:cs="Times New Roman" w:eastAsia="Times New Roman" w:hAnsi="Times New Roman"/>
          <w:sz w:val="18"/>
          <w:szCs w:val="18"/>
          <w:color w:val="auto"/>
        </w:rPr>
      </w:pPr>
    </w:p>
    <w:p>
      <w:pPr>
        <w:ind w:left="4" w:right="80" w:firstLine="1428"/>
        <w:spacing w:after="0" w:line="255" w:lineRule="auto"/>
        <w:tabs>
          <w:tab w:leader="none" w:pos="1701" w:val="left"/>
        </w:tabs>
        <w:numPr>
          <w:ilvl w:val="1"/>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handling any confidential information, Bank shall exercise commercially reasonable efforts to maintain in confidence, in accordance with its customary procedures for handling confidential information, all written non-public information furnished to Bank on a confidential basis (“Confidential Information”) other than any such Confidential Information that becomes generally available to the public or becomes available to the Bank from a source other than Borrower and that is not known to Bank to be subject to confidentiality obligations; provided, that Bank and its Affiliates shall have the right to disclose Confidential Information to: (i) on a confidential basis, Bank’s Affiliates; (ii) on a confidential basis, Bank’s or Bank’s Affiliates’ lenders, funding sources, or financing sources; (iii) on a confidential basis, Bank’s or Bank’s Affiliates’ directors, officers, trustees, partners, members, managers, employees,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5" w:right="459" w:bottom="1440" w:gutter="0" w:footer="0" w:header="0"/>
        </w:sectPr>
      </w:pPr>
    </w:p>
    <w:bookmarkStart w:id="532" w:name="page533"/>
    <w:bookmarkEnd w:id="53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agents, advisors, representatives, attorneys, equity owners, professional consultants, portfolio management services and rating agencies; (iv) subject to an agreement containing provisions substantially the same as those of this Section, any successor or assign of Bank; (v) subject to an agreement containing provisions substantially the same as those of this Section, any Person to whom Bank offers to sell, assign or transfer any Credit Extension or any part thereof or any interest or participation therein; (vi) on a confidential basis (or so long as such information is anonymized), any Person that provides statistical analysis and/or information services to Bank or its Affiliates; and (vii) any Person so long as such Person is advised of the confidential nature of such information (A) to the extent required by it by law, (B) as may be required in connection with the examination, audit, or similar investigation of Bank, (C) in response to any subpoena or other legal process or informal investigative demand, (D) in connection with any litigation, or (E) in connection with the actual or potential exercise or enforcement of any right or remedy under any Loan Document. The obligations of Bank and its Affiliates under this Section 12.9 shall supersede and replace any other confidentiality obligations agreed to by Bank or its Affiliates.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40" w:top="269" w:right="49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executed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MAZE THERAPEUTICS,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Jason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Jason Coloma, Ph.D.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PACIFIC WESTERN BANK</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Jay McNeil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Jay McNeil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9579"/>
          </w:cols>
          <w:pgMar w:left="880" w:top="269" w:right="1440" w:bottom="1440" w:gutter="0" w:footer="0" w:header="0"/>
        </w:sectPr>
      </w:pPr>
    </w:p>
    <w:bookmarkStart w:id="534" w:name="page535"/>
    <w:bookmarkEnd w:id="5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“Accounts” means all presently existing and hereafter arising accounts, contract rights, payment intangibles and all other forms of obligations owing to Borrower arising out of the sale or lease of goods (including, without limitation, the licensing of software and other technology) or the rendering of services by Borrower and any and all credit insurance, guaranties, and other security therefore, as well as all merchandise returned to or reclaimed by Borrower and Borrower’s Books relating to any of the foregoing.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or “Advances” means a cash advance or cash advances under the Revolving Line.</w:t>
      </w:r>
    </w:p>
    <w:p>
      <w:pPr>
        <w:spacing w:after="0" w:line="225" w:lineRule="exact"/>
        <w:rPr>
          <w:sz w:val="20"/>
          <w:szCs w:val="20"/>
          <w:color w:val="auto"/>
        </w:rPr>
      </w:pPr>
    </w:p>
    <w:p>
      <w:pPr>
        <w:jc w:val="both"/>
        <w:ind w:right="640"/>
        <w:spacing w:after="0" w:line="312" w:lineRule="auto"/>
        <w:rPr>
          <w:sz w:val="20"/>
          <w:szCs w:val="20"/>
          <w:color w:val="auto"/>
        </w:rPr>
      </w:pPr>
      <w:r>
        <w:rPr>
          <w:rFonts w:ascii="Times New Roman" w:cs="Times New Roman" w:eastAsia="Times New Roman" w:hAnsi="Times New Roman"/>
          <w:sz w:val="17"/>
          <w:szCs w:val="17"/>
          <w:color w:val="auto"/>
        </w:rPr>
        <w:t>“Affiliate” means, with respect to any Person, any Person that owns or controls directly or indirectly such Person, any Person that controls or is controlled by or is under common control with such Person, and each of such Person’s senior executive officers, directors, and general partners.</w:t>
      </w:r>
    </w:p>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“Ancillary Services” means any of the following products or services requested by Borrower and approved by Bank under the Revolving Line, including, without limitation, Automated Clearing House transactions, corporate credit card services, FX Contracts, Letters of Credit, or other treasury management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“Ancillary Services Sublimit” means a sublimit for Ancillary Services under the Revolving Line not to exceed $500,000.</w:t>
      </w:r>
    </w:p>
    <w:p>
      <w:pPr>
        <w:spacing w:after="0" w:line="22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“Authorized Officer” means someone designated as such in the corporate resolution provided by Borrower to Bank in which this Agreement and the transactions contemplated hereunder are authorized by Borrower’s board of directors. If Borrower provides subsequent corporate resolutions to Bank after the Closing Date, the individual(s) designated as “Authorized Officer(s)” in the most recently provided resolution shall be the only “Authorized Officers” for purposes of this Agreement.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“Bank Expenses” means all reasonable and documented costs or expenses (including reasonable and documented attorneys’ fees and expenses, whether generated by in-house or by outside counsel) incurred in connection with the preparation, negotiation, administration, and enforcement of the Loan Documents; reasonable Collateral audit fees; and Bank’s reasonable and documented attorneys’ fees and expenses (whether generated in-house or by outside counsel) incurred in amending, enforcing or defending the Loan Documents (including fees and expenses of appeal), incurred before, during and after an Insolvency Proceeding, whether or not suit is brought.</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“Borrower’s Books” means all of Borrower’s books and records including: ledgers; records concerning Borrower’s assets or liabilities, the Collateral, business operations or financial condition; and all computer programs, or tape files, and the equipment, containing such information.</w:t>
      </w:r>
    </w:p>
    <w:p>
      <w:pPr>
        <w:sectPr>
          <w:pgSz w:w="11900" w:h="16838" w:orient="portrait"/>
          <w:cols w:equalWidth="0" w:num="1">
            <w:col w:w="10980"/>
          </w:cols>
          <w:pgMar w:left="440" w:top="265" w:right="479" w:bottom="1440" w:gutter="0" w:footer="0" w:header="0"/>
        </w:sectPr>
      </w:pPr>
    </w:p>
    <w:bookmarkStart w:id="535" w:name="page536"/>
    <w:bookmarkEnd w:id="535"/>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Day” means any day that is not a Saturday, Sunday, or other day on which banks in the State of North Carolina are authorized or required to close.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“Capitalized Expenditures” means current period unfinanced cash expenditures that are capitalized and amortized over a period of time in accordance with GAAP, including but not limited to capitalized cash expenditures for capital equipment, capitalized manufacturing and labor costs as they relate to inventory, but not capitalized cash expenditures for software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means unrestricted cash and cash equivalents.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“Change in Control” shall mean a transaction other than a bona fide equity financing or series of financings on terms and from investors reasonably acceptable to Bank in which any “person” or “group” (within the meaning of Section 13(d) and 14(d)(2) of the Securities Exchange Act of 1934) becomes the “beneficial owner” (as defined in Rule 13d-3 under the Securities Exchange Act of 1934), directly or indirectly, of a sufficient number of shares of all classes of stock then outstanding of Borrower ordinarily entitled to vote in the election of directors, empowering such “person” or “group” to elect a majority of the Board of Directors of Borrower, who did not have such power before such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means the date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means the New York Uniform Commercial Code as amended or supplemented from time to time.</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“Collateral” means the property described on Exhibit B attached hereto and all Negotiable Collateral to the extent not described on Exhibit B, except to the extent any such property (i) is nonassignable by its terms without the consent of the licensor thereof or another party (but only to the extent such prohibition on transfer is enforceable under applicable law, including, without limitation, Sections §25-9-406 and §25-9-408 of the Code), (ii) the granting of a security interest therein is contrary to applicable law, provided that upon the cessation of any such restriction or prohibition, such property shall automatically become part of the Collateral, (iii) constitutes the capital stock of a controlled foreign corporation (as defined in the IRC), in excess of 65% of the voting power of all classes of capital stock of such controlled foreign corporations entitled to vote, or (iv) property (including any attachments, accessions or replacements) that is subject to a Lien that is permitted pursuant to clause (c) of the definition of Permitted Liens, if the grant of a security interest with respect to such property pursuant to this Agreement would be prohibited by the agreement creating such Permitted Lien or would otherwise constitute a default thereunder, provided, that such property will be deemed “Collateral” hereunder upon the termination and release of such Permitted Lien.</w:t>
      </w:r>
    </w:p>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“Compliance Certificate” means a compliance certificate, in substantially the form of Exhibit D attached hereto, executed by a Responsible Officer of the Borrower.</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“Contingent Obligation” means, as applied to any Person, any direct or indirect liability, contingent or otherwise, of that Person with respect to (i) any indebtedness, lease, dividend, letter of credit or other obligation of another, including, without limitation, any such obligation directly or indirectly guaranteed, endorsed, co-made or discounted or sold with recourse by that Person, or in respect of which that Person is otherwise directly or indirectly liable; (ii) any obligations with</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440" w:top="269" w:right="519" w:bottom="1440" w:gutter="0" w:footer="0" w:header="0"/>
        </w:sectPr>
      </w:pPr>
    </w:p>
    <w:bookmarkStart w:id="536" w:name="page537"/>
    <w:bookmarkEnd w:id="536"/>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“Copyrights” means any and all copyright rights, copyright applications, copyright registrations and like protections in each work or authorship and derivative work thereof, whether published or unpublished and whether or not the same also constitutes a trade secret, now or hereafter existing, created, acquired or held.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Extension” means each Advance, Letter of Credit or any other extension of credit by Bank to or for the benefit of Borrower hereunder.</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“E-System” means any electronic system approved by Bank, including any Internet or extranet- based site, whether such electronic system is owned, operated or hosted by Bank, any of its Affiliates or any other Person, providing for access to data protected by passcodes or other security system, or otherwise used to facilitate communication between Borrower and Bank with respect to the Loan Documents.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“Environmental Laws” means all laws, rules, regulations, orders and the like issued by any federal state, local foreign or other governmental or quasi-governmental authority or any agency pertaining to the environment or to any hazardous materials or wastes, toxic substances, flammable, explosive or radioactive materials, asbestos or other similar materials.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“Equipment” means all present and future machinery, equipment, tenant improvements, furniture, fixtures, vehicles, tools, parts and attachments in which Borrower has any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“ERISA” means the Employee Retirement Income Security Act of 1974, as amended, and the regulations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has the meaning assigned in Article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“FX Contracts” means contracts between Borrower and Bank for foreign exchange transactions.</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“Foreign Exchange Reserve Percentage” means a percentage of reserves for FX Contracts as determined by Bank, in its sole discretion from time to time.</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“Funding Milestone” means the receipt by Borrower after the Closing Date of not less than One Hundred Fifty Million Dollars ($150,000,000) in aggregate from the sale of equity securities and/or upfront nonrefundable payments from strategic partnerships.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69" w:right="479" w:bottom="1440" w:gutter="0" w:footer="0" w:header="0"/>
        </w:sectPr>
      </w:pPr>
    </w:p>
    <w:bookmarkStart w:id="537" w:name="page538"/>
    <w:bookmarkEnd w:id="53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“GAAP” means generally accepted accounting principles, consistently applied, as in effect from time to time in the United States.</w:t>
      </w:r>
    </w:p>
    <w:p>
      <w:pPr>
        <w:spacing w:after="0" w:line="225" w:lineRule="exact"/>
        <w:rPr>
          <w:sz w:val="20"/>
          <w:szCs w:val="20"/>
          <w:color w:val="auto"/>
        </w:rPr>
      </w:pPr>
    </w:p>
    <w:p>
      <w:pPr>
        <w:jc w:val="both"/>
        <w:ind w:left="4" w:right="460"/>
        <w:spacing w:after="0" w:line="289" w:lineRule="auto"/>
        <w:rPr>
          <w:sz w:val="20"/>
          <w:szCs w:val="20"/>
          <w:color w:val="auto"/>
        </w:rPr>
      </w:pPr>
      <w:r>
        <w:rPr>
          <w:rFonts w:ascii="Times New Roman" w:cs="Times New Roman" w:eastAsia="Times New Roman" w:hAnsi="Times New Roman"/>
          <w:sz w:val="17"/>
          <w:szCs w:val="17"/>
          <w:color w:val="auto"/>
        </w:rPr>
        <w:t>“Indebtedness” means (a) all indebtedness for borrowed money or the deferred purchase price of property or services, including without limitation reimbursement and other obligations with respect to surety bonds and letters of credit, (b) all obligations evidenced by notes, bonds, debentures or similar instruments, (c) all capital lease obligations, and (d) all Contingent Obligations, including but not limited to any sublimit contained herein.</w:t>
      </w:r>
    </w:p>
    <w:p>
      <w:pPr>
        <w:spacing w:after="0" w:line="158" w:lineRule="exact"/>
        <w:rPr>
          <w:sz w:val="20"/>
          <w:szCs w:val="20"/>
          <w:color w:val="auto"/>
        </w:rPr>
      </w:pPr>
    </w:p>
    <w:p>
      <w:pPr>
        <w:jc w:val="both"/>
        <w:ind w:left="4" w:right="260"/>
        <w:spacing w:after="0" w:line="266" w:lineRule="auto"/>
        <w:rPr>
          <w:sz w:val="20"/>
          <w:szCs w:val="20"/>
          <w:color w:val="auto"/>
        </w:rPr>
      </w:pPr>
      <w:r>
        <w:rPr>
          <w:rFonts w:ascii="Times New Roman" w:cs="Times New Roman" w:eastAsia="Times New Roman" w:hAnsi="Times New Roman"/>
          <w:sz w:val="18"/>
          <w:szCs w:val="18"/>
          <w:color w:val="auto"/>
        </w:rPr>
        <w:t>“Insolvency Proceeding” means any proceeding commenced by or against any Person or entity under any provision of the United States Bankruptcy Code, as amended, or under any other bankruptcy or insolvency law, including assignments for the benefit of creditors, formal or informal moratoria, compositions, extension generally with its creditors, or proceedings seeking reorganization, arrangement, or other relief.</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“Intellectual Property” means all of Borrower’s right, title, and interest in and to the following:</w:t>
      </w:r>
    </w:p>
    <w:p>
      <w:pPr>
        <w:spacing w:after="0" w:line="117" w:lineRule="exact"/>
        <w:rPr>
          <w:sz w:val="20"/>
          <w:szCs w:val="20"/>
          <w:color w:val="auto"/>
        </w:rPr>
      </w:pPr>
    </w:p>
    <w:p>
      <w:pPr>
        <w:ind w:left="264" w:hanging="264"/>
        <w:spacing w:after="0"/>
        <w:tabs>
          <w:tab w:leader="none" w:pos="264"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Copyrights, Trademarks and Patents;</w:t>
      </w:r>
    </w:p>
    <w:p>
      <w:pPr>
        <w:spacing w:after="0" w:line="117" w:lineRule="exact"/>
        <w:rPr>
          <w:rFonts w:ascii="Times New Roman" w:cs="Times New Roman" w:eastAsia="Times New Roman" w:hAnsi="Times New Roman"/>
          <w:sz w:val="18"/>
          <w:szCs w:val="18"/>
          <w:b w:val="1"/>
          <w:bCs w:val="1"/>
          <w:color w:val="auto"/>
        </w:rPr>
      </w:pPr>
    </w:p>
    <w:p>
      <w:pPr>
        <w:ind w:left="4" w:hanging="4"/>
        <w:spacing w:after="0" w:line="282" w:lineRule="auto"/>
        <w:tabs>
          <w:tab w:leader="none" w:pos="269"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and all trade secrets, and any and all intellectual property rights in computer software and computer software products now or hereafter existing, created, acquired or held;</w:t>
      </w:r>
    </w:p>
    <w:p>
      <w:pPr>
        <w:spacing w:after="0" w:line="53"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and all design rights which may be available to Borrower now or hereafter existing, created, acquired or held; and</w:t>
      </w:r>
    </w:p>
    <w:p>
      <w:pPr>
        <w:spacing w:after="0" w:line="11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amendments, renewals and extensions of any of the Copyrights, Trademarks or Patents.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“Inventory” means all present and future inventory in which Borrower has any interest.</w:t>
      </w:r>
    </w:p>
    <w:p>
      <w:pPr>
        <w:spacing w:after="0" w:line="225"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“Investment” means any beneficial ownership of (including stock, partnership or limited liability company interest or other securities) any Person, or any loan, advance or capital contribution to any Person.</w:t>
      </w:r>
    </w:p>
    <w:p>
      <w:pPr>
        <w:spacing w:after="0" w:line="162"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“Investment Agreement” means, collectively, Borrower’s stock purchase and other agreement(s) pursuant to which Borrower most recently issued its preferred stock.</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“IRC” means the Internal Revenue Code of 1986, as amended, and the regulations thereunder.</w:t>
      </w:r>
    </w:p>
    <w:p>
      <w:pPr>
        <w:spacing w:after="0" w:line="225" w:lineRule="exact"/>
        <w:rPr>
          <w:sz w:val="20"/>
          <w:szCs w:val="20"/>
          <w:color w:val="auto"/>
        </w:rPr>
      </w:pPr>
    </w:p>
    <w:p>
      <w:pPr>
        <w:ind w:left="4" w:right="820"/>
        <w:spacing w:after="0" w:line="282" w:lineRule="auto"/>
        <w:rPr>
          <w:sz w:val="20"/>
          <w:szCs w:val="20"/>
          <w:color w:val="auto"/>
        </w:rPr>
      </w:pPr>
      <w:r>
        <w:rPr>
          <w:rFonts w:ascii="Times New Roman" w:cs="Times New Roman" w:eastAsia="Times New Roman" w:hAnsi="Times New Roman"/>
          <w:sz w:val="18"/>
          <w:szCs w:val="18"/>
          <w:color w:val="auto"/>
        </w:rPr>
        <w:t>“Letter of Credit” means a commercial or standby letter of credit or similar undertaking issued by Bank (or any of its correspondent banks) at Borrower’s request.</w:t>
      </w:r>
    </w:p>
    <w:p>
      <w:pPr>
        <w:spacing w:after="0" w:line="16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“Letter of Credit Exposure” means, as of any date of determination, the sum, without duplication, of (i) the aggregate undrawn amount of all outstanding Letters of Credit and any obligations of Bank related to purchased participations or indemnity or reimbursement obligations with respect to Letters of Credit, plus (ii) the aggregate unreimbursed amount of all drawn Letters of Credit until such amount becomes an Advance under the terms of this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69" w:right="459" w:bottom="1440" w:gutter="0" w:footer="0" w:header="0"/>
        </w:sectPr>
      </w:pPr>
    </w:p>
    <w:bookmarkStart w:id="538" w:name="page539"/>
    <w:bookmarkEnd w:id="53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 means any mortgage, lien, deed of trust, charge, pledge, security interest or other encumbrance.</w:t>
      </w:r>
    </w:p>
    <w:p>
      <w:pPr>
        <w:spacing w:after="0" w:line="225"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“Loan Documents” means, collectively, this Agreement, any note or notes executed by Borrower, and any other document, instrument or agreement entered into in connection with this Agreement, all as amended or extended from time to time.</w:t>
      </w:r>
    </w:p>
    <w:p>
      <w:pPr>
        <w:spacing w:after="0" w:line="162"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“Material Adverse Effect” means a material adverse effect on (i) the operations, business or financial condition of Borrower and its Subsidiaries taken as a whole, (ii) the ability of Borrower to repay the Obligations or otherwise perform its material obligations under the Loan Documents, or</w:t>
      </w:r>
    </w:p>
    <w:p>
      <w:pPr>
        <w:ind w:left="4" w:right="3420" w:hanging="4"/>
        <w:spacing w:after="0" w:line="490" w:lineRule="auto"/>
        <w:tabs>
          <w:tab w:leader="none" w:pos="319"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interest in, or the value, perfection or priority of Bank’s security interest in the Collateral. “Maturity Date” means November 27, 2026.</w:t>
      </w: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“Negotiable Collateral” means all of Borrower’s present and future letters of credit of which it is a beneficiary, drafts, instruments (including promissory notes), securities, documents of title, and chattel paper, and Borrower’s Books relating to any of the foregoing.</w:t>
      </w:r>
    </w:p>
    <w:p>
      <w:pPr>
        <w:spacing w:after="0" w:line="16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“Obligations” means all debt, principal, interest, Bank Expenses and other amounts owed to Bank by Borrower pursuant to this Agreement or any other agreement, whether absolute or contingent, due or to become due, now existing or hereafter arising, including any interest that accrues after the commencement of an Insolvency Proceeding and including any debt, liability, or obligation owing from Borrower to others that Bank may have obtained by assignment or otherwise.</w:t>
      </w:r>
    </w:p>
    <w:p>
      <w:pPr>
        <w:spacing w:after="0" w:line="180"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“Patents”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 w:right="640"/>
        <w:spacing w:after="0" w:line="282" w:lineRule="auto"/>
        <w:rPr>
          <w:sz w:val="20"/>
          <w:szCs w:val="20"/>
          <w:color w:val="auto"/>
        </w:rPr>
      </w:pPr>
      <w:r>
        <w:rPr>
          <w:rFonts w:ascii="Times New Roman" w:cs="Times New Roman" w:eastAsia="Times New Roman" w:hAnsi="Times New Roman"/>
          <w:sz w:val="18"/>
          <w:szCs w:val="18"/>
          <w:color w:val="auto"/>
        </w:rPr>
        <w:t>“Periodic Payments” means all installments or similar recurring payments that Borrower may now or hereafter become obligated to pay to Bank pursuant to the terms and provisions of any instrument, or agreement now or hereafter in existence between Borrower and Bank.</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“Permitted Indebtedness” means:</w:t>
      </w:r>
    </w:p>
    <w:p>
      <w:pPr>
        <w:spacing w:after="0" w:line="117" w:lineRule="exact"/>
        <w:rPr>
          <w:sz w:val="20"/>
          <w:szCs w:val="20"/>
          <w:color w:val="auto"/>
        </w:rPr>
      </w:pPr>
    </w:p>
    <w:p>
      <w:pPr>
        <w:ind w:left="264" w:hanging="264"/>
        <w:spacing w:after="0"/>
        <w:tabs>
          <w:tab w:leader="none" w:pos="264" w:val="left"/>
        </w:tabs>
        <w:numPr>
          <w:ilvl w:val="0"/>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of Borrower in favor of Bank arising under this Agreement or any other Loan Document;</w:t>
      </w:r>
    </w:p>
    <w:p>
      <w:pPr>
        <w:spacing w:after="0" w:line="11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existing on the Closing Date and disclosed in the Schedule;</w:t>
      </w:r>
    </w:p>
    <w:p>
      <w:pPr>
        <w:spacing w:after="0" w:line="117" w:lineRule="exact"/>
        <w:rPr>
          <w:rFonts w:ascii="Times New Roman" w:cs="Times New Roman" w:eastAsia="Times New Roman" w:hAnsi="Times New Roman"/>
          <w:sz w:val="18"/>
          <w:szCs w:val="18"/>
          <w:b w:val="1"/>
          <w:bCs w:val="1"/>
          <w:color w:val="auto"/>
        </w:rPr>
      </w:pPr>
    </w:p>
    <w:p>
      <w:pPr>
        <w:ind w:left="4" w:right="220" w:hanging="4"/>
        <w:spacing w:after="0" w:line="266" w:lineRule="auto"/>
        <w:tabs>
          <w:tab w:leader="none" w:pos="249" w:val="left"/>
        </w:tabs>
        <w:numPr>
          <w:ilvl w:val="0"/>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not to exceed $2,500,000 in the aggregate at any time secured by a lien described in clause (c) of the defined term “Permitted Liens,” provided such Indebtedness does not exceed at the time it is incurred the lesser of the cost or fair market value of the property financed with such Indebtedness;</w:t>
      </w:r>
    </w:p>
    <w:p>
      <w:pPr>
        <w:spacing w:after="0" w:line="6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Subordinated Debt;</w:t>
      </w:r>
    </w:p>
    <w:p>
      <w:pPr>
        <w:spacing w:after="0" w:line="117"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4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to trade creditors incurred in the ordinary course of business;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69" w:right="439" w:bottom="1440" w:gutter="0" w:footer="0" w:header="0"/>
        </w:sectPr>
      </w:pPr>
    </w:p>
    <w:bookmarkStart w:id="539" w:name="page540"/>
    <w:bookmarkEnd w:id="539"/>
    <w:p>
      <w:pPr>
        <w:ind w:left="224" w:hanging="224"/>
        <w:spacing w:after="0"/>
        <w:tabs>
          <w:tab w:leader="none" w:pos="224" w:val="left"/>
        </w:tabs>
        <w:numPr>
          <w:ilvl w:val="0"/>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under corporate credit card facilities;</w:t>
      </w:r>
    </w:p>
    <w:p>
      <w:pPr>
        <w:spacing w:after="0" w:line="117" w:lineRule="exact"/>
        <w:rPr>
          <w:rFonts w:ascii="Times New Roman" w:cs="Times New Roman" w:eastAsia="Times New Roman" w:hAnsi="Times New Roman"/>
          <w:sz w:val="18"/>
          <w:szCs w:val="18"/>
          <w:b w:val="1"/>
          <w:bCs w:val="1"/>
          <w:color w:val="auto"/>
        </w:rPr>
      </w:pPr>
    </w:p>
    <w:p>
      <w:pPr>
        <w:ind w:left="4" w:right="200" w:hanging="4"/>
        <w:spacing w:after="0" w:line="266" w:lineRule="auto"/>
        <w:tabs>
          <w:tab w:leader="none" w:pos="259" w:val="left"/>
        </w:tabs>
        <w:numPr>
          <w:ilvl w:val="0"/>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Indebtedness of Borrower or a Subsidiary that is a co-borrower hereunder or a secured guarantor of the Obligations (each a “Loan Party”) to another Loan Party, (ii) Indebtedness of a Subsidiary that is not a Loan Party to another Subsidiary that is not a Loan Party, and (iii) Indebtedness of a Subsidiary that is not a Loan Party to a Loan Party not to exceed $500,000 in the aggregate in any fiscal year; and</w:t>
      </w:r>
    </w:p>
    <w:p>
      <w:pPr>
        <w:spacing w:after="0" w:line="67" w:lineRule="exact"/>
        <w:rPr>
          <w:rFonts w:ascii="Times New Roman" w:cs="Times New Roman" w:eastAsia="Times New Roman" w:hAnsi="Times New Roman"/>
          <w:sz w:val="18"/>
          <w:szCs w:val="18"/>
          <w:b w:val="1"/>
          <w:bCs w:val="1"/>
          <w:color w:val="auto"/>
        </w:rPr>
      </w:pPr>
    </w:p>
    <w:p>
      <w:pPr>
        <w:ind w:left="4" w:right="460" w:hanging="4"/>
        <w:spacing w:after="0" w:line="282" w:lineRule="auto"/>
        <w:tabs>
          <w:tab w:leader="none" w:pos="269" w:val="left"/>
        </w:tabs>
        <w:numPr>
          <w:ilvl w:val="0"/>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Extensions, refinancings and renewals of any items of Permitted Indebtedness, provided that the principal amount is not increased or the terms modified to impose more burdensome terms upon Borrower or its Subsidiary, as the case may be.</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“Permitted Investment” means:</w:t>
      </w:r>
    </w:p>
    <w:p>
      <w:pPr>
        <w:spacing w:after="0" w:line="117" w:lineRule="exact"/>
        <w:rPr>
          <w:sz w:val="20"/>
          <w:szCs w:val="20"/>
          <w:color w:val="auto"/>
        </w:rPr>
      </w:pPr>
    </w:p>
    <w:p>
      <w:pPr>
        <w:ind w:left="264" w:hanging="264"/>
        <w:spacing w:after="0"/>
        <w:tabs>
          <w:tab w:leader="none" w:pos="264"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existing on the Closing Date disclosed in the Schedule;</w:t>
      </w:r>
    </w:p>
    <w:p>
      <w:pPr>
        <w:spacing w:after="0" w:line="117" w:lineRule="exact"/>
        <w:rPr>
          <w:rFonts w:ascii="Times New Roman" w:cs="Times New Roman" w:eastAsia="Times New Roman" w:hAnsi="Times New Roman"/>
          <w:sz w:val="18"/>
          <w:szCs w:val="18"/>
          <w:b w:val="1"/>
          <w:bCs w:val="1"/>
          <w:color w:val="auto"/>
        </w:rPr>
      </w:pPr>
    </w:p>
    <w:p>
      <w:pPr>
        <w:ind w:left="4" w:right="60" w:hanging="4"/>
        <w:spacing w:after="0" w:line="269" w:lineRule="auto"/>
        <w:tabs>
          <w:tab w:leader="none" w:pos="269" w:val="left"/>
        </w:tabs>
        <w:numPr>
          <w:ilvl w:val="0"/>
          <w:numId w:val="4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 Marketable direct obligations issued or unconditionally guaranteed by the United States of America or any agency or any State thereof maturing within one year from the date of acquisition thereof, (ii) commercial paper maturing no more than one year from the date of creation thereof and currently having rating of at least A-2 or P-2 from either Standard &amp; Poor’s Corporation or Moody’s Investors Service, (iii) Bank’s certificates of deposit maturing no more than one year from the date of investment therein, and (iv) Bank’s money market accounts; (v) Investments in regular deposit or checking accounts held with Bank or as otherwise permitted by, and subject to the terms and conditions of, Section 6.6 of this Agreement; and</w:t>
      </w:r>
    </w:p>
    <w:p>
      <w:pPr>
        <w:spacing w:after="0" w:line="2" w:lineRule="exact"/>
        <w:rPr>
          <w:rFonts w:ascii="Times New Roman" w:cs="Times New Roman" w:eastAsia="Times New Roman" w:hAnsi="Times New Roman"/>
          <w:sz w:val="17"/>
          <w:szCs w:val="17"/>
          <w:b w:val="1"/>
          <w:bCs w:val="1"/>
          <w:color w:val="auto"/>
        </w:rPr>
      </w:pP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(vi) Investments consistent with any investment policy adopted by the Borrower’s board of directors;</w:t>
      </w:r>
    </w:p>
    <w:p>
      <w:pPr>
        <w:spacing w:after="0" w:line="98" w:lineRule="exact"/>
        <w:rPr>
          <w:rFonts w:ascii="Times New Roman" w:cs="Times New Roman" w:eastAsia="Times New Roman" w:hAnsi="Times New Roman"/>
          <w:sz w:val="17"/>
          <w:szCs w:val="17"/>
          <w:b w:val="1"/>
          <w:bCs w:val="1"/>
          <w:color w:val="auto"/>
        </w:rPr>
      </w:pPr>
    </w:p>
    <w:p>
      <w:pPr>
        <w:ind w:left="4" w:right="580" w:hanging="4"/>
        <w:spacing w:after="0" w:line="282" w:lineRule="auto"/>
        <w:tabs>
          <w:tab w:leader="none" w:pos="249"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 of Borrower’s business;</w:t>
      </w:r>
    </w:p>
    <w:p>
      <w:pPr>
        <w:spacing w:after="0" w:line="53"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accepted in connection with Permitted Transfers;</w:t>
      </w:r>
    </w:p>
    <w:p>
      <w:pPr>
        <w:spacing w:after="0" w:line="117" w:lineRule="exact"/>
        <w:rPr>
          <w:rFonts w:ascii="Times New Roman" w:cs="Times New Roman" w:eastAsia="Times New Roman" w:hAnsi="Times New Roman"/>
          <w:sz w:val="18"/>
          <w:szCs w:val="18"/>
          <w:b w:val="1"/>
          <w:bCs w:val="1"/>
          <w:color w:val="auto"/>
        </w:rPr>
      </w:pPr>
    </w:p>
    <w:p>
      <w:pPr>
        <w:ind w:left="4" w:right="140" w:hanging="4"/>
        <w:spacing w:after="0" w:line="282" w:lineRule="auto"/>
        <w:tabs>
          <w:tab w:leader="none" w:pos="249"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Investments of Subsidiaries in or to Borrower or any other Subsidiaries or Borrower, (ii) Investments of any Loan Party in any other Loan Party, and (iii) and Investments by any Loan Party in Subsidiaries that are not Loan Parties not to exceed $500,000 in the aggregate in any fiscal year;</w:t>
      </w:r>
    </w:p>
    <w:p>
      <w:pPr>
        <w:spacing w:after="0" w:line="53" w:lineRule="exact"/>
        <w:rPr>
          <w:rFonts w:ascii="Times New Roman" w:cs="Times New Roman" w:eastAsia="Times New Roman" w:hAnsi="Times New Roman"/>
          <w:sz w:val="18"/>
          <w:szCs w:val="18"/>
          <w:b w:val="1"/>
          <w:bCs w:val="1"/>
          <w:color w:val="auto"/>
        </w:rPr>
      </w:pPr>
    </w:p>
    <w:p>
      <w:pPr>
        <w:ind w:left="4" w:hanging="4"/>
        <w:spacing w:after="0" w:line="266" w:lineRule="auto"/>
        <w:tabs>
          <w:tab w:leader="none" w:pos="229"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not to exceed $250,000 outstanding in the aggregate at any time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 agreements approved by Borrower’s Board of Directors;</w:t>
      </w:r>
    </w:p>
    <w:p>
      <w:pPr>
        <w:spacing w:after="0" w:line="6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consisting of the creation of a New Subsidiary for the purpose of consummating an acquisition permitted under this Agreement;</w:t>
      </w:r>
    </w:p>
    <w:p>
      <w:pPr>
        <w:spacing w:after="0" w:line="117" w:lineRule="exact"/>
        <w:rPr>
          <w:rFonts w:ascii="Times New Roman" w:cs="Times New Roman" w:eastAsia="Times New Roman" w:hAnsi="Times New Roman"/>
          <w:sz w:val="18"/>
          <w:szCs w:val="18"/>
          <w:b w:val="1"/>
          <w:bCs w:val="1"/>
          <w:color w:val="auto"/>
        </w:rPr>
      </w:pPr>
    </w:p>
    <w:p>
      <w:pPr>
        <w:ind w:left="4" w:right="40" w:hanging="4"/>
        <w:spacing w:after="0" w:line="282" w:lineRule="auto"/>
        <w:tabs>
          <w:tab w:leader="none" w:pos="269" w:val="left"/>
        </w:tabs>
        <w:numPr>
          <w:ilvl w:val="0"/>
          <w:numId w:val="4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69" w:right="479" w:bottom="1440" w:gutter="0" w:footer="0" w:header="0"/>
        </w:sectPr>
      </w:pPr>
    </w:p>
    <w:bookmarkStart w:id="540" w:name="page541"/>
    <w:bookmarkEnd w:id="540"/>
    <w:p>
      <w:pPr>
        <w:ind w:left="4" w:right="220" w:hanging="4"/>
        <w:spacing w:after="0" w:line="282" w:lineRule="auto"/>
        <w:tabs>
          <w:tab w:leader="none" w:pos="219" w:val="left"/>
        </w:tabs>
        <w:numPr>
          <w:ilvl w:val="0"/>
          <w:numId w:val="4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Investments consisting of notes receivable of, or prepaid royalties and other credit extensions, to customers and suppliers who are not Affiliates, in the ordinary course of business, provided that this subparagraph (g) shall not apply to Investments of Borrower in any Subsidiary;</w:t>
      </w:r>
    </w:p>
    <w:p>
      <w:pPr>
        <w:spacing w:after="0" w:line="53" w:lineRule="exact"/>
        <w:rPr>
          <w:rFonts w:ascii="Times New Roman" w:cs="Times New Roman" w:eastAsia="Times New Roman" w:hAnsi="Times New Roman"/>
          <w:sz w:val="18"/>
          <w:szCs w:val="18"/>
          <w:b w:val="1"/>
          <w:bCs w:val="1"/>
          <w:color w:val="auto"/>
        </w:rPr>
      </w:pPr>
    </w:p>
    <w:p>
      <w:pPr>
        <w:jc w:val="both"/>
        <w:ind w:left="4" w:right="560" w:hanging="4"/>
        <w:spacing w:after="0" w:line="266" w:lineRule="auto"/>
        <w:tabs>
          <w:tab w:leader="none" w:pos="229" w:val="left"/>
        </w:tabs>
        <w:numPr>
          <w:ilvl w:val="0"/>
          <w:numId w:val="4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$250,000 in the aggregate in any fiscal year; and</w:t>
      </w:r>
    </w:p>
    <w:p>
      <w:pPr>
        <w:spacing w:after="0" w:line="6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permitted under Section 7.3.</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“Permitted Liens” means the following:</w:t>
      </w:r>
    </w:p>
    <w:p>
      <w:pPr>
        <w:spacing w:after="0" w:line="117" w:lineRule="exact"/>
        <w:rPr>
          <w:sz w:val="20"/>
          <w:szCs w:val="20"/>
          <w:color w:val="auto"/>
        </w:rPr>
      </w:pPr>
    </w:p>
    <w:p>
      <w:pPr>
        <w:ind w:left="4" w:right="60" w:hanging="4"/>
        <w:spacing w:after="0" w:line="282" w:lineRule="auto"/>
        <w:tabs>
          <w:tab w:leader="none" w:pos="259"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Liens existing on the Closing Date and disclosed in the Schedule (excluding Liens to be satisfied with the proceeds of the Credit Extensions) or arising under this Agreement, the other Loan Documents, or any other agreement in favor of Bank;</w:t>
      </w:r>
    </w:p>
    <w:p>
      <w:pPr>
        <w:spacing w:after="0" w:line="53" w:lineRule="exact"/>
        <w:rPr>
          <w:rFonts w:ascii="Times New Roman" w:cs="Times New Roman" w:eastAsia="Times New Roman" w:hAnsi="Times New Roman"/>
          <w:sz w:val="18"/>
          <w:szCs w:val="18"/>
          <w:b w:val="1"/>
          <w:bCs w:val="1"/>
          <w:color w:val="auto"/>
        </w:rPr>
      </w:pPr>
    </w:p>
    <w:p>
      <w:pPr>
        <w:ind w:left="4" w:right="440" w:hanging="4"/>
        <w:spacing w:after="0" w:line="282" w:lineRule="auto"/>
        <w:tabs>
          <w:tab w:leader="none" w:pos="269"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for taxes, fees, assessments or other governmental charges or levies, either not delinquent or being contested in good faith by appropriate proceedings and for which Borrower maintains adequate reserves;</w:t>
      </w:r>
    </w:p>
    <w:p>
      <w:pPr>
        <w:spacing w:after="0" w:line="53" w:lineRule="exact"/>
        <w:rPr>
          <w:rFonts w:ascii="Times New Roman" w:cs="Times New Roman" w:eastAsia="Times New Roman" w:hAnsi="Times New Roman"/>
          <w:sz w:val="18"/>
          <w:szCs w:val="18"/>
          <w:b w:val="1"/>
          <w:bCs w:val="1"/>
          <w:color w:val="auto"/>
        </w:rPr>
      </w:pPr>
    </w:p>
    <w:p>
      <w:pPr>
        <w:ind w:left="4" w:right="180" w:hanging="4"/>
        <w:spacing w:after="0" w:line="261" w:lineRule="auto"/>
        <w:tabs>
          <w:tab w:leader="none" w:pos="249"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not to exceed $2,500,000 in the aggregate at any time (i) upon or in any Equipment (other than Equipment financed by a Credit Extension) acquired or held by Borrower or any of its Subsidiaries to secure the purchase price of such Equipment or indebtedness incurred solely for the purpose of financing the acquisition or lease of such Equipment, or (ii) existing on such Equipment at the time of its acquisition, in each case provided that the Lien is confined solely to the property so acquired and improvements thereon, and the proceeds of such Equipment;</w:t>
      </w:r>
    </w:p>
    <w:p>
      <w:pPr>
        <w:spacing w:after="0" w:line="67" w:lineRule="exact"/>
        <w:rPr>
          <w:rFonts w:ascii="Times New Roman" w:cs="Times New Roman" w:eastAsia="Times New Roman" w:hAnsi="Times New Roman"/>
          <w:sz w:val="18"/>
          <w:szCs w:val="18"/>
          <w:b w:val="1"/>
          <w:bCs w:val="1"/>
          <w:color w:val="auto"/>
        </w:rPr>
      </w:pPr>
    </w:p>
    <w:p>
      <w:pPr>
        <w:ind w:left="4" w:right="40" w:hanging="4"/>
        <w:spacing w:after="0" w:line="262" w:lineRule="auto"/>
        <w:tabs>
          <w:tab w:leader="none" w:pos="269"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Liens incurred in connection with the extension, renewal or refinancing of the indebtedness secured by Liens of the type described in clauses </w:t>
      </w:r>
      <w:r>
        <w:rPr>
          <w:rFonts w:ascii="Times New Roman" w:cs="Times New Roman" w:eastAsia="Times New Roman" w:hAnsi="Times New Roman"/>
          <w:sz w:val="18"/>
          <w:szCs w:val="18"/>
          <w:b w:val="1"/>
          <w:bCs w:val="1"/>
          <w:color w:val="auto"/>
        </w:rPr>
        <w:t>Error!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Reference source not found. </w:t>
      </w:r>
      <w:r>
        <w:rPr>
          <w:rFonts w:ascii="Times New Roman" w:cs="Times New Roman" w:eastAsia="Times New Roman" w:hAnsi="Times New Roman"/>
          <w:sz w:val="18"/>
          <w:szCs w:val="18"/>
          <w:color w:val="auto"/>
        </w:rPr>
        <w:t>through</w:t>
      </w:r>
      <w:r>
        <w:rPr>
          <w:rFonts w:ascii="Times New Roman" w:cs="Times New Roman" w:eastAsia="Times New Roman" w:hAnsi="Times New Roman"/>
          <w:sz w:val="18"/>
          <w:szCs w:val="18"/>
          <w:b w:val="1"/>
          <w:bCs w:val="1"/>
          <w:color w:val="auto"/>
        </w:rPr>
        <w:t xml:space="preserve"> Error! Reference source not found. </w:t>
      </w:r>
      <w:r>
        <w:rPr>
          <w:rFonts w:ascii="Times New Roman" w:cs="Times New Roman" w:eastAsia="Times New Roman" w:hAnsi="Times New Roman"/>
          <w:sz w:val="18"/>
          <w:szCs w:val="18"/>
          <w:color w:val="auto"/>
        </w:rPr>
        <w:t>above, provided that any extension, renewal or replacement Lien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the property encumbered by the existing Lien and the principal amount of the indebtedness being extended, renewed or refinanced does not increase;</w:t>
      </w:r>
    </w:p>
    <w:p>
      <w:pPr>
        <w:spacing w:after="0" w:line="72" w:lineRule="exact"/>
        <w:rPr>
          <w:rFonts w:ascii="Times New Roman" w:cs="Times New Roman" w:eastAsia="Times New Roman" w:hAnsi="Times New Roman"/>
          <w:sz w:val="18"/>
          <w:szCs w:val="18"/>
          <w:b w:val="1"/>
          <w:bCs w:val="1"/>
          <w:color w:val="auto"/>
        </w:rPr>
      </w:pPr>
    </w:p>
    <w:p>
      <w:pPr>
        <w:ind w:left="4" w:hanging="4"/>
        <w:spacing w:after="0" w:line="261" w:lineRule="auto"/>
        <w:tabs>
          <w:tab w:leader="none" w:pos="249"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71" w:lineRule="exact"/>
        <w:rPr>
          <w:rFonts w:ascii="Times New Roman" w:cs="Times New Roman" w:eastAsia="Times New Roman" w:hAnsi="Times New Roman"/>
          <w:sz w:val="18"/>
          <w:szCs w:val="18"/>
          <w:b w:val="1"/>
          <w:bCs w:val="1"/>
          <w:color w:val="auto"/>
        </w:rPr>
      </w:pPr>
    </w:p>
    <w:p>
      <w:pPr>
        <w:ind w:left="4" w:right="240" w:hanging="4"/>
        <w:spacing w:after="0" w:line="282" w:lineRule="auto"/>
        <w:tabs>
          <w:tab w:leader="none" w:pos="229"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53" w:lineRule="exact"/>
        <w:rPr>
          <w:rFonts w:ascii="Times New Roman" w:cs="Times New Roman" w:eastAsia="Times New Roman" w:hAnsi="Times New Roman"/>
          <w:sz w:val="18"/>
          <w:szCs w:val="18"/>
          <w:b w:val="1"/>
          <w:bCs w:val="1"/>
          <w:color w:val="auto"/>
        </w:rPr>
      </w:pPr>
    </w:p>
    <w:p>
      <w:pPr>
        <w:ind w:left="4" w:right="220" w:hanging="4"/>
        <w:spacing w:after="0" w:line="282" w:lineRule="auto"/>
        <w:tabs>
          <w:tab w:leader="none" w:pos="259"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arising from judgments, decrees or attachments in circumstances not constituting an Event of Default under Sections 8.4 (attachment) or 8.8 (judgments);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69" w:right="459" w:bottom="1440" w:gutter="0" w:footer="0" w:header="0"/>
        </w:sectPr>
      </w:pPr>
    </w:p>
    <w:bookmarkStart w:id="541" w:name="page542"/>
    <w:bookmarkEnd w:id="541"/>
    <w:p>
      <w:pPr>
        <w:jc w:val="both"/>
        <w:ind w:left="4" w:hanging="4"/>
        <w:spacing w:after="0" w:line="261" w:lineRule="auto"/>
        <w:tabs>
          <w:tab w:leader="none" w:pos="269"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71" w:lineRule="exact"/>
        <w:rPr>
          <w:rFonts w:ascii="Times New Roman" w:cs="Times New Roman" w:eastAsia="Times New Roman" w:hAnsi="Times New Roman"/>
          <w:sz w:val="18"/>
          <w:szCs w:val="18"/>
          <w:b w:val="1"/>
          <w:bCs w:val="1"/>
          <w:color w:val="auto"/>
        </w:rPr>
      </w:pPr>
    </w:p>
    <w:p>
      <w:pPr>
        <w:ind w:left="4" w:right="200" w:hanging="4"/>
        <w:spacing w:after="0" w:line="266" w:lineRule="auto"/>
        <w:tabs>
          <w:tab w:leader="none" w:pos="219"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non-exclusive licenses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discreet geographical areas outside of the United States;</w:t>
      </w:r>
    </w:p>
    <w:p>
      <w:pPr>
        <w:spacing w:after="0" w:line="67" w:lineRule="exact"/>
        <w:rPr>
          <w:rFonts w:ascii="Times New Roman" w:cs="Times New Roman" w:eastAsia="Times New Roman" w:hAnsi="Times New Roman"/>
          <w:sz w:val="18"/>
          <w:szCs w:val="18"/>
          <w:b w:val="1"/>
          <w:bCs w:val="1"/>
          <w:color w:val="auto"/>
        </w:rPr>
      </w:pPr>
    </w:p>
    <w:p>
      <w:pPr>
        <w:ind w:left="4" w:right="240" w:hanging="4"/>
        <w:spacing w:after="0" w:line="282" w:lineRule="auto"/>
        <w:tabs>
          <w:tab w:leader="none" w:pos="229"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in favor of other financial institutions arising in connection with Borrower’s or a Subsidiary’s deposit and/or securities accounts held at such institutions, provided that such deposit and/or security accounts are permitted to be maintained under Section 6.6;</w:t>
      </w:r>
    </w:p>
    <w:p>
      <w:pPr>
        <w:spacing w:after="0" w:line="53"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Until January 27, 2023, Liens securing Indebtedness permitted under clause (f) of the definition of “Permitted Indebtedness”;</w:t>
      </w:r>
    </w:p>
    <w:p>
      <w:pPr>
        <w:spacing w:after="0" w:line="117" w:lineRule="exact"/>
        <w:rPr>
          <w:rFonts w:ascii="Times New Roman" w:cs="Times New Roman" w:eastAsia="Times New Roman" w:hAnsi="Times New Roman"/>
          <w:sz w:val="18"/>
          <w:szCs w:val="18"/>
          <w:b w:val="1"/>
          <w:bCs w:val="1"/>
          <w:color w:val="auto"/>
        </w:rPr>
      </w:pPr>
    </w:p>
    <w:p>
      <w:pPr>
        <w:ind w:left="224" w:hanging="224"/>
        <w:spacing w:after="0"/>
        <w:tabs>
          <w:tab w:leader="none" w:pos="224" w:val="left"/>
        </w:tabs>
        <w:numPr>
          <w:ilvl w:val="0"/>
          <w:numId w:val="4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deposits securing lease obligations;</w:t>
      </w:r>
    </w:p>
    <w:p>
      <w:pPr>
        <w:spacing w:after="0" w:line="117" w:lineRule="exact"/>
        <w:rPr>
          <w:sz w:val="20"/>
          <w:szCs w:val="20"/>
          <w:color w:val="auto"/>
        </w:rPr>
      </w:pPr>
    </w:p>
    <w:p>
      <w:pPr>
        <w:ind w:left="4" w:right="1360" w:hanging="4"/>
        <w:spacing w:after="0" w:line="373" w:lineRule="auto"/>
        <w:tabs>
          <w:tab w:leader="none" w:pos="229" w:val="left"/>
        </w:tabs>
        <w:numPr>
          <w:ilvl w:val="0"/>
          <w:numId w:val="4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securing Subordinated Debt, provided that such Liens do not encumber assets beyond those assets comprising the Collateral. “Permitted Transfer” means the conveyance, sale, lease, transfer or disposition by Borrower or any Subsidiary of:</w:t>
      </w:r>
    </w:p>
    <w:p>
      <w:pPr>
        <w:spacing w:after="0" w:line="5" w:lineRule="exact"/>
        <w:rPr>
          <w:sz w:val="20"/>
          <w:szCs w:val="20"/>
          <w:color w:val="auto"/>
        </w:rPr>
      </w:pPr>
    </w:p>
    <w:p>
      <w:pPr>
        <w:ind w:left="264" w:hanging="264"/>
        <w:spacing w:after="0"/>
        <w:tabs>
          <w:tab w:leader="none" w:pos="264"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in the ordinary course of business;</w:t>
      </w:r>
    </w:p>
    <w:p>
      <w:pPr>
        <w:spacing w:after="0" w:line="11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Transfers constituting Permitted Liens under clause (i) of the definition thereof;</w:t>
      </w:r>
    </w:p>
    <w:p>
      <w:pPr>
        <w:spacing w:after="0" w:line="117"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licenses and similar arrangements for the use of the property of Borrower or its Subsidiaries in the ordinary course of business;</w:t>
      </w:r>
    </w:p>
    <w:p>
      <w:pPr>
        <w:spacing w:after="0" w:line="117"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worn-out, surplus or obsolete Equipment not financed with the proceeds of Credit Extensions;</w:t>
      </w:r>
    </w:p>
    <w:p>
      <w:pPr>
        <w:spacing w:after="0" w:line="117" w:lineRule="exact"/>
        <w:rPr>
          <w:rFonts w:ascii="Times New Roman" w:cs="Times New Roman" w:eastAsia="Times New Roman" w:hAnsi="Times New Roman"/>
          <w:sz w:val="18"/>
          <w:szCs w:val="18"/>
          <w:b w:val="1"/>
          <w:bCs w:val="1"/>
          <w:color w:val="auto"/>
        </w:rPr>
      </w:pPr>
    </w:p>
    <w:p>
      <w:pPr>
        <w:ind w:left="244" w:hanging="244"/>
        <w:spacing w:after="0"/>
        <w:tabs>
          <w:tab w:leader="none" w:pos="244"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grants of security interests and other Liens that constitute Permitted Liens; and</w:t>
      </w:r>
    </w:p>
    <w:p>
      <w:pPr>
        <w:spacing w:after="0" w:line="117" w:lineRule="exact"/>
        <w:rPr>
          <w:rFonts w:ascii="Times New Roman" w:cs="Times New Roman" w:eastAsia="Times New Roman" w:hAnsi="Times New Roman"/>
          <w:sz w:val="18"/>
          <w:szCs w:val="18"/>
          <w:b w:val="1"/>
          <w:bCs w:val="1"/>
          <w:color w:val="auto"/>
        </w:rPr>
      </w:pPr>
    </w:p>
    <w:p>
      <w:pPr>
        <w:ind w:left="224" w:hanging="224"/>
        <w:spacing w:after="0"/>
        <w:tabs>
          <w:tab w:leader="none" w:pos="224" w:val="left"/>
        </w:tabs>
        <w:numPr>
          <w:ilvl w:val="0"/>
          <w:numId w:val="4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assets of Borrower or its Subsidiaries that do not in the aggregate exceed $250,000 during any fiscal year.</w:t>
      </w:r>
    </w:p>
    <w:p>
      <w:pPr>
        <w:spacing w:after="0" w:line="225"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“Person” means any individual, sole proprietorship, partnership, limited liability company, joint venture, trust, unincorporated organization, association, corporation, institution, public benefit corporation, firm, joint stock company, estate, entity or governmental agency.</w:t>
      </w:r>
    </w:p>
    <w:p>
      <w:pPr>
        <w:spacing w:after="0" w:line="162"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“Prime Rate” means the variable rate of interest, per annum, most recently announced by Bank, as its “prime rate,” whether or not such announced rate is the lowest rate available from Bank.</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69" w:right="459" w:bottom="1440" w:gutter="0" w:footer="0" w:header="0"/>
        </w:sectPr>
      </w:pPr>
    </w:p>
    <w:bookmarkStart w:id="542" w:name="page543"/>
    <w:bookmarkEnd w:id="542"/>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“Responsible Officer” means each of the Chief Executive Officer, the Chief Operating Officer, the Chief Financial Officer, Treasurer, Vice President of Finance and the Controller of Borrower, as well as any other officer or employee identified as an Authorized Officer in the corporate resolution delivered by Borrower to Bank in connection with this Agreement.</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“Revolving Line” means a Credit Extension of up to Fifty Million Dollars ($50,000,000) (inclusive of any amounts reserved under the Ancillary Services Sublimit.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Maturity Date” means June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means the schedule of exceptions attached hereto and approved by Bank, if any.</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“Shares” means (i) sixty-five percent (65%) of the issued and outstanding capital stock, membership units or other securities owned or held of record by Borrower in any Subsidiary of Borrower which is not an entity organized under the laws of the United States or territory thereof, and (ii) one hundred percent (100%) of the issued and outstanding capital stock, membership units or other securities owned or held of record by Borrower in any Subsidiary of Borrower which is an entity organized under the laws of the United States or any territory thereof.</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“SOS Reports” means the official reports from the Secretaries of State of the state where Borrower’s chief executive office is located, the state of Borrower’s formation and other applicable federal, state or local government offices identifying all current security interests filed in the Collateral and Liens of record as of the date of such report.</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“Subordinated Debt” means any debt incurred by Borrower that is subordinated in writing to the debt owing by Borrower to Bank on terms reasonably acceptable to Bank (and identified as being such by Borrower and Bank).</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“Subsidiary” means any corporation, partnership or limited liability company or joint venture in which (i) any general partnership interest or (ii) more than 50% of the stock, limited liability company interest or joint venture of which by the terms thereof ordinary voting power to elect the Board of Directors, managers or trustees of the entity, at the time as of which any determination is being made, is owned by Borrower, either directly or through an Affiliate.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“Success Fee Event” means (a) any sale, license, or other disposition of all or substantially all of the assets (including Intellectual Property) of Borrower and its Subsidiaries, taken as a whole, (b) any reorganization, consolidation, merger or sale of the voting securities of Borrower or any other similar transaction where the holders of Borrower’s securities before the transaction beneficially own less than 50% of the outstanding voting securities of the surviving entity after the transaction, or (c) the sale or issuance of Borrower’s or an Affiliate’s equity securities in connection with an initial public offering, an alternative public offering, a reverse merger, or any similar transaction in which Borrower or any of its Affiliates receive cash proceeds from such sale or issuance and Borrower or such Affiliate’s equity securities may thereafter be traded in a public market. For the avoidance of doubt, Success Fee Event shall exclude any private capital raise, other than as listed in cluse (b), above, that does not result in Borrower’s or any of its Affiliate’s equity securities being traded in a public market.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9" w:right="459" w:bottom="1440" w:gutter="0" w:footer="0" w:header="0"/>
        </w:sectPr>
      </w:pPr>
    </w:p>
    <w:bookmarkStart w:id="543" w:name="page544"/>
    <w:bookmarkEnd w:id="54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“Trademarks”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640"/>
          </w:cols>
          <w:pgMar w:left="440" w:top="269" w:right="819" w:bottom="1440" w:gutter="0" w:footer="0" w:header="0"/>
        </w:sectPr>
      </w:pPr>
    </w:p>
    <w:bookmarkStart w:id="544" w:name="page545"/>
    <w:bookmarkEnd w:id="54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DEBTOR          MAZE THERAPEUTICS, INC.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SECURED PARTY: PACIFIC WESTERN BANK</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COLLATERAL DESCRIPTION ATTACHMENT</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TO LOAN AND SECURITY AGREEMENT</w:t>
      </w:r>
    </w:p>
    <w:p>
      <w:pPr>
        <w:spacing w:after="0" w:line="207" w:lineRule="exact"/>
        <w:rPr>
          <w:sz w:val="20"/>
          <w:szCs w:val="20"/>
          <w:color w:val="auto"/>
        </w:rPr>
      </w:pPr>
    </w:p>
    <w:p>
      <w:pPr>
        <w:ind w:left="4" w:right="500"/>
        <w:spacing w:after="0" w:line="282" w:lineRule="auto"/>
        <w:rPr>
          <w:sz w:val="20"/>
          <w:szCs w:val="20"/>
          <w:color w:val="auto"/>
        </w:rPr>
      </w:pPr>
      <w:r>
        <w:rPr>
          <w:rFonts w:ascii="Times New Roman" w:cs="Times New Roman" w:eastAsia="Times New Roman" w:hAnsi="Times New Roman"/>
          <w:sz w:val="18"/>
          <w:szCs w:val="18"/>
          <w:color w:val="auto"/>
        </w:rPr>
        <w:t>All personal property of Borrower (herein referred to as “Borrower” or “Debtor”) whether presently existing or hereafter created or acquired, and wherever located, including, but not limited to:</w:t>
      </w:r>
    </w:p>
    <w:p>
      <w:pPr>
        <w:spacing w:after="0" w:line="54" w:lineRule="exact"/>
        <w:rPr>
          <w:sz w:val="20"/>
          <w:szCs w:val="20"/>
          <w:color w:val="auto"/>
        </w:rPr>
      </w:pPr>
    </w:p>
    <w:p>
      <w:pPr>
        <w:ind w:left="4" w:right="20" w:hanging="4"/>
        <w:spacing w:after="0" w:line="256" w:lineRule="auto"/>
        <w:tabs>
          <w:tab w:leader="none" w:pos="259" w:val="left"/>
        </w:tabs>
        <w:numPr>
          <w:ilvl w:val="0"/>
          <w:numId w:val="4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accounts (including health-care-insurance receivables), chattel paper (including tangible and electronic chattel paper), deposit accounts, documents (including negotiable documents), equipment (including all accessions and additions thereto), financial assets, general intangibles (including patents, trademarks, copyrights, goodwill, payment intangibles, domain names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79" w:lineRule="exact"/>
        <w:rPr>
          <w:rFonts w:ascii="Times New Roman" w:cs="Times New Roman" w:eastAsia="Times New Roman" w:hAnsi="Times New Roman"/>
          <w:sz w:val="18"/>
          <w:szCs w:val="18"/>
          <w:b w:val="1"/>
          <w:bCs w:val="1"/>
          <w:color w:val="auto"/>
        </w:rPr>
      </w:pPr>
    </w:p>
    <w:p>
      <w:pPr>
        <w:ind w:left="4" w:right="20" w:hanging="4"/>
        <w:spacing w:after="0" w:line="289" w:lineRule="auto"/>
        <w:tabs>
          <w:tab w:leader="none" w:pos="269" w:val="left"/>
        </w:tabs>
        <w:numPr>
          <w:ilvl w:val="0"/>
          <w:numId w:val="4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New York Uniform Commercial Code, as amended or supplemented from time to time, including revised Article 9 of the Uniform Commercial Code-Secured Transactions.</w:t>
      </w:r>
    </w:p>
    <w:p>
      <w:pPr>
        <w:spacing w:after="0" w:line="158" w:lineRule="exact"/>
        <w:rPr>
          <w:sz w:val="20"/>
          <w:szCs w:val="20"/>
          <w:color w:val="auto"/>
        </w:rPr>
      </w:pPr>
    </w:p>
    <w:p>
      <w:pPr>
        <w:ind w:left="4" w:right="100" w:firstLine="440"/>
        <w:spacing w:after="0" w:line="281" w:lineRule="auto"/>
        <w:rPr>
          <w:sz w:val="20"/>
          <w:szCs w:val="20"/>
          <w:color w:val="auto"/>
        </w:rPr>
      </w:pPr>
      <w:r>
        <w:rPr>
          <w:rFonts w:ascii="Times New Roman" w:cs="Times New Roman" w:eastAsia="Times New Roman" w:hAnsi="Times New Roman"/>
          <w:sz w:val="17"/>
          <w:szCs w:val="17"/>
          <w:color w:val="auto"/>
        </w:rPr>
        <w:t>Notwithstanding the foregoing, the Collateral shall not include any of the intellectual property, in any medium, of any kind or nature whatsoever, now or hereafter owned or acquired or received by Borrower, or in which Borrower now holds or hereafter acquires or receives any right or interest (collectively, the “Intellectual Property”); provided, however, that the Collateral shall include all accounts and general intangibles that consist of rights to payment and proceeds from the sale, licensing or disposition of all or any part, or rights in, the foregoing (the “Rights to Payment”).</w:t>
      </w:r>
    </w:p>
    <w:p>
      <w:pPr>
        <w:spacing w:after="0" w:line="164"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June 27, 2022, include the Intellectual Property to the extent and only to the extent necessary to permit perfection of Bank’s security interest in the Rights to Payment, and further provided, however, that Bank’s enforcement rights with respect to any security interest in the Intellectual Property shall be absolutely limited to the Rights to Payment only, and Bank shall have no recourse whatsoever with respect to the underlying Intellectual Property.</w:t>
      </w:r>
    </w:p>
    <w:p>
      <w:pPr>
        <w:sectPr>
          <w:pgSz w:w="11900" w:h="16838" w:orient="portrait"/>
          <w:cols w:equalWidth="0" w:num="1">
            <w:col w:w="10964"/>
          </w:cols>
          <w:pgMar w:left="436" w:top="265" w:right="499" w:bottom="1440" w:gutter="0" w:footer="0" w:header="0"/>
        </w:sectPr>
      </w:pPr>
    </w:p>
    <w:bookmarkStart w:id="545" w:name="page546"/>
    <w:bookmarkEnd w:id="5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LOAN ADVANCE/PAYDOWN REQUEST FORM</w:t>
      </w:r>
    </w:p>
    <w:p>
      <w:pPr>
        <w:sectPr>
          <w:pgSz w:w="11900" w:h="16838" w:orient="portrait"/>
          <w:cols w:equalWidth="0" w:num="1">
            <w:col w:w="9019"/>
          </w:cols>
          <w:pgMar w:left="1440" w:top="265" w:right="1440" w:bottom="1440" w:gutter="0" w:footer="0" w:header="0"/>
        </w:sectPr>
      </w:pPr>
    </w:p>
    <w:bookmarkStart w:id="546" w:name="page547"/>
    <w:bookmarkEnd w:id="5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ectPr>
          <w:pgSz w:w="11900" w:h="16838" w:orient="portrait"/>
          <w:cols w:equalWidth="0" w:num="1">
            <w:col w:w="9019"/>
          </w:cols>
          <w:pgMar w:left="1440" w:top="265" w:right="1440" w:bottom="1440" w:gutter="0" w:footer="0" w:header="0"/>
        </w:sectPr>
      </w:pPr>
    </w:p>
    <w:bookmarkStart w:id="547" w:name="page548"/>
    <w:bookmarkEnd w:id="5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AMENDMENT AND WAIVER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0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This First Amendment and Waiver to Loan and Security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is entered into as of March 25, 2024 (the “</w:t>
      </w:r>
      <w:r>
        <w:rPr>
          <w:rFonts w:ascii="Times New Roman" w:cs="Times New Roman" w:eastAsia="Times New Roman" w:hAnsi="Times New Roman"/>
          <w:sz w:val="18"/>
          <w:szCs w:val="18"/>
          <w:b w:val="1"/>
          <w:bCs w:val="1"/>
          <w:i w:val="1"/>
          <w:iCs w:val="1"/>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 by and between BANC OF CALIFORNIA (formerly known as Pacific Western Bank), a California state-chartered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w:t>
      </w:r>
      <w:r>
        <w:rPr>
          <w:rFonts w:ascii="Times New Roman" w:cs="Times New Roman" w:eastAsia="Times New Roman" w:hAnsi="Times New Roman"/>
          <w:sz w:val="18"/>
          <w:szCs w:val="18"/>
          <w:color w:val="auto"/>
        </w:rPr>
        <w:t>”), and MAZE THERAPEUTICS, INC., a Delaware corporation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 Borrower and Bank are parties to that certain Loan and Security Agreement dated as of June 27, 2022 (as amended, restated, supplemented, or otherwise modified from time to time, collectively,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Borrower and Bank wish to amend certain provisions of the Agreement in accordance with the terms of this Amendment.</w:t>
      </w:r>
    </w:p>
    <w:p>
      <w:pPr>
        <w:spacing w:after="0" w:line="11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C. Borrower acknowledges it is currently in default under Section 6.6 of the Agreement for failing to maintain the banking account requirements with respect to the accounts at JPMorgan Chase &amp; Co. through the date hereof (collectively, the “</w:t>
      </w:r>
      <w:r>
        <w:rPr>
          <w:rFonts w:ascii="Times New Roman" w:cs="Times New Roman" w:eastAsia="Times New Roman" w:hAnsi="Times New Roman"/>
          <w:sz w:val="18"/>
          <w:szCs w:val="18"/>
          <w:b w:val="1"/>
          <w:bCs w:val="1"/>
          <w:i w:val="1"/>
          <w:iCs w:val="1"/>
          <w:color w:val="auto"/>
        </w:rPr>
        <w:t>Waived Default</w:t>
      </w:r>
      <w:r>
        <w:rPr>
          <w:rFonts w:ascii="Times New Roman" w:cs="Times New Roman" w:eastAsia="Times New Roman" w:hAnsi="Times New Roman"/>
          <w:sz w:val="18"/>
          <w:szCs w:val="18"/>
          <w:color w:val="auto"/>
        </w:rPr>
        <w:t>”). Borrower has requested that Bank waive its rights and remedies against Borrower, limited specifically to the Waived Default. Although Bank is under no obligation to do so, Bank is willing to not exercise its rights and remedies against Borrower related to the specific Waived Default on the terms and conditions set forth in this Amendment.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113" w:lineRule="exact"/>
        <w:rPr>
          <w:sz w:val="20"/>
          <w:szCs w:val="20"/>
          <w:color w:val="auto"/>
        </w:rPr>
      </w:pPr>
    </w:p>
    <w:p>
      <w:pPr>
        <w:ind w:left="700" w:hanging="264"/>
        <w:spacing w:after="0"/>
        <w:tabs>
          <w:tab w:leader="none" w:pos="700" w:val="left"/>
        </w:tabs>
        <w:numPr>
          <w:ilvl w:val="0"/>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Incorporation</w:t>
      </w:r>
      <w:r>
        <w:rPr>
          <w:rFonts w:ascii="Times New Roman" w:cs="Times New Roman" w:eastAsia="Times New Roman" w:hAnsi="Times New Roman"/>
          <w:sz w:val="18"/>
          <w:szCs w:val="18"/>
          <w:color w:val="auto"/>
        </w:rPr>
        <w:t>. The foregoing preamble and recitals are incorporated herein by this reference.</w:t>
      </w:r>
    </w:p>
    <w:p>
      <w:pPr>
        <w:spacing w:after="0" w:line="117" w:lineRule="exact"/>
        <w:rPr>
          <w:rFonts w:ascii="Times New Roman" w:cs="Times New Roman" w:eastAsia="Times New Roman" w:hAnsi="Times New Roman"/>
          <w:sz w:val="18"/>
          <w:szCs w:val="18"/>
          <w:b w:val="1"/>
          <w:bCs w:val="1"/>
          <w:color w:val="auto"/>
        </w:rPr>
      </w:pPr>
    </w:p>
    <w:p>
      <w:pPr>
        <w:ind w:firstLine="436"/>
        <w:spacing w:after="0" w:line="278" w:lineRule="auto"/>
        <w:tabs>
          <w:tab w:leader="none" w:pos="710" w:val="left"/>
        </w:tabs>
        <w:numPr>
          <w:ilvl w:val="0"/>
          <w:numId w:val="4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Default Waiver</w:t>
      </w:r>
      <w:r>
        <w:rPr>
          <w:rFonts w:ascii="Times New Roman" w:cs="Times New Roman" w:eastAsia="Times New Roman" w:hAnsi="Times New Roman"/>
          <w:sz w:val="17"/>
          <w:szCs w:val="17"/>
          <w:color w:val="auto"/>
        </w:rPr>
        <w:t>. Bank waives filing any legal action or instituting or enforcing any rights and remedies it may have against Borrower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 to the Waived Default. Bank’s waiver of Borrower’s compliance with Section 6.6 of the Agreement shall apply only with respect to Borrower’s failure to do so prior to and as of the date hereof. Accordingly, hereinafter, Borrower shall be in compliance with such section. Bank’s agreement to waive the Waived Default (a) in no way shall be deemed an agreement by Bank to waive Borrower’s compliance with the above-referenced section as of all other dates, and (b) shall not limit or impair the Bank’s right to demand strict performance of such section as of all other dates after the date hereof.</w:t>
      </w:r>
    </w:p>
    <w:p>
      <w:pPr>
        <w:spacing w:after="0" w:line="55" w:lineRule="exact"/>
        <w:rPr>
          <w:rFonts w:ascii="Times New Roman" w:cs="Times New Roman" w:eastAsia="Times New Roman" w:hAnsi="Times New Roman"/>
          <w:sz w:val="17"/>
          <w:szCs w:val="17"/>
          <w:b w:val="1"/>
          <w:bCs w:val="1"/>
          <w:color w:val="auto"/>
        </w:rPr>
      </w:pPr>
    </w:p>
    <w:p>
      <w:pPr>
        <w:ind w:left="700" w:hanging="264"/>
        <w:spacing w:after="0"/>
        <w:tabs>
          <w:tab w:leader="none" w:pos="700" w:val="left"/>
        </w:tabs>
        <w:numPr>
          <w:ilvl w:val="0"/>
          <w:numId w:val="4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the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15.1 </w:t>
      </w:r>
      <w:r>
        <w:rPr>
          <w:rFonts w:ascii="Times New Roman" w:cs="Times New Roman" w:eastAsia="Times New Roman" w:hAnsi="Times New Roman"/>
          <w:sz w:val="18"/>
          <w:szCs w:val="18"/>
          <w:color w:val="auto"/>
        </w:rPr>
        <w:t>Pacific Western Bank has changed its name to Banc of California. Bank and Borrower hereby agree that the Agreement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Loan Document are hereby amended wherever necessary to reflect this change.</w:t>
      </w:r>
    </w:p>
    <w:p>
      <w:pPr>
        <w:sectPr>
          <w:pgSz w:w="11900" w:h="16838" w:orient="portrait"/>
          <w:cols w:equalWidth="0" w:num="1">
            <w:col w:w="10980"/>
          </w:cols>
          <w:pgMar w:left="440" w:top="265" w:right="479" w:bottom="1440" w:gutter="0" w:footer="0" w:header="0"/>
        </w:sectPr>
      </w:pPr>
    </w:p>
    <w:bookmarkStart w:id="548" w:name="page549"/>
    <w:bookmarkEnd w:id="548"/>
    <w:p>
      <w:pPr>
        <w:ind w:left="5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15.2 </w:t>
      </w:r>
      <w:r>
        <w:rPr>
          <w:rFonts w:ascii="Times New Roman" w:cs="Times New Roman" w:eastAsia="Times New Roman" w:hAnsi="Times New Roman"/>
          <w:sz w:val="18"/>
          <w:szCs w:val="18"/>
          <w:color w:val="auto"/>
        </w:rPr>
        <w:t>Section 6.2(a) of the Agreement is amended and restated as follows:</w:t>
      </w:r>
    </w:p>
    <w:p>
      <w:pPr>
        <w:spacing w:after="0" w:line="121" w:lineRule="exact"/>
        <w:rPr>
          <w:sz w:val="20"/>
          <w:szCs w:val="20"/>
          <w:color w:val="auto"/>
        </w:rPr>
      </w:pPr>
    </w:p>
    <w:p>
      <w:pPr>
        <w:ind w:left="4" w:hanging="4"/>
        <w:spacing w:after="0" w:line="268" w:lineRule="auto"/>
        <w:tabs>
          <w:tab w:leader="none" w:pos="258" w:val="left"/>
        </w:tabs>
        <w:numPr>
          <w:ilvl w:val="0"/>
          <w:numId w:val="4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shall deliver to Bank: (i) as soon as available, but in any event within 45 days after the end of each calendar quarter (and within 30 days after the last day of any calendar month in which the aggregate Cash in account(s) with Bank is less than $100,000,000), a company prepared consolidated and consolidating balance sheet, income statement, and statement of cash flows covering Borrower’s operations during such period, in a form reasonably acceptable to Bank and certified by a Responsible Officer; (ii) as soon as available, but in any event within 180 days after the end of Borrower’s fiscal year, audited consolidated and consolidating financial statements of Borrower prepared in accordance with GAAP, consistently applied, together with an opinion which is either unqualified or qualified only for “going concern” on such financial statements of an independent certified public accounting firm reasonably acceptable to Bank; (iii) annual budget approved by Borrower’s Board of Directors as soon as available but not later than sixty (60) days after the last day of the preceding year; (iv) if applicable, copies of all statements, reports and notices sent or made available generally by Borrower to its security holders or to any holders of Subordinated Debt and all reports on Forms 10-K and 10-Q filed with the Securities and Exchange Commission; (v) promptly upon receipt of notice thereof, a report of any legal actions pending or threatened against Borrower or any Subsidiary that could reasonably be expected to result in damages or costs to Borrower or any Subsidiary of $250,000 or more; (vi) promptly upon receipt, each management letter prepared by Borrower’s independent certified public accounting firm regarding Borrower’s management control systems; (vii) promptly upon Bank’s written request, monthly bank statements for cash held in accounts outside Bank; and (viii) upon Bank’s reasonable requests from time to time, such budgets, sales projections, operating plans or other information, including informal pre-clinical and clinical updates on any material developments as Borrower may determine in its sole discretion.</w:t>
      </w:r>
    </w:p>
    <w:p>
      <w:pPr>
        <w:spacing w:after="0" w:line="7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15.3 </w:t>
      </w:r>
      <w:r>
        <w:rPr>
          <w:rFonts w:ascii="Times New Roman" w:cs="Times New Roman" w:eastAsia="Times New Roman" w:hAnsi="Times New Roman"/>
          <w:sz w:val="18"/>
          <w:szCs w:val="18"/>
          <w:color w:val="auto"/>
        </w:rPr>
        <w:t>Section 6.6 of the Agreement is amended and restated as follows:</w:t>
      </w:r>
    </w:p>
    <w:p>
      <w:pPr>
        <w:spacing w:after="0" w:line="11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6.6 Primary Depository. </w:t>
      </w:r>
      <w:r>
        <w:rPr>
          <w:rFonts w:ascii="Times New Roman" w:cs="Times New Roman" w:eastAsia="Times New Roman" w:hAnsi="Times New Roman"/>
          <w:sz w:val="18"/>
          <w:szCs w:val="18"/>
          <w:color w:val="auto"/>
        </w:rPr>
        <w:t>Borrower shall maintain at least seventy percent (70%) of its total Cash in a demand deposit account, money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or FDIC-insured cash sweep account with Bank, provided that, any amounts in excess of Seventy-Five Million Dollars ($75,000,000) are permitted to be held at Bank’s Affiliate, Banc of California Asset Management Inc. Prior to Borrower maintaining any investment accounts with Bank’s Affiliates, Borrower, Bank, and any such Affiliate shall have entered into a securities account control agreement with respect to any such investment accounts, in form and substance reasonably satisfactory to Bank. Notwithstanding the foregoing, (1) Bank shall permit Borrower to maintain up to the greater of (A) thirty percent (30%) of its Cash, or (B) Ten Million Five Hundred Thousand Dollars ($10,500,000) in accounts with persons other than Bank, subject to Borrower entering into an account control agreement with respect to any such accounts held by Borrower, in form and substance reasonably satisfactory to Bank, and (2) so long as Borrower maintains at least One Hundred Twenty-Five Million Dollars ($125,000,000) in accounts with Bank or Bank’s Affiliates (for the sake of clarity, Seventy-Five Million Dollars ($75,000,000) of which must be in a demand deposit account, money market account, or FDIC-insured cash sweep account with Bank), Bank shall permit Borrower to maintain any amounts in excess of One Hundred Twenty-Five Million Dollars ($125,000,000) in accounts with persons other than Bank. Notwithstanding anything to the contrary herein, so long as at least One Hundred Twenty- Five Million Dollars ($125,000,000) in Cash are maintained at Bank and Bank’s Affiliates, Borrower shall be permitted to maintain any additional Cash in accounts with persons other than Bank or Bank’s Affiliates that are not subject to an account control agreement.</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64"/>
          </w:cols>
          <w:pgMar w:left="876" w:top="265" w:right="459" w:bottom="1440" w:gutter="0" w:footer="0" w:header="0"/>
        </w:sectPr>
      </w:pPr>
    </w:p>
    <w:bookmarkStart w:id="549" w:name="page550"/>
    <w:bookmarkEnd w:id="549"/>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15.4 </w:t>
      </w:r>
      <w:r>
        <w:rPr>
          <w:rFonts w:ascii="Times New Roman" w:cs="Times New Roman" w:eastAsia="Times New Roman" w:hAnsi="Times New Roman"/>
          <w:sz w:val="18"/>
          <w:szCs w:val="18"/>
          <w:u w:val="single" w:color="auto"/>
          <w:color w:val="auto"/>
        </w:rPr>
        <w:t>Exhibit D (Compliance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is replaced in its entirety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D (Compliance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95" w:lineRule="exact"/>
        <w:rPr>
          <w:sz w:val="20"/>
          <w:szCs w:val="20"/>
          <w:color w:val="auto"/>
        </w:rPr>
      </w:pPr>
    </w:p>
    <w:p>
      <w:pPr>
        <w:ind w:right="80" w:firstLine="436"/>
        <w:spacing w:after="0" w:line="259" w:lineRule="auto"/>
        <w:tabs>
          <w:tab w:leader="none" w:pos="710" w:val="left"/>
        </w:tabs>
        <w:numPr>
          <w:ilvl w:val="0"/>
          <w:numId w:val="4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Unless otherwise defined, all initially capitalized terms in this Amendment shall be as defined in the Agreement. The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shall be and remain in full force and effect in accordance with its terms.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 and the security interest as granted as of the Closing Date continues without novation.</w:t>
      </w:r>
    </w:p>
    <w:p>
      <w:pPr>
        <w:spacing w:after="0" w:line="71" w:lineRule="exact"/>
        <w:rPr>
          <w:rFonts w:ascii="Times New Roman" w:cs="Times New Roman" w:eastAsia="Times New Roman" w:hAnsi="Times New Roman"/>
          <w:sz w:val="18"/>
          <w:szCs w:val="18"/>
          <w:b w:val="1"/>
          <w:bCs w:val="1"/>
          <w:color w:val="auto"/>
        </w:rPr>
      </w:pPr>
    </w:p>
    <w:p>
      <w:pPr>
        <w:ind w:right="60" w:firstLine="436"/>
        <w:spacing w:after="0" w:line="257" w:lineRule="auto"/>
        <w:tabs>
          <w:tab w:leader="none" w:pos="710" w:val="left"/>
        </w:tabs>
        <w:numPr>
          <w:ilvl w:val="0"/>
          <w:numId w:val="4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r>
        <w:rPr>
          <w:rFonts w:ascii="Times New Roman" w:cs="Times New Roman" w:eastAsia="Times New Roman" w:hAnsi="Times New Roman"/>
          <w:sz w:val="18"/>
          <w:szCs w:val="18"/>
          <w:color w:val="auto"/>
        </w:rPr>
        <w:t>. Borrower represents and warrants that the representations and warranties contained in the Agreement are true and correct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material respects as of the First Amendment Effective Date (provided, that those representations and warranties expressly referring to another date shall be true and correct in all material respects as of such date, and provided further that any representation or warranty that contains a materiality qualification therein shall be true and correct in all respects). No Event of Default has occurred and exists under the Agreement or any other Loan Document other than as provided in this Amendment. A true and correct copy of the certificate of incorporation and bylaws of Borrower, as in effect as of the First Amendment Effective Date, have been delivered to Bank.</w:t>
      </w:r>
    </w:p>
    <w:p>
      <w:pPr>
        <w:spacing w:after="0" w:line="74" w:lineRule="exact"/>
        <w:rPr>
          <w:rFonts w:ascii="Times New Roman" w:cs="Times New Roman" w:eastAsia="Times New Roman" w:hAnsi="Times New Roman"/>
          <w:sz w:val="18"/>
          <w:szCs w:val="18"/>
          <w:b w:val="1"/>
          <w:bCs w:val="1"/>
          <w:color w:val="auto"/>
        </w:rPr>
      </w:pPr>
    </w:p>
    <w:p>
      <w:pPr>
        <w:ind w:right="40" w:firstLine="436"/>
        <w:spacing w:after="0" w:line="282" w:lineRule="auto"/>
        <w:tabs>
          <w:tab w:leader="none" w:pos="710" w:val="left"/>
        </w:tabs>
        <w:numPr>
          <w:ilvl w:val="0"/>
          <w:numId w:val="4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Integration</w:t>
      </w:r>
      <w:r>
        <w:rPr>
          <w:rFonts w:ascii="Times New Roman" w:cs="Times New Roman" w:eastAsia="Times New Roman" w:hAnsi="Times New Roman"/>
          <w:sz w:val="17"/>
          <w:szCs w:val="17"/>
          <w:color w:val="auto"/>
        </w:rPr>
        <w:t>. This Amendment and any documents executed in connection herewith or pursuant hereto contain the entire agreement between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parties with respect to the subject matter hereof and supersede all prior agreements, understandings, offers and negotiations, oral or written, with respect thereto and no extrinsic evidence whatsoever may be introduced in any judicial or arbitration proceeding, if any, involving this Amendment; except that any financing statements or other agreements or instruments filed by Bank with respect to any Borrower shall remain in full force and effect.</w:t>
      </w:r>
    </w:p>
    <w:p>
      <w:pPr>
        <w:spacing w:after="0" w:line="53" w:lineRule="exact"/>
        <w:rPr>
          <w:rFonts w:ascii="Times New Roman" w:cs="Times New Roman" w:eastAsia="Times New Roman" w:hAnsi="Times New Roman"/>
          <w:sz w:val="17"/>
          <w:szCs w:val="17"/>
          <w:b w:val="1"/>
          <w:bCs w:val="1"/>
          <w:color w:val="auto"/>
        </w:rPr>
      </w:pPr>
    </w:p>
    <w:p>
      <w:pPr>
        <w:ind w:right="260" w:firstLine="436"/>
        <w:spacing w:after="0" w:line="286" w:lineRule="auto"/>
        <w:tabs>
          <w:tab w:leader="none" w:pos="710" w:val="left"/>
        </w:tabs>
        <w:numPr>
          <w:ilvl w:val="0"/>
          <w:numId w:val="4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Amendment may be executed in two or more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instrument.</w:t>
      </w:r>
    </w:p>
    <w:p>
      <w:pPr>
        <w:spacing w:after="0" w:line="4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The terms of Section 11 of the Agreement are incorporated by reference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firstLine="436"/>
        <w:spacing w:after="0" w:line="286" w:lineRule="auto"/>
        <w:tabs>
          <w:tab w:leader="none" w:pos="710" w:val="left"/>
        </w:tabs>
        <w:numPr>
          <w:ilvl w:val="0"/>
          <w:numId w:val="4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r>
        <w:rPr>
          <w:rFonts w:ascii="Times New Roman" w:cs="Times New Roman" w:eastAsia="Times New Roman" w:hAnsi="Times New Roman"/>
          <w:sz w:val="18"/>
          <w:szCs w:val="18"/>
          <w:color w:val="auto"/>
        </w:rPr>
        <w:t>. As a condition to the effectiveness of this Amendment, Bank shall have received, in form and substance reasonably satisfactory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the following:</w:t>
      </w:r>
    </w:p>
    <w:p>
      <w:pPr>
        <w:spacing w:after="0" w:line="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color w:val="auto"/>
        </w:rPr>
        <w:t>this Amendment, duly executed by Borrower;</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color w:val="auto"/>
        </w:rPr>
        <w:t>payment of all Bank Expenses, which, in each case, may be debited from any of Borrower’s deposit account maintained with Bank;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65" w:right="45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21.3 </w:t>
      </w:r>
      <w:r>
        <w:rPr>
          <w:rFonts w:ascii="Times New Roman" w:cs="Times New Roman" w:eastAsia="Times New Roman" w:hAnsi="Times New Roman"/>
          <w:sz w:val="17"/>
          <w:szCs w:val="17"/>
          <w:color w:val="auto"/>
        </w:rPr>
        <w:t>such other documents and completion of such other matters, as Bank may reasonably request.</w:t>
      </w:r>
    </w:p>
    <w:p>
      <w:pPr>
        <w:sectPr>
          <w:pgSz w:w="11900" w:h="16838" w:orient="portrait"/>
          <w:cols w:equalWidth="0" w:num="1">
            <w:col w:w="9039"/>
          </w:cols>
          <w:pgMar w:left="1420" w:top="265" w:right="1440" w:bottom="1440" w:gutter="0" w:footer="0" w:header="0"/>
        </w:sect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039"/>
          </w:cols>
          <w:pgMar w:left="1420" w:top="265" w:right="1440" w:bottom="1440" w:gutter="0" w:footer="0" w:header="0"/>
          <w:type w:val="continuous"/>
        </w:sectPr>
      </w:pPr>
    </w:p>
    <w:bookmarkStart w:id="551" w:name="page552"/>
    <w:bookmarkEnd w:id="551"/>
    <w:p>
      <w:pPr>
        <w:ind w:right="1859"/>
        <w:spacing w:after="0" w:line="54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FIRST AMENDMENT AND WAIVER TO LOAN AND SECURITY AGREEMENT] IN WITNESS WHEREOF, the undersigned have executed this Amendment as of the first date above written.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MAZE THERAPEUTICS,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Jason Coloma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Jason Coloma,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BANC OF CALIFORNIA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Steve Kent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Steve Kent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019"/>
          </w:cols>
          <w:pgMar w:left="440" w:top="269" w:right="1440" w:bottom="1440" w:gutter="0" w:footer="0" w:header="0"/>
        </w:sectPr>
      </w:pPr>
    </w:p>
    <w:bookmarkStart w:id="552" w:name="page553"/>
    <w:bookmarkEnd w:id="5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COMPLIANCE CERTIFICATE</w:t>
      </w:r>
    </w:p>
    <w:p>
      <w:pPr>
        <w:sectPr>
          <w:pgSz w:w="11900" w:h="16838" w:orient="portrait"/>
          <w:cols w:equalWidth="0" w:num="1">
            <w:col w:w="9019"/>
          </w:cols>
          <w:pgMar w:left="1440" w:top="265" w:right="1440" w:bottom="1440" w:gutter="0" w:footer="0" w:header="0"/>
        </w:sectPr>
      </w:pPr>
    </w:p>
    <w:bookmarkStart w:id="553" w:name="page554"/>
    <w:bookmarkEnd w:id="553"/>
    <w:p>
      <w:pPr>
        <w:ind w:left="10000"/>
        <w:spacing w:after="0"/>
        <w:rPr>
          <w:sz w:val="20"/>
          <w:szCs w:val="20"/>
          <w:color w:val="auto"/>
        </w:rPr>
      </w:pPr>
      <w:r>
        <w:rPr>
          <w:rFonts w:ascii="Times New Roman" w:cs="Times New Roman" w:eastAsia="Times New Roman" w:hAnsi="Times New Roman"/>
          <w:sz w:val="17"/>
          <w:szCs w:val="17"/>
          <w:b w:val="1"/>
          <w:bCs w:val="1"/>
          <w:color w:val="auto"/>
        </w:rPr>
        <w:t>Exhibit 10.11</w:t>
      </w:r>
    </w:p>
    <w:p>
      <w:pPr>
        <w:spacing w:after="0" w:line="237"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406 OF THE SECURITIES ACT OF 1933.</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225"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March 27, 2024 (the “</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by and between Maze Therapeutics, Inc., a corporation organized and existing under the laws of Delaware (“</w:t>
      </w:r>
      <w:r>
        <w:rPr>
          <w:rFonts w:ascii="Times New Roman" w:cs="Times New Roman" w:eastAsia="Times New Roman" w:hAnsi="Times New Roman"/>
          <w:sz w:val="18"/>
          <w:szCs w:val="18"/>
          <w:b w:val="1"/>
          <w:bCs w:val="1"/>
          <w:color w:val="auto"/>
        </w:rPr>
        <w:t>Maze</w:t>
      </w:r>
      <w:r>
        <w:rPr>
          <w:rFonts w:ascii="Times New Roman" w:cs="Times New Roman" w:eastAsia="Times New Roman" w:hAnsi="Times New Roman"/>
          <w:sz w:val="18"/>
          <w:szCs w:val="18"/>
          <w:color w:val="auto"/>
        </w:rPr>
        <w:t>”) and Shionogi &amp; Co., Ltd., a corporation organized and existing under the laws of Japan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Maze and Company are each referred to herein by name or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Maze is a biotechnology company discovering and developing therapeutic candidates that have the potential to serve as precision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medicines for rare diseases and mechanistically defined subsets of common diseases, using its Maze Platform (as defined herein), including a therapeutic candidate modulating glycogen synthase 1 (“</w:t>
      </w:r>
      <w:r>
        <w:rPr>
          <w:rFonts w:ascii="Times New Roman" w:cs="Times New Roman" w:eastAsia="Times New Roman" w:hAnsi="Times New Roman"/>
          <w:sz w:val="18"/>
          <w:szCs w:val="18"/>
          <w:b w:val="1"/>
          <w:bCs w:val="1"/>
          <w:color w:val="auto"/>
        </w:rPr>
        <w:t>GYS1</w:t>
      </w:r>
      <w:r>
        <w:rPr>
          <w:rFonts w:ascii="Times New Roman" w:cs="Times New Roman" w:eastAsia="Times New Roman" w:hAnsi="Times New Roman"/>
          <w:sz w:val="18"/>
          <w:szCs w:val="18"/>
          <w:color w:val="auto"/>
        </w:rPr>
        <w:t>”) for the treatment of Pompe disease.</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Company is a pharmaceutical company with expertise in the development, manufacturing and commercialization of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Maze desires to grant to Company, and Company desires to accept from Maze, an exclusive license with respect to certain small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molecule drug products that modulate GYS1, and to perform further development, manufacturing and commercialization of such drug products, subject to the terms and conditions set forth herein.</w:t>
      </w:r>
    </w:p>
    <w:p>
      <w:pPr>
        <w:spacing w:after="0" w:line="171" w:lineRule="exact"/>
        <w:rPr>
          <w:sz w:val="20"/>
          <w:szCs w:val="20"/>
          <w:color w:val="auto"/>
        </w:rPr>
      </w:pPr>
    </w:p>
    <w:p>
      <w:pPr>
        <w:ind w:right="10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agreements set forth below,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hereby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specifically set forth to the contrary herein, the following terms will have the respective meanings set forth below.</w:t>
      </w:r>
    </w:p>
    <w:p>
      <w:pPr>
        <w:spacing w:after="0" w:line="22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Accounting Standard</w:t>
      </w:r>
      <w:r>
        <w:rPr>
          <w:rFonts w:ascii="Times New Roman" w:cs="Times New Roman" w:eastAsia="Times New Roman" w:hAnsi="Times New Roman"/>
          <w:sz w:val="18"/>
          <w:szCs w:val="18"/>
          <w:color w:val="auto"/>
        </w:rPr>
        <w:t>” means, with respect to a Party or its Affiliate or sublicensee, GAAP or IFRS, as such Party, Affiliate or sublicensee uses for its financial reporting obligations, in each case, consistently applied.</w:t>
      </w:r>
    </w:p>
    <w:p>
      <w:pPr>
        <w:sectPr>
          <w:pgSz w:w="11900" w:h="16838" w:orient="portrait"/>
          <w:cols w:equalWidth="0" w:num="1">
            <w:col w:w="11020"/>
          </w:cols>
          <w:pgMar w:left="440" w:top="117" w:right="439" w:bottom="1440" w:gutter="0" w:footer="0" w:header="0"/>
        </w:sectPr>
      </w:pPr>
    </w:p>
    <w:bookmarkStart w:id="554" w:name="page555"/>
    <w:bookmarkEnd w:id="554"/>
    <w:p>
      <w:pPr>
        <w:jc w:val="both"/>
        <w:ind w:right="4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 “</w:t>
      </w:r>
      <w:r>
        <w:rPr>
          <w:rFonts w:ascii="Times New Roman" w:cs="Times New Roman" w:eastAsia="Times New Roman" w:hAnsi="Times New Roman"/>
          <w:sz w:val="18"/>
          <w:szCs w:val="18"/>
          <w:b w:val="1"/>
          <w:bCs w:val="1"/>
          <w:color w:val="auto"/>
        </w:rPr>
        <w:t>Acquiring Entity</w:t>
      </w:r>
      <w:r>
        <w:rPr>
          <w:rFonts w:ascii="Times New Roman" w:cs="Times New Roman" w:eastAsia="Times New Roman" w:hAnsi="Times New Roman"/>
          <w:sz w:val="18"/>
          <w:szCs w:val="18"/>
          <w:color w:val="auto"/>
        </w:rPr>
        <w:t>” means, with respect to a Party, (a) any Third Party that first becomes an Affiliate or assignee of such Party after the Effective Date as a result of a Change of Control of such Party, and (b) all of such Third Party’s Affiliates (other than such Party and its Affiliates immediately prior to the consummation of such Change of Control).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Actions</w:t>
      </w:r>
      <w:r>
        <w:rPr>
          <w:rFonts w:ascii="Times New Roman" w:cs="Times New Roman" w:eastAsia="Times New Roman" w:hAnsi="Times New Roman"/>
          <w:sz w:val="18"/>
          <w:szCs w:val="18"/>
          <w:color w:val="auto"/>
        </w:rPr>
        <w:t>” is defined in Section 10.2.5 (Litigation and Disputes).</w:t>
      </w:r>
    </w:p>
    <w:p>
      <w:pPr>
        <w:spacing w:after="0" w:line="225" w:lineRule="exact"/>
        <w:rPr>
          <w:sz w:val="20"/>
          <w:szCs w:val="20"/>
          <w:color w:val="auto"/>
        </w:rPr>
      </w:pPr>
    </w:p>
    <w:p>
      <w:pPr>
        <w:ind w:right="40" w:firstLine="440"/>
        <w:spacing w:after="0" w:line="275" w:lineRule="auto"/>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any Person which, directly or indirectly through one or more intermediaries, controls, is controlled by or is under common control with, another Person for so long as such Person controls, is controlled by or is under common control with such other Person. For purposes of this Section 1.4 (Definition of Affiliate) only, the term “control” (including, with correlative meanings, the terms “controlled by” and “under common control with”) as used with respect to a Person means: (a) direct or indirect ownership of 50% or more of the voting securities or other voting interest of any Person (including attribution from related parties) or (b) the possession, directly or indirectly, of the power to direct, or cause the direction of, the management and policies of such Person, whether through ownership of voting securities, by contract, as a general partner, as a manager or otherwise.</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set forth above.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Agreement Payment</w:t>
      </w:r>
      <w:r>
        <w:rPr>
          <w:rFonts w:ascii="Times New Roman" w:cs="Times New Roman" w:eastAsia="Times New Roman" w:hAnsi="Times New Roman"/>
          <w:sz w:val="18"/>
          <w:szCs w:val="18"/>
          <w:color w:val="auto"/>
        </w:rPr>
        <w:t>” means any payment made by a Payor to a Payee under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is defined in Section 4.4 (Alliance Manager).</w:t>
      </w:r>
    </w:p>
    <w:p>
      <w:pPr>
        <w:spacing w:after="0" w:line="225" w:lineRule="exact"/>
        <w:rPr>
          <w:sz w:val="20"/>
          <w:szCs w:val="20"/>
          <w:color w:val="auto"/>
        </w:rPr>
      </w:pPr>
    </w:p>
    <w:p>
      <w:pPr>
        <w:ind w:right="60" w:firstLine="440"/>
        <w:spacing w:after="0" w:line="317" w:lineRule="auto"/>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b w:val="1"/>
          <w:bCs w:val="1"/>
          <w:color w:val="auto"/>
        </w:rPr>
        <w:t>Annual Net Sales</w:t>
      </w:r>
      <w:r>
        <w:rPr>
          <w:rFonts w:ascii="Times New Roman" w:cs="Times New Roman" w:eastAsia="Times New Roman" w:hAnsi="Times New Roman"/>
          <w:sz w:val="17"/>
          <w:szCs w:val="17"/>
          <w:color w:val="auto"/>
        </w:rPr>
        <w:t>” means the total Net Sales by Company, its Affiliates and its Sublicensees in the Territory for the applicable Licensed Product(s) in a particular Calendar Year, calculated in accordance with the Accounting Standard of Company, its Affiliate or Sublicensee, as applicable.</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Antitrust Counsel Only Material</w:t>
      </w:r>
      <w:r>
        <w:rPr>
          <w:rFonts w:ascii="Times New Roman" w:cs="Times New Roman" w:eastAsia="Times New Roman" w:hAnsi="Times New Roman"/>
          <w:sz w:val="18"/>
          <w:szCs w:val="18"/>
          <w:color w:val="auto"/>
        </w:rPr>
        <w:t>” is defined in Section 13.3 (HSR/Antitrust Filing Information Exchange).</w:t>
      </w:r>
    </w:p>
    <w:p>
      <w:pPr>
        <w:spacing w:after="0" w:line="225" w:lineRule="exact"/>
        <w:rPr>
          <w:sz w:val="20"/>
          <w:szCs w:val="20"/>
          <w:color w:val="auto"/>
        </w:rPr>
      </w:pPr>
    </w:p>
    <w:p>
      <w:pPr>
        <w:jc w:val="both"/>
        <w:ind w:right="700" w:firstLine="440"/>
        <w:spacing w:after="0" w:line="268"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Antitrust Law</w:t>
      </w:r>
      <w:r>
        <w:rPr>
          <w:rFonts w:ascii="Times New Roman" w:cs="Times New Roman" w:eastAsia="Times New Roman" w:hAnsi="Times New Roman"/>
          <w:sz w:val="18"/>
          <w:szCs w:val="18"/>
          <w:color w:val="auto"/>
        </w:rPr>
        <w:t>” means any Applicable Law that is designed to prohibit, restrict or regulate actions having the purpose or effect of monopolization, lessening of competition or restraint of trade, including the HSR Act, the Sherman Act, the Clayton Act and the Federal Trade Commission Act.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Antitrust Remedy</w:t>
      </w:r>
      <w:r>
        <w:rPr>
          <w:rFonts w:ascii="Times New Roman" w:cs="Times New Roman" w:eastAsia="Times New Roman" w:hAnsi="Times New Roman"/>
          <w:sz w:val="18"/>
          <w:szCs w:val="18"/>
          <w:color w:val="auto"/>
        </w:rPr>
        <w:t>” is defined in Section 13.1 (Efforts).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laws, statutes, rules, regulations, treaties (including tax treaties), orders, judgments or ordinances having the effect of law of any national, multinational, federal, state, provincial, county, city or other political subdivision, including: (a) to the extent applicable, GCP, GLP and GMP; (b) all applicable data protection and privacy laws, rules and regulations, including, to the extent applicable, the United States Department of Health and Human Services privacy rules under the Health Insurance Portability and Accountability Act and the Health Information Technology for Economic and Clinical Health Act and the EU Data Protection Directive (Council Directive 95/46/EC) and applicable laws implementing the EU Data Protection Directive and the General Data Protection Regulation (2016/679); and (c) written governmental interpretations, the guidance related to or the application of, any of the foregoing.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5" w:right="479" w:bottom="1440" w:gutter="0" w:footer="0" w:header="0"/>
        </w:sectPr>
      </w:pPr>
    </w:p>
    <w:bookmarkStart w:id="555" w:name="page556"/>
    <w:bookmarkEnd w:id="555"/>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1.13 “</w:t>
      </w:r>
      <w:r>
        <w:rPr>
          <w:rFonts w:ascii="Times New Roman" w:cs="Times New Roman" w:eastAsia="Times New Roman" w:hAnsi="Times New Roman"/>
          <w:sz w:val="18"/>
          <w:szCs w:val="18"/>
          <w:b w:val="1"/>
          <w:bCs w:val="1"/>
          <w:color w:val="auto"/>
        </w:rPr>
        <w:t>Approved Labeling</w:t>
      </w:r>
      <w:r>
        <w:rPr>
          <w:rFonts w:ascii="Times New Roman" w:cs="Times New Roman" w:eastAsia="Times New Roman" w:hAnsi="Times New Roman"/>
          <w:sz w:val="18"/>
          <w:szCs w:val="18"/>
          <w:color w:val="auto"/>
        </w:rPr>
        <w:t>” means, with respect to a Licensed Product: (a) the Regulatory Authority-approved full prescribing information for such Licensed Product; and (b) the Regulatory Authority-approved labels and other written, printed, or graphic materials on any container, wrapper, or any package insert that is used with or for such Licensed Product.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Arbitrator</w:t>
      </w:r>
      <w:r>
        <w:rPr>
          <w:rFonts w:ascii="Times New Roman" w:cs="Times New Roman" w:eastAsia="Times New Roman" w:hAnsi="Times New Roman"/>
          <w:sz w:val="18"/>
          <w:szCs w:val="18"/>
          <w:color w:val="auto"/>
        </w:rPr>
        <w:t>” is defined in Section 14.6.3(a) (Binding Arbitration).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Assistance Periods</w:t>
      </w:r>
      <w:r>
        <w:rPr>
          <w:rFonts w:ascii="Times New Roman" w:cs="Times New Roman" w:eastAsia="Times New Roman" w:hAnsi="Times New Roman"/>
          <w:sz w:val="18"/>
          <w:szCs w:val="18"/>
          <w:color w:val="auto"/>
        </w:rPr>
        <w:t>” is defined in Section 3.1.2 (Assistance Periods).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Audited Party</w:t>
      </w:r>
      <w:r>
        <w:rPr>
          <w:rFonts w:ascii="Times New Roman" w:cs="Times New Roman" w:eastAsia="Times New Roman" w:hAnsi="Times New Roman"/>
          <w:sz w:val="18"/>
          <w:szCs w:val="18"/>
          <w:color w:val="auto"/>
        </w:rPr>
        <w:t>” is defined in Section 7.6.2 (Audit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Auditing Party</w:t>
      </w:r>
      <w:r>
        <w:rPr>
          <w:rFonts w:ascii="Times New Roman" w:cs="Times New Roman" w:eastAsia="Times New Roman" w:hAnsi="Times New Roman"/>
          <w:sz w:val="18"/>
          <w:szCs w:val="18"/>
          <w:color w:val="auto"/>
        </w:rPr>
        <w:t>” is defined in Section 7.6.2 (Audit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is defined in Section 7.6.2 (Audit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Background IP</w:t>
      </w:r>
      <w:r>
        <w:rPr>
          <w:rFonts w:ascii="Times New Roman" w:cs="Times New Roman" w:eastAsia="Times New Roman" w:hAnsi="Times New Roman"/>
          <w:sz w:val="18"/>
          <w:szCs w:val="18"/>
          <w:color w:val="auto"/>
        </w:rPr>
        <w:t>” is defined in Section 8.1.1 (Background IP).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b w:val="1"/>
          <w:bCs w:val="1"/>
          <w:color w:val="auto"/>
        </w:rPr>
        <w:t>Background Know-How</w:t>
      </w:r>
      <w:r>
        <w:rPr>
          <w:rFonts w:ascii="Times New Roman" w:cs="Times New Roman" w:eastAsia="Times New Roman" w:hAnsi="Times New Roman"/>
          <w:sz w:val="18"/>
          <w:szCs w:val="18"/>
          <w:color w:val="auto"/>
        </w:rPr>
        <w:t>” is defined in Section 8.1.1 (Background IP).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b w:val="1"/>
          <w:bCs w:val="1"/>
          <w:color w:val="auto"/>
        </w:rPr>
        <w:t>Background Patents</w:t>
      </w:r>
      <w:r>
        <w:rPr>
          <w:rFonts w:ascii="Times New Roman" w:cs="Times New Roman" w:eastAsia="Times New Roman" w:hAnsi="Times New Roman"/>
          <w:sz w:val="18"/>
          <w:szCs w:val="18"/>
          <w:color w:val="auto"/>
        </w:rPr>
        <w:t>” is defined in Section 8.1.1 (Background IP).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b w:val="1"/>
          <w:bCs w:val="1"/>
          <w:color w:val="auto"/>
        </w:rPr>
        <w:t>Base Sales</w:t>
      </w:r>
      <w:r>
        <w:rPr>
          <w:rFonts w:ascii="Times New Roman" w:cs="Times New Roman" w:eastAsia="Times New Roman" w:hAnsi="Times New Roman"/>
          <w:sz w:val="18"/>
          <w:szCs w:val="18"/>
          <w:color w:val="auto"/>
        </w:rPr>
        <w:t>” is defined in Section 7.3.5(b) (Generic Competition; Price Reduction).</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calendar day other than: (a) a Saturday or Sunday or any day on which commercial banks in either San Francisco, California or Osaka, Japan are authorized or required by Applicable Law to remain closed; or (b) December 26 through December 31.</w:t>
      </w:r>
    </w:p>
    <w:p>
      <w:pPr>
        <w:spacing w:after="0" w:line="155" w:lineRule="exact"/>
        <w:rPr>
          <w:sz w:val="20"/>
          <w:szCs w:val="20"/>
          <w:color w:val="auto"/>
        </w:rPr>
      </w:pPr>
    </w:p>
    <w:p>
      <w:pPr>
        <w:jc w:val="both"/>
        <w:ind w:right="140" w:firstLine="440"/>
        <w:spacing w:after="0" w:line="291" w:lineRule="auto"/>
        <w:rPr>
          <w:sz w:val="20"/>
          <w:szCs w:val="20"/>
          <w:color w:val="auto"/>
        </w:rPr>
      </w:pPr>
      <w:r>
        <w:rPr>
          <w:rFonts w:ascii="Times New Roman" w:cs="Times New Roman" w:eastAsia="Times New Roman" w:hAnsi="Times New Roman"/>
          <w:sz w:val="17"/>
          <w:szCs w:val="17"/>
          <w:color w:val="auto"/>
        </w:rPr>
        <w:t>1.24 “</w:t>
      </w:r>
      <w:r>
        <w:rPr>
          <w:rFonts w:ascii="Times New Roman" w:cs="Times New Roman" w:eastAsia="Times New Roman" w:hAnsi="Times New Roman"/>
          <w:sz w:val="17"/>
          <w:szCs w:val="17"/>
          <w:b w:val="1"/>
          <w:bCs w:val="1"/>
          <w:color w:val="auto"/>
        </w:rPr>
        <w:t>Calendar Quarter</w:t>
      </w:r>
      <w:r>
        <w:rPr>
          <w:rFonts w:ascii="Times New Roman" w:cs="Times New Roman" w:eastAsia="Times New Roman" w:hAnsi="Times New Roman"/>
          <w:sz w:val="17"/>
          <w:szCs w:val="17"/>
          <w:color w:val="auto"/>
        </w:rPr>
        <w:t xml:space="preserve">” means each of the three-month periods ending March 31, June 30, September 30 and December 31;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first Calendar Quarter of the Term will extend from the Effective Date to the end of the then-current Calendar Quarter, and the last Calendar Quarter of the Term will extend from the first calendar day of such Calendar Quarter until the effective date of the termination or expiration of this Agreement.</w:t>
      </w:r>
    </w:p>
    <w:p>
      <w:pPr>
        <w:spacing w:after="0" w:line="153"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b w:val="1"/>
          <w:bCs w:val="1"/>
          <w:color w:val="auto"/>
        </w:rPr>
        <w:t>Calendar Year</w:t>
      </w:r>
      <w:r>
        <w:rPr>
          <w:rFonts w:ascii="Times New Roman" w:cs="Times New Roman" w:eastAsia="Times New Roman" w:hAnsi="Times New Roman"/>
          <w:sz w:val="18"/>
          <w:szCs w:val="18"/>
          <w:color w:val="auto"/>
        </w:rPr>
        <w:t xml:space="preserve">” means each period beginning on January 1 and ending on December 31;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first Calendar Year of the Term will extend from the Effective Date to December 31 of the then-current Calendar Year, and the last Calendar Year of the Term will extend from January 1 of such Calendar Year until the effective date of the termination or expiration of this Agreement.</w:t>
      </w:r>
    </w:p>
    <w:p>
      <w:pPr>
        <w:spacing w:after="0" w:line="17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with respect to a Party, from and after the Effective Date: (a) a merger or consolidation in which (i) such Party is a constituent party or (ii) an Affiliate of such Party that directly or indirectly controls such Party is a constituent party, except in the case of either clause (i) or (ii), any such merger or consolidation involving such Party or such Affiliate in which the shares of capital stock of such entity outstanding immediately prior to such merger or consolidation continue to represent, or are converted into or are exchanged for shares of capital stock which represent, immediately following such merger or consolidation, more than 50% by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5" w:right="459" w:bottom="1440" w:gutter="0" w:footer="0" w:header="0"/>
        </w:sectPr>
      </w:pPr>
    </w:p>
    <w:bookmarkStart w:id="556" w:name="page557"/>
    <w:bookmarkEnd w:id="55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power of the capital stock of (A) the surviving or resulting corporation or (B) a parent corporation of such surviving or resulting corporation, whether direct or indirect; (b) the sale, lease, transfer, exclusive license or other disposition, in a single transaction or series of related transactions, by such Party or an Affiliate of such Party of all or substantially all of the assets of such Party or such Affiliate taken as a whole and whether owned directly or indirectly through Affiliates (except where such sale, lease, transfer, exclusive license or other disposition is to an Affiliate of such Party existing prior to such time); or (c) any “person” or “group”, as such terms are defined in Sections 13(d) and 14(d) of the U.S. Securities Exchange Act of 1934, in a single transaction or series of related transactions, becomes the beneficial owner as defined under the U.S. Securities Exchange Act of 1934, directly or indirectly, whether by purchase or acquisition or agreement to act in concert or otherwise, of more than 50% by voting power of the then-outstanding capital stock or other equity interests of such Party or a subsidiary of such Party.</w:t>
      </w:r>
    </w:p>
    <w:p>
      <w:pPr>
        <w:spacing w:after="0" w:line="188"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b w:val="1"/>
          <w:bCs w:val="1"/>
          <w:color w:val="auto"/>
        </w:rPr>
        <w:t>Clinical Trial</w:t>
      </w:r>
      <w:r>
        <w:rPr>
          <w:rFonts w:ascii="Times New Roman" w:cs="Times New Roman" w:eastAsia="Times New Roman" w:hAnsi="Times New Roman"/>
          <w:sz w:val="18"/>
          <w:szCs w:val="18"/>
          <w:color w:val="auto"/>
        </w:rPr>
        <w:t>” means any clinical investigation conducted on human subjects, as that term is defined in FDA regulations at 21 C.F.R. § 312.3, or a similar clinical investigation conducted on human subjects, as defined under Applicable Law outside the United States. Without limiting the foregoing, “Clinical Trial” includes any Phase 1 Clinical Trial, Phase 1/2 Clinical Trial, Phase 2 Clinical Trial and Phase 3 Clinical Trial.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 means chemistry, manufacturing and controls.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is defined in Section 12.4.1 (Termination Right).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b w:val="1"/>
          <w:bCs w:val="1"/>
          <w:color w:val="auto"/>
        </w:rPr>
        <w:t>Combination Product</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b w:val="1"/>
          <w:bCs w:val="1"/>
          <w:color w:val="auto"/>
        </w:rPr>
        <w:t>Commercial Diligence Obligations</w:t>
      </w:r>
      <w:r>
        <w:rPr>
          <w:rFonts w:ascii="Times New Roman" w:cs="Times New Roman" w:eastAsia="Times New Roman" w:hAnsi="Times New Roman"/>
          <w:sz w:val="18"/>
          <w:szCs w:val="18"/>
          <w:color w:val="auto"/>
        </w:rPr>
        <w:t>” is defined in Section 6.2 (Commercial Diligence).</w:t>
      </w:r>
    </w:p>
    <w:p>
      <w:pPr>
        <w:spacing w:after="0" w:line="225"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b w:val="1"/>
          <w:bCs w:val="1"/>
          <w:color w:val="auto"/>
        </w:rPr>
        <w:t>Commercialization</w:t>
      </w:r>
      <w:r>
        <w:rPr>
          <w:rFonts w:ascii="Times New Roman" w:cs="Times New Roman" w:eastAsia="Times New Roman" w:hAnsi="Times New Roman"/>
          <w:sz w:val="18"/>
          <w:szCs w:val="18"/>
          <w:color w:val="auto"/>
        </w:rPr>
        <w:t xml:space="preserve">” means any and all activities directed to the commercialization of a product, including: marketing; detailing; promotion; market research; distributing; order processing; handling returns and recalls; booking sales; customer service; administering and commercially selling such product; importing, exporting and transporting such product for commercial sale; and seeking Pricing Approval of a product (if applicable), in each case, whether before or after Regulatory Approval has been obtained for such product, as well all regulatory compliance with respect to the foregoing. For clarity,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When used as a verb, “Commercialize” means to engage in Commercialization.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xml:space="preserve">” means, with respect to Company’s obligations under this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For purposes of clarity,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b w:val="1"/>
          <w:bCs w:val="1"/>
          <w:color w:val="auto"/>
        </w:rPr>
        <w:t>Company First Right Patents</w:t>
      </w:r>
      <w:r>
        <w:rPr>
          <w:rFonts w:ascii="Times New Roman" w:cs="Times New Roman" w:eastAsia="Times New Roman" w:hAnsi="Times New Roman"/>
          <w:sz w:val="18"/>
          <w:szCs w:val="18"/>
          <w:color w:val="auto"/>
        </w:rPr>
        <w:t>” is defined in Section 8.2.1(a) (First Right).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b w:val="1"/>
          <w:bCs w:val="1"/>
          <w:color w:val="auto"/>
        </w:rPr>
        <w:t>Company Indemnitee</w:t>
      </w:r>
      <w:r>
        <w:rPr>
          <w:rFonts w:ascii="Times New Roman" w:cs="Times New Roman" w:eastAsia="Times New Roman" w:hAnsi="Times New Roman"/>
          <w:sz w:val="18"/>
          <w:szCs w:val="18"/>
          <w:color w:val="auto"/>
        </w:rPr>
        <w:t>” is defined in Section 11.1.2 (Indemnification by Maze).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b w:val="1"/>
          <w:bCs w:val="1"/>
          <w:color w:val="auto"/>
        </w:rPr>
        <w:t>Company License</w:t>
      </w:r>
      <w:r>
        <w:rPr>
          <w:rFonts w:ascii="Times New Roman" w:cs="Times New Roman" w:eastAsia="Times New Roman" w:hAnsi="Times New Roman"/>
          <w:sz w:val="18"/>
          <w:szCs w:val="18"/>
          <w:color w:val="auto"/>
        </w:rPr>
        <w:t>” is defined in Section 2.1.1 (License to Company).</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9" w:right="459" w:bottom="1440" w:gutter="0" w:footer="0" w:header="0"/>
        </w:sectPr>
      </w:pPr>
    </w:p>
    <w:bookmarkStart w:id="557" w:name="page558"/>
    <w:bookmarkEnd w:id="5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1.38 “</w:t>
      </w:r>
      <w:r>
        <w:rPr>
          <w:rFonts w:ascii="Times New Roman" w:cs="Times New Roman" w:eastAsia="Times New Roman" w:hAnsi="Times New Roman"/>
          <w:sz w:val="18"/>
          <w:szCs w:val="18"/>
          <w:b w:val="1"/>
          <w:bCs w:val="1"/>
          <w:color w:val="auto"/>
        </w:rPr>
        <w:t>Company Other Foreground IP</w:t>
      </w:r>
      <w:r>
        <w:rPr>
          <w:rFonts w:ascii="Times New Roman" w:cs="Times New Roman" w:eastAsia="Times New Roman" w:hAnsi="Times New Roman"/>
          <w:sz w:val="18"/>
          <w:szCs w:val="18"/>
          <w:color w:val="auto"/>
        </w:rPr>
        <w:t>” means Company Other Foreground Know- How and Company Other Foreground Patents.</w:t>
      </w:r>
    </w:p>
    <w:p>
      <w:pPr>
        <w:spacing w:after="0" w:line="225" w:lineRule="exact"/>
        <w:rPr>
          <w:sz w:val="20"/>
          <w:szCs w:val="20"/>
          <w:color w:val="auto"/>
        </w:rPr>
      </w:pPr>
    </w:p>
    <w:p>
      <w:pPr>
        <w:ind w:right="480" w:firstLine="440"/>
        <w:spacing w:after="0" w:line="268" w:lineRule="auto"/>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b w:val="1"/>
          <w:bCs w:val="1"/>
          <w:color w:val="auto"/>
        </w:rPr>
        <w:t>Company Other Foreground Know-How</w:t>
      </w:r>
      <w:r>
        <w:rPr>
          <w:rFonts w:ascii="Times New Roman" w:cs="Times New Roman" w:eastAsia="Times New Roman" w:hAnsi="Times New Roman"/>
          <w:sz w:val="18"/>
          <w:szCs w:val="18"/>
          <w:color w:val="auto"/>
        </w:rPr>
        <w:t>” means any Other Foreground Know- How that is first generated, conceived, discovered, created, invented or otherwise made during the Term solely by or on behalf Company or its Affiliates in the performance of activities under this Agreement.</w:t>
      </w:r>
    </w:p>
    <w:p>
      <w:pPr>
        <w:spacing w:after="0" w:line="171"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b w:val="1"/>
          <w:bCs w:val="1"/>
          <w:color w:val="auto"/>
        </w:rPr>
        <w:t>Company Other Foreground Patents</w:t>
      </w:r>
      <w:r>
        <w:rPr>
          <w:rFonts w:ascii="Times New Roman" w:cs="Times New Roman" w:eastAsia="Times New Roman" w:hAnsi="Times New Roman"/>
          <w:sz w:val="18"/>
          <w:szCs w:val="18"/>
          <w:color w:val="auto"/>
        </w:rPr>
        <w:t xml:space="preserve">” means any Other Foreground Patents that Cover Company Other Foreground Know-How. For clarity, </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b w:val="1"/>
          <w:bCs w:val="1"/>
          <w:color w:val="auto"/>
        </w:rPr>
        <w:t>Company Program Foreground Know-How</w:t>
      </w:r>
      <w:r>
        <w:rPr>
          <w:rFonts w:ascii="Times New Roman" w:cs="Times New Roman" w:eastAsia="Times New Roman" w:hAnsi="Times New Roman"/>
          <w:sz w:val="18"/>
          <w:szCs w:val="18"/>
          <w:color w:val="auto"/>
        </w:rPr>
        <w:t>” means any Program Foreground Know-How that is first generated, conceived, discovered, created, invented or otherwise made during the Term solely by or on behalf Company or its Affiliates in the performance of activities under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1.42 “</w:t>
      </w:r>
      <w:r>
        <w:rPr>
          <w:rFonts w:ascii="Times New Roman" w:cs="Times New Roman" w:eastAsia="Times New Roman" w:hAnsi="Times New Roman"/>
          <w:sz w:val="17"/>
          <w:szCs w:val="17"/>
          <w:b w:val="1"/>
          <w:bCs w:val="1"/>
          <w:color w:val="auto"/>
        </w:rPr>
        <w:t>Company Program Foreground Patents</w:t>
      </w:r>
      <w:r>
        <w:rPr>
          <w:rFonts w:ascii="Times New Roman" w:cs="Times New Roman" w:eastAsia="Times New Roman" w:hAnsi="Times New Roman"/>
          <w:sz w:val="17"/>
          <w:szCs w:val="17"/>
          <w:color w:val="auto"/>
        </w:rPr>
        <w:t>” means any Program Foreground Patents that Cover Company Program Foreground Know-How.</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b w:val="1"/>
          <w:bCs w:val="1"/>
          <w:color w:val="auto"/>
        </w:rPr>
        <w:t>Company Reversion IP</w:t>
      </w:r>
      <w:r>
        <w:rPr>
          <w:rFonts w:ascii="Times New Roman" w:cs="Times New Roman" w:eastAsia="Times New Roman" w:hAnsi="Times New Roman"/>
          <w:sz w:val="18"/>
          <w:szCs w:val="18"/>
          <w:color w:val="auto"/>
        </w:rPr>
        <w:t>” means the Company Reversion Know-How and Company Reversion Patents.</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7"/>
          <w:szCs w:val="17"/>
          <w:color w:val="auto"/>
        </w:rPr>
        <w:t>1.44 “</w:t>
      </w:r>
      <w:r>
        <w:rPr>
          <w:rFonts w:ascii="Times New Roman" w:cs="Times New Roman" w:eastAsia="Times New Roman" w:hAnsi="Times New Roman"/>
          <w:sz w:val="17"/>
          <w:szCs w:val="17"/>
          <w:b w:val="1"/>
          <w:bCs w:val="1"/>
          <w:color w:val="auto"/>
        </w:rPr>
        <w:t>Company Reversion Know-How</w:t>
      </w:r>
      <w:r>
        <w:rPr>
          <w:rFonts w:ascii="Times New Roman" w:cs="Times New Roman" w:eastAsia="Times New Roman" w:hAnsi="Times New Roman"/>
          <w:sz w:val="17"/>
          <w:szCs w:val="17"/>
          <w:color w:val="auto"/>
        </w:rPr>
        <w:t>” means, with respect to a Licensed Product in the form that it exists as of the effective date of termination of this Agreement, any Company Program Foreground Know-How that is (a) Controlled by Company or any of its Affiliates as of the effective date of the termination of this Agreement and (b) actually incorporated by or on behalf of Company or its Affiliates or Sublicensees in the composition of matter, formulation of, or the method of using of such Licensed Product as of the effective date of termination of this Agreement.</w:t>
      </w:r>
    </w:p>
    <w:p>
      <w:pPr>
        <w:spacing w:after="0" w:line="16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b w:val="1"/>
          <w:bCs w:val="1"/>
          <w:color w:val="auto"/>
        </w:rPr>
        <w:t>Company Reversion Patents</w:t>
      </w:r>
      <w:r>
        <w:rPr>
          <w:rFonts w:ascii="Times New Roman" w:cs="Times New Roman" w:eastAsia="Times New Roman" w:hAnsi="Times New Roman"/>
          <w:sz w:val="18"/>
          <w:szCs w:val="18"/>
          <w:color w:val="auto"/>
        </w:rPr>
        <w:t>” means, with respect to a Licensed Product in the form that it exists as of the effective date of termination of this Agreement, any Company Program Foreground Patents that (a) are Controlled by Company or any of its Affiliates as of the effective date of the termination of this Agreement and (b) Cover the composition of matter, formulation of, or the method of using such Licensed Product as of the effective date of termination of this Agreement.</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with respect to a Disclosing Party, all confidential or proprietary information (including information communicated to the Receiving Party by or on behalf of the Disclosing Party in oral, written, visual, graphic or electronic form) Controlled by such Party, including chemical or biological materials, chemical structures, Commercialization plans, correspondence, customer lists, Research plans, Development plans, Know-How, Regulatory Materials, strategies and other information or data, in each case, that are disclosed or made available by or on behalf of such Party to the other Party pursuant to this Agreement, regardless of whether any of the foregoing are marked “confidential” or “proprietary.” Notwithstanding any provision set forth in this Agreement to the contrary: (a) (i) the Program Foreground Know-How and Company Other Foreground Know-How, and (ii) any reports provided by or on behalf of Company to Maze pursuant to Section 4.3 (Diligence Updates) or Section 7.4 (Royalty Payments and Reporting), in each case ((i) and (ii)), will be considered the Confidential Information of Company; (b) the Maze Platform Know-How will be considered the Confidential Information of Maze; and (c) any non-public Licensed Know-How and the terms of this Agreement will be considered the Confidential Information of both Parties.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5" w:right="499" w:bottom="1440" w:gutter="0" w:footer="0" w:header="0"/>
        </w:sectPr>
      </w:pPr>
    </w:p>
    <w:bookmarkStart w:id="558" w:name="page559"/>
    <w:bookmarkEnd w:id="55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1.47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with respect to any particular (a) item of Know-How, Patent or other intellectual property right or Regulatory Material, or</w:t>
      </w:r>
    </w:p>
    <w:p>
      <w:pPr>
        <w:spacing w:after="0" w:line="31" w:lineRule="exact"/>
        <w:rPr>
          <w:sz w:val="20"/>
          <w:szCs w:val="20"/>
          <w:color w:val="auto"/>
        </w:rPr>
      </w:pPr>
    </w:p>
    <w:p>
      <w:pPr>
        <w:ind w:left="4" w:hanging="4"/>
        <w:spacing w:after="0" w:line="265" w:lineRule="auto"/>
        <w:tabs>
          <w:tab w:leader="none" w:pos="259" w:val="left"/>
        </w:tabs>
        <w:numPr>
          <w:ilvl w:val="0"/>
          <w:numId w:val="4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or component thereof, the possession by the Person granting the applicable right, license, sublicense, access, right to use, right of reference or release to the other Person as provided herein of the power and authority (whether arising by sole, joint or other ownership interest, license, sublicense or other authorization, but in any case other than by operation of the licenses granted to a Party in this Agreement) to grant a license, sublicense, access, right to use, right of reference or release (as applicable) to (i) in the case of the foregoing clause (a), such Know-How, Patent or other intellectual property right or Regulatory Material, or (ii) in the case of the foregoing clause (b), Patents that Cover or proprietary Know-How or other intellectual property rights that are incorporated in or embody such product or component, in each case ((i) and (ii)), of the scope granted to such other Party in this Agreement without giving rise to any violation of the term of any written agreement with any Third Party existing at the time such right, license, sublicense, access, use, reference or release first comes into effect hereunder or incurring any payment obligation to such Third Party that is not subject to an agreed allocation of such payments between the Parties. “Controlled” and “Controlling” have their correlative meanings. Notwithstanding the foregoing, in the event a Party or its Affiliate undergoes a Change of Control, then such Party or its Affiliate will not be deemed to “Control” any Know-How, Patents, or other intellectual property rights or Regulatory Materials of an Acquiring Entity or other successor-in-interest of such Party or Affiliate as a result of such Change of Control unless (A) prior to the consummation of such Change of Control, such acquired Party (or Affiliate) also Controlled such Know-How, Patents, or other intellectual property rights or Regulatory Materials of such Acquiring Entity or other successor-in-interest,</w:t>
      </w:r>
    </w:p>
    <w:p>
      <w:pPr>
        <w:spacing w:after="0" w:line="2" w:lineRule="exact"/>
        <w:rPr>
          <w:rFonts w:ascii="Times New Roman" w:cs="Times New Roman" w:eastAsia="Times New Roman" w:hAnsi="Times New Roman"/>
          <w:sz w:val="17"/>
          <w:szCs w:val="17"/>
          <w:color w:val="auto"/>
        </w:rPr>
      </w:pPr>
    </w:p>
    <w:p>
      <w:pPr>
        <w:ind w:left="4" w:right="1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such Know-How, Patents, or other intellectual property rights or Regulatory Materials were conceived, developed or otherwise arises from participation by employees or consultants of such Acquiring Entity or other successor-in-interest in the performance of activities under this Agreement after such Change of Control, or (C) such Know- How, Patents, or other intellectual property rights or Regulatory Materials were not used in the performance of activities under this Agreement prior to the consummation of such Change of Control, but after the consummation of such Change of Control, such acquired Party or any of its Affiliates uses such Know-How, Patents, or other intellectual property rights or Regulatory Materials in the performance of its obligations or exercise of its rights under this Agreement, in each of which cases ((A) through (C)), such Know-How, Patents, or other intellectual property rights or Regulatory Materials will be “Controlled” by such Party for purposes of this Agreement.</w:t>
      </w:r>
    </w:p>
    <w:p>
      <w:pPr>
        <w:spacing w:after="0" w:line="184" w:lineRule="exact"/>
        <w:rPr>
          <w:sz w:val="20"/>
          <w:szCs w:val="20"/>
          <w:color w:val="auto"/>
        </w:rPr>
      </w:pPr>
    </w:p>
    <w:p>
      <w:pPr>
        <w:ind w:left="4" w:right="360" w:firstLine="440"/>
        <w:spacing w:after="0" w:line="262"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b w:val="1"/>
          <w:bCs w:val="1"/>
          <w:color w:val="auto"/>
        </w:rPr>
        <w:t>Cover</w:t>
      </w:r>
      <w:r>
        <w:rPr>
          <w:rFonts w:ascii="Times New Roman" w:cs="Times New Roman" w:eastAsia="Times New Roman" w:hAnsi="Times New Roman"/>
          <w:sz w:val="18"/>
          <w:szCs w:val="18"/>
          <w:color w:val="auto"/>
        </w:rPr>
        <w:t>” means, with reference to a claim in a Patent or to a Valid Claim, as applicable, and a subject matter at issue (including any composition of matter, compound or product, or uses thereof), that the Research, Development, Manufacture, Commercialization, making, using, offering to sell, selling, importing, exporting or other Exploitation of such subject matter would infringe such claim or Valid Claim in the country in which such activity occurs without a license thereto or ownership thereof.</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b w:val="1"/>
          <w:bCs w:val="1"/>
          <w:color w:val="auto"/>
        </w:rPr>
        <w:t>Cure Period</w:t>
      </w:r>
      <w:r>
        <w:rPr>
          <w:rFonts w:ascii="Times New Roman" w:cs="Times New Roman" w:eastAsia="Times New Roman" w:hAnsi="Times New Roman"/>
          <w:sz w:val="18"/>
          <w:szCs w:val="18"/>
          <w:color w:val="auto"/>
        </w:rPr>
        <w:t>” is defined in Section 12.2.1 (Termination Right).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5" w:right="459" w:bottom="1440" w:gutter="0" w:footer="0" w:header="0"/>
        </w:sectPr>
      </w:pPr>
    </w:p>
    <w:bookmarkStart w:id="559" w:name="page560"/>
    <w:bookmarkEnd w:id="559"/>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1.50 “</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means all losses, costs, claims, damages, judgments, liabilities and expenses (including reasonable attorneys’ fees and other reasonable out-of-pocket costs in connection therewith).</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b w:val="1"/>
          <w:bCs w:val="1"/>
          <w:color w:val="auto"/>
        </w:rPr>
        <w:t>Derivatives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xml:space="preserve">” means clinical drug development activities and other development activities with respect to a product, including: Clinical Trials (and other trials commenced after Regulatory Approval); test method development and stability testing; toxicology and other non- clinical studies; formulation; process development; qualification; validation; quality assurance and quality control; statistical analysis and report writing; the preparation and submission of INDs and MAAs; medical and regulatory affairs with respect to the foregoing; and all other activities necessary or useful or otherwise requested or required by a Regulatory Authority or as a condition or in support of obtaining or maintaining a Regulatory Approval for a product. For clarity,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b w:val="1"/>
          <w:bCs w:val="1"/>
          <w:color w:val="auto"/>
        </w:rPr>
        <w:t>Development Diligence Obligations</w:t>
      </w:r>
      <w:r>
        <w:rPr>
          <w:rFonts w:ascii="Times New Roman" w:cs="Times New Roman" w:eastAsia="Times New Roman" w:hAnsi="Times New Roman"/>
          <w:sz w:val="18"/>
          <w:szCs w:val="18"/>
          <w:color w:val="auto"/>
        </w:rPr>
        <w:t>” is defined in Section 4.2 (Development Diligence).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b w:val="1"/>
          <w:bCs w:val="1"/>
          <w:color w:val="auto"/>
        </w:rPr>
        <w:t>Development Milestone Event</w:t>
      </w:r>
      <w:r>
        <w:rPr>
          <w:rFonts w:ascii="Times New Roman" w:cs="Times New Roman" w:eastAsia="Times New Roman" w:hAnsi="Times New Roman"/>
          <w:sz w:val="18"/>
          <w:szCs w:val="18"/>
          <w:color w:val="auto"/>
        </w:rPr>
        <w:t>” is defined in Section 7.2.1(a) (Development Milestone Payments).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1.55 “</w:t>
      </w:r>
      <w:r>
        <w:rPr>
          <w:rFonts w:ascii="Times New Roman" w:cs="Times New Roman" w:eastAsia="Times New Roman" w:hAnsi="Times New Roman"/>
          <w:sz w:val="18"/>
          <w:szCs w:val="18"/>
          <w:b w:val="1"/>
          <w:bCs w:val="1"/>
          <w:color w:val="auto"/>
        </w:rPr>
        <w:t>Development Milestone Payment</w:t>
      </w:r>
      <w:r>
        <w:rPr>
          <w:rFonts w:ascii="Times New Roman" w:cs="Times New Roman" w:eastAsia="Times New Roman" w:hAnsi="Times New Roman"/>
          <w:sz w:val="18"/>
          <w:szCs w:val="18"/>
          <w:color w:val="auto"/>
        </w:rPr>
        <w:t>” is defined in Section 7.2.1(a) (Development Milestone Payments).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1.56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is defined in Section 9.1 (Nondisclosure).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1.57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is defined in Section 14.6.2 (Dispute Escalation).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1.58 “</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is defined in Section 13.2 (Filings).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1.59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legal tender of the United States.</w:t>
      </w:r>
    </w:p>
    <w:p>
      <w:pPr>
        <w:spacing w:after="0" w:line="225" w:lineRule="exact"/>
        <w:rPr>
          <w:sz w:val="20"/>
          <w:szCs w:val="20"/>
          <w:color w:val="auto"/>
        </w:rPr>
      </w:pPr>
    </w:p>
    <w:p>
      <w:pPr>
        <w:ind w:right="260" w:firstLine="440"/>
        <w:spacing w:after="0" w:line="259" w:lineRule="auto"/>
        <w:rPr>
          <w:sz w:val="20"/>
          <w:szCs w:val="20"/>
          <w:color w:val="auto"/>
        </w:rPr>
      </w:pPr>
      <w:r>
        <w:rPr>
          <w:rFonts w:ascii="Times New Roman" w:cs="Times New Roman" w:eastAsia="Times New Roman" w:hAnsi="Times New Roman"/>
          <w:sz w:val="18"/>
          <w:szCs w:val="18"/>
          <w:color w:val="auto"/>
        </w:rPr>
        <w:t>1.60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later of: (a) if a determination is made pursuant to Section 13.2 (Filings) that an HSR/Antitrust Filing is not required to be made under any Antitrust Law for this Agreement, the date of such determination; or (b) if a determination is made pursuant to Section 13.2 (Filings) that an HSR/Antitrust Filing is required to be made under any Antitrust Law for this Agreement, the earliest date on which the Parties have actual knowledge that all applicable waiting periods under the HSR Act and any comparable waiting periods as required under any other Antitrust Law, in each case, with respect to the transactions contemplated by this Agreement, have expired or have been terminated.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1.61 “</w:t>
      </w: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is defined in Section 14.11 (Counterparts).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is defined in Section 1.177 (Definition of Regulatory Authority).</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1.63 “</w:t>
      </w:r>
      <w:r>
        <w:rPr>
          <w:rFonts w:ascii="Times New Roman" w:cs="Times New Roman" w:eastAsia="Times New Roman" w:hAnsi="Times New Roman"/>
          <w:sz w:val="18"/>
          <w:szCs w:val="18"/>
          <w:b w:val="1"/>
          <w:bCs w:val="1"/>
          <w:color w:val="auto"/>
        </w:rPr>
        <w:t>Enforcing Party</w:t>
      </w:r>
      <w:r>
        <w:rPr>
          <w:rFonts w:ascii="Times New Roman" w:cs="Times New Roman" w:eastAsia="Times New Roman" w:hAnsi="Times New Roman"/>
          <w:sz w:val="18"/>
          <w:szCs w:val="18"/>
          <w:color w:val="auto"/>
        </w:rPr>
        <w:t>” means the Party that is responsible for enforcement with respect to a given Patent under Section 8.3.2(a) (Company First Right Patents) or Section 8.3.2(b) (Maze Other Foreground Patents), as applicable.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5" w:right="459" w:bottom="1440" w:gutter="0" w:footer="0" w:header="0"/>
        </w:sectPr>
      </w:pPr>
    </w:p>
    <w:bookmarkStart w:id="560" w:name="page561"/>
    <w:bookmarkEnd w:id="5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1.64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means all countries that are officially recognized as member states of the European Union at any particular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1.65 “</w:t>
      </w:r>
      <w:r>
        <w:rPr>
          <w:rFonts w:ascii="Times New Roman" w:cs="Times New Roman" w:eastAsia="Times New Roman" w:hAnsi="Times New Roman"/>
          <w:sz w:val="18"/>
          <w:szCs w:val="18"/>
          <w:b w:val="1"/>
          <w:bCs w:val="1"/>
          <w:color w:val="auto"/>
        </w:rPr>
        <w:t>Execution Date</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1.66 “</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xml:space="preserve">” means: (a) with respect to Maze,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(b) with respect to Company,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1.67 “</w:t>
      </w:r>
      <w:r>
        <w:rPr>
          <w:rFonts w:ascii="Times New Roman" w:cs="Times New Roman" w:eastAsia="Times New Roman" w:hAnsi="Times New Roman"/>
          <w:sz w:val="18"/>
          <w:szCs w:val="18"/>
          <w:b w:val="1"/>
          <w:bCs w:val="1"/>
          <w:color w:val="auto"/>
        </w:rPr>
        <w:t>Existing Contractor</w:t>
      </w:r>
      <w:r>
        <w:rPr>
          <w:rFonts w:ascii="Times New Roman" w:cs="Times New Roman" w:eastAsia="Times New Roman" w:hAnsi="Times New Roman"/>
          <w:sz w:val="18"/>
          <w:szCs w:val="18"/>
          <w:color w:val="auto"/>
        </w:rPr>
        <w:t>” is defined in Section 3.1.1 (Transition Assistance).</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1.68 “</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means to make, have made, use, import, export, offer to sell, sell, Research, Develop, Manufacture, perform medical affairs activities for, Commercialize, or otherwise exploit. “Exploitation” will be construed accordingly.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1.69 “</w:t>
      </w:r>
      <w:r>
        <w:rPr>
          <w:rFonts w:ascii="Times New Roman" w:cs="Times New Roman" w:eastAsia="Times New Roman" w:hAnsi="Times New Roman"/>
          <w:sz w:val="18"/>
          <w:szCs w:val="18"/>
          <w:b w:val="1"/>
          <w:bCs w:val="1"/>
          <w:color w:val="auto"/>
        </w:rPr>
        <w:t>Extraneous Maze Platform Know-How</w:t>
      </w:r>
      <w:r>
        <w:rPr>
          <w:rFonts w:ascii="Times New Roman" w:cs="Times New Roman" w:eastAsia="Times New Roman" w:hAnsi="Times New Roman"/>
          <w:sz w:val="18"/>
          <w:szCs w:val="18"/>
          <w:color w:val="auto"/>
        </w:rPr>
        <w:t>” is defined in Section 3.4 (Know-How and Material Transfer).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1.70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United States Foreign Corrupt Practices Act (15 U.S.C. § 78dd- 1, et seq.).</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1.71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is defined in Section 1.177 (Definition of Regulatory Authority).</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1.72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means the United States Federal Food, Drug, and Cosmetic Act, 21 U.S.C. 301, et. seq., and the rules, regulations, guidance, guidelines and requirements promulgated or issued thereunder.</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1.73 “</w:t>
      </w:r>
      <w:r>
        <w:rPr>
          <w:rFonts w:ascii="Times New Roman" w:cs="Times New Roman" w:eastAsia="Times New Roman" w:hAnsi="Times New Roman"/>
          <w:sz w:val="18"/>
          <w:szCs w:val="18"/>
          <w:b w:val="1"/>
          <w:bCs w:val="1"/>
          <w:color w:val="auto"/>
        </w:rPr>
        <w:t>Field</w:t>
      </w:r>
      <w:r>
        <w:rPr>
          <w:rFonts w:ascii="Times New Roman" w:cs="Times New Roman" w:eastAsia="Times New Roman" w:hAnsi="Times New Roman"/>
          <w:sz w:val="18"/>
          <w:szCs w:val="18"/>
          <w:color w:val="auto"/>
        </w:rPr>
        <w:t>” means any and all uses or purposes, including the treatment, prophylaxis, palliation, diagnosis or prevention of any human or animal disease, disorder or condition.</w:t>
      </w:r>
    </w:p>
    <w:p>
      <w:pPr>
        <w:spacing w:after="0" w:line="15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1.74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means, on a Licensed Product-by-Licensed Product and country-by-country basis, the first sale of such Licensed Product for monetary value in such country for use or consumption by the general public following receipt of all Regulatory Approvals (excluding any Pricing Approvals) that are required in order to sell such Licensed Product in such country and for which any of Company or its Affiliates or Sublicensees has invoiced sales of such Licensed Product in such country.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1.75 “</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is defined in Section 14.3 (Force Majeure).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1.76 “</w:t>
      </w:r>
      <w:r>
        <w:rPr>
          <w:rFonts w:ascii="Times New Roman" w:cs="Times New Roman" w:eastAsia="Times New Roman" w:hAnsi="Times New Roman"/>
          <w:sz w:val="18"/>
          <w:szCs w:val="18"/>
          <w:b w:val="1"/>
          <w:bCs w:val="1"/>
          <w:color w:val="auto"/>
        </w:rPr>
        <w:t>Foreground IP</w:t>
      </w:r>
      <w:r>
        <w:rPr>
          <w:rFonts w:ascii="Times New Roman" w:cs="Times New Roman" w:eastAsia="Times New Roman" w:hAnsi="Times New Roman"/>
          <w:sz w:val="18"/>
          <w:szCs w:val="18"/>
          <w:color w:val="auto"/>
        </w:rPr>
        <w:t>” means Foreground Know-How and Foreground Patents.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1.77 “</w:t>
      </w:r>
      <w:r>
        <w:rPr>
          <w:rFonts w:ascii="Times New Roman" w:cs="Times New Roman" w:eastAsia="Times New Roman" w:hAnsi="Times New Roman"/>
          <w:sz w:val="18"/>
          <w:szCs w:val="18"/>
          <w:b w:val="1"/>
          <w:bCs w:val="1"/>
          <w:color w:val="auto"/>
        </w:rPr>
        <w:t>Foreground Know-How</w:t>
      </w:r>
      <w:r>
        <w:rPr>
          <w:rFonts w:ascii="Times New Roman" w:cs="Times New Roman" w:eastAsia="Times New Roman" w:hAnsi="Times New Roman"/>
          <w:sz w:val="18"/>
          <w:szCs w:val="18"/>
          <w:color w:val="auto"/>
        </w:rPr>
        <w:t>” means any Know-How that is first generated, conceived, created, invented or otherwise made during the Term by or on behalf of either or both Parties or their respective Affiliates in the performance of activities under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1.78 “</w:t>
      </w:r>
      <w:r>
        <w:rPr>
          <w:rFonts w:ascii="Times New Roman" w:cs="Times New Roman" w:eastAsia="Times New Roman" w:hAnsi="Times New Roman"/>
          <w:sz w:val="18"/>
          <w:szCs w:val="18"/>
          <w:b w:val="1"/>
          <w:bCs w:val="1"/>
          <w:color w:val="auto"/>
        </w:rPr>
        <w:t>Foreground Patents</w:t>
      </w:r>
      <w:r>
        <w:rPr>
          <w:rFonts w:ascii="Times New Roman" w:cs="Times New Roman" w:eastAsia="Times New Roman" w:hAnsi="Times New Roman"/>
          <w:sz w:val="18"/>
          <w:szCs w:val="18"/>
          <w:color w:val="auto"/>
        </w:rPr>
        <w:t>” means any Patents that Cover any Foreground Know-How.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1.79 “</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is defined in Section 13.2 (Filings).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5" w:right="459" w:bottom="1440" w:gutter="0" w:footer="0" w:header="0"/>
        </w:sectPr>
      </w:pPr>
    </w:p>
    <w:bookmarkStart w:id="561" w:name="page562"/>
    <w:bookmarkEnd w:id="561"/>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1.80 “</w:t>
      </w:r>
      <w:r>
        <w:rPr>
          <w:rFonts w:ascii="Times New Roman" w:cs="Times New Roman" w:eastAsia="Times New Roman" w:hAnsi="Times New Roman"/>
          <w:sz w:val="18"/>
          <w:szCs w:val="18"/>
          <w:b w:val="1"/>
          <w:bCs w:val="1"/>
          <w:color w:val="auto"/>
        </w:rPr>
        <w:t>FTE</w:t>
      </w:r>
      <w:r>
        <w:rPr>
          <w:rFonts w:ascii="Times New Roman" w:cs="Times New Roman" w:eastAsia="Times New Roman" w:hAnsi="Times New Roman"/>
          <w:sz w:val="18"/>
          <w:szCs w:val="18"/>
          <w:color w:val="auto"/>
        </w:rPr>
        <w:t xml:space="preserve">” means the equivalent of the work of one duly qualified employee of Maze full time for one year (consisting of a total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working hours per year) carrying out scientific or technical work under this Agreement. Overtime and work on weekends, holidays, and the like, in each case, will not be counted with any multiplier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time-and-a-half or double time) toward the number of hours that are used to calculate the FTE contribution. The portion of an FTE billable by Maze for one individual during a given accounting period will be determined by dividing the number of hours worked directly by such individual on the work to be conducted under this Agreement during such accounting period and the number of FTE hours applicable for such accounting period based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working hours per Calendar Year.</w:t>
      </w:r>
    </w:p>
    <w:p>
      <w:pPr>
        <w:spacing w:after="0" w:line="182"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1.81 “</w:t>
      </w:r>
      <w:r>
        <w:rPr>
          <w:rFonts w:ascii="Times New Roman" w:cs="Times New Roman" w:eastAsia="Times New Roman" w:hAnsi="Times New Roman"/>
          <w:sz w:val="18"/>
          <w:szCs w:val="18"/>
          <w:b w:val="1"/>
          <w:bCs w:val="1"/>
          <w:color w:val="auto"/>
        </w:rPr>
        <w:t>FTE Rate</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 FTE per Calendar Year, which for the Calendar Year ending on December 31, 2024 will be pro-rated for the period beginning on the Effective Date and ending on December 31, 2024.</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1.82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the U.S. generally accepted accounting principles.</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1.83 “</w:t>
      </w:r>
      <w:r>
        <w:rPr>
          <w:rFonts w:ascii="Times New Roman" w:cs="Times New Roman" w:eastAsia="Times New Roman" w:hAnsi="Times New Roman"/>
          <w:sz w:val="18"/>
          <w:szCs w:val="18"/>
          <w:b w:val="1"/>
          <w:bCs w:val="1"/>
          <w:color w:val="auto"/>
        </w:rPr>
        <w:t>GCP</w:t>
      </w:r>
      <w:r>
        <w:rPr>
          <w:rFonts w:ascii="Times New Roman" w:cs="Times New Roman" w:eastAsia="Times New Roman" w:hAnsi="Times New Roman"/>
          <w:sz w:val="18"/>
          <w:szCs w:val="18"/>
          <w:color w:val="auto"/>
        </w:rPr>
        <w:t>” means all applicable then-current good clinical practice standards for the design, conduct, performance, monitoring, auditing, recording, analysis and reporting of Clinical Trials as are promulgated by applicable Regulatory Authorities in the relevant country that provide for, among other things, assurance that the clinical data and reported results are credible and accurate and protect the rights, integrity and confidentiality of trial subjects, including, as applicable: (a) as set forth in the International Conference on Harmonization of Technical Requirements for Registration of Pharmaceuticals for Human Use Harmonized Tripartite Guideline for Good Clinical Practice (CPMP/ICH/135/95), as may be applicable from time to time; (b) as set forth in the Declaration of Helsinki (2004), as last amended at the 52nd World Medical Association in October 2000, as may be applicable from time to time; (c) as set forth in the U.S. Code of Federal Regulations Title 21, Parts 50 (Protection of Human Subjects), 56 (Institutional Review Boards) and 312 (Investigational New Drug Application), as may be applicable from time to time; and (d) the equivalent practices, standards and regulations promulgated or endorsed by the applicable Regulatory Authorities elsewhere in the Territory, as may be applicable from time to time, to the extent such standards are not less stringent than United States GCP.</w:t>
      </w:r>
    </w:p>
    <w:p>
      <w:pPr>
        <w:spacing w:after="0" w:line="18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1.84 “</w:t>
      </w:r>
      <w:r>
        <w:rPr>
          <w:rFonts w:ascii="Times New Roman" w:cs="Times New Roman" w:eastAsia="Times New Roman" w:hAnsi="Times New Roman"/>
          <w:sz w:val="18"/>
          <w:szCs w:val="18"/>
          <w:b w:val="1"/>
          <w:bCs w:val="1"/>
          <w:color w:val="auto"/>
        </w:rPr>
        <w:t>Generic Competition</w:t>
      </w:r>
      <w:r>
        <w:rPr>
          <w:rFonts w:ascii="Times New Roman" w:cs="Times New Roman" w:eastAsia="Times New Roman" w:hAnsi="Times New Roman"/>
          <w:sz w:val="18"/>
          <w:szCs w:val="18"/>
          <w:color w:val="auto"/>
        </w:rPr>
        <w:t>” means, with respect to a Licensed Product in a country in the Territory, the sale of one or more Generic Product(s) of such Licensed Product in such country.</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1.85 “</w:t>
      </w:r>
      <w:r>
        <w:rPr>
          <w:rFonts w:ascii="Times New Roman" w:cs="Times New Roman" w:eastAsia="Times New Roman" w:hAnsi="Times New Roman"/>
          <w:sz w:val="18"/>
          <w:szCs w:val="18"/>
          <w:b w:val="1"/>
          <w:bCs w:val="1"/>
          <w:color w:val="auto"/>
        </w:rPr>
        <w:t>Generic Product</w:t>
      </w:r>
      <w:r>
        <w:rPr>
          <w:rFonts w:ascii="Times New Roman" w:cs="Times New Roman" w:eastAsia="Times New Roman" w:hAnsi="Times New Roman"/>
          <w:sz w:val="18"/>
          <w:szCs w:val="18"/>
          <w:color w:val="auto"/>
        </w:rPr>
        <w:t>” means, with respect to a Licensed Product in a country in the Territory, a pharmaceutical product that: (a) is approved for use in such country pursuant to a regulatory approval process governing approval of a generic product of such Licensed Product based on the then-current standards for Regulatory Approval in such country, based upon all or part of the clinical data generated by the Parties pursuant to this Agreement or obtained using an abbreviated, expedited or other process; and (b) is sold in the same country as such Licensed Product by any Third Party that (i) is not a Sublicensee (other than a Sublicensee that has been granted a sublicense to any Licensed Product by Company solely in connection with any settlement arising from the introduction of a generic product) and (ii) did not purchase such pharmaceutical product in a chain of distribution that included any of Company, its Affiliates or its Sublicensees.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5" w:right="459" w:bottom="1440" w:gutter="0" w:footer="0" w:header="0"/>
        </w:sectPr>
      </w:pPr>
    </w:p>
    <w:bookmarkStart w:id="562" w:name="page563"/>
    <w:bookmarkEnd w:id="562"/>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1.86 “</w:t>
      </w:r>
      <w:r>
        <w:rPr>
          <w:rFonts w:ascii="Times New Roman" w:cs="Times New Roman" w:eastAsia="Times New Roman" w:hAnsi="Times New Roman"/>
          <w:sz w:val="18"/>
          <w:szCs w:val="18"/>
          <w:b w:val="1"/>
          <w:bCs w:val="1"/>
          <w:color w:val="auto"/>
        </w:rPr>
        <w:t>Global Trade Control Laws</w:t>
      </w:r>
      <w:r>
        <w:rPr>
          <w:rFonts w:ascii="Times New Roman" w:cs="Times New Roman" w:eastAsia="Times New Roman" w:hAnsi="Times New Roman"/>
          <w:sz w:val="18"/>
          <w:szCs w:val="18"/>
          <w:color w:val="auto"/>
        </w:rPr>
        <w:t>” means all Applicable Laws governing economic and trade sanctions, export and import control, and other similar Applicable Laws in any other jurisdiction which is the subject of this Agreement, including the U.S. Export Administration Regulations (the “EAR”); the U.S. International Traffic in Arms Regulations (the “ITAR”); the economic sanctions rules and regulations implemented under statutory authority or President’s Executive Orders and administered by the U.S. Treasury Department’s Office of Foreign Assets Control; European Union (EU) Council Regulations on export controls, including Nos. 428/2009 and 267/2012; other EU council sanctions regulations, as implemented in EU member states; United Nations sanctions policies, all relevant regulations and legislative instruments made under any of the above and other relevant economic sanctions, export and import control laws, and other laws, regulations, legislation, orders and requirements imposed by a relevant Governmental Authority.</w:t>
      </w:r>
    </w:p>
    <w:p>
      <w:pPr>
        <w:spacing w:after="0" w:line="18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1.87 “</w:t>
      </w:r>
      <w:r>
        <w:rPr>
          <w:rFonts w:ascii="Times New Roman" w:cs="Times New Roman" w:eastAsia="Times New Roman" w:hAnsi="Times New Roman"/>
          <w:sz w:val="18"/>
          <w:szCs w:val="18"/>
          <w:b w:val="1"/>
          <w:bCs w:val="1"/>
          <w:color w:val="auto"/>
        </w:rPr>
        <w:t>GLP</w:t>
      </w:r>
      <w:r>
        <w:rPr>
          <w:rFonts w:ascii="Times New Roman" w:cs="Times New Roman" w:eastAsia="Times New Roman" w:hAnsi="Times New Roman"/>
          <w:sz w:val="18"/>
          <w:szCs w:val="18"/>
          <w:color w:val="auto"/>
        </w:rPr>
        <w:t>” means all applicable then-current good laboratory practice standards as are promulgated by applicable Regulatory Authorities in the relevant country or other jurisdiction, including: (a) in the United States, those promulgated or endorsed by the FDA in U.S. 21 C.F.R. Part 58, as may be applicable from time to time; and (b) the equivalent practices, standards and regulations promulgated or endorsed by the applicable Regulatory Authorities outside the United States, as may be applicable from time to time, to the extent such practices, standards and regulations are not less stringent than United States GLP.</w:t>
      </w:r>
    </w:p>
    <w:p>
      <w:pPr>
        <w:spacing w:after="0" w:line="17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1.88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means all applicable then-current good manufacturing practice standards as are promulgated by applicable Regulatory Authorities in the relevant country or other jurisdiction, including, as applicable, as promulgated under and in accordance with: (a) the principles detailed in the U.S. Current Good Manufacturing Practices, 21 C.F.R. Parts 4, 210, 211, 601, 610 and 820, as may be applicable from time to time; (b) European Directive 2003/94/EC and EudraLex 4, as may be applicable from time to time; (c) the principles detailed in the International Conference on Harmonization’s Q7 Guideline, as may be applicable from time to time; and (d) the equivalent practices, standards and regulations promulgated or endorsed by the applicable Regulatory Authorities elsewhere in the Territory, as may be applicable from time to time, to the extent such practices, standards and regulations are not less stringent than United States GMP.</w:t>
      </w:r>
    </w:p>
    <w:p>
      <w:pPr>
        <w:spacing w:after="0" w:line="183" w:lineRule="exact"/>
        <w:rPr>
          <w:sz w:val="20"/>
          <w:szCs w:val="20"/>
          <w:color w:val="auto"/>
        </w:rPr>
      </w:pPr>
    </w:p>
    <w:p>
      <w:pPr>
        <w:ind w:right="560" w:firstLine="440"/>
        <w:spacing w:after="0" w:line="257" w:lineRule="auto"/>
        <w:rPr>
          <w:sz w:val="20"/>
          <w:szCs w:val="20"/>
          <w:color w:val="auto"/>
        </w:rPr>
      </w:pPr>
      <w:r>
        <w:rPr>
          <w:rFonts w:ascii="Times New Roman" w:cs="Times New Roman" w:eastAsia="Times New Roman" w:hAnsi="Times New Roman"/>
          <w:sz w:val="18"/>
          <w:szCs w:val="18"/>
          <w:color w:val="auto"/>
        </w:rPr>
        <w:t>1.89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(a) federal, state, local, municipal, foreign or other government; (b) governmental or quasi-governmental authority of any nature (including any agency, board, body, branch, bureau, commission, council, department, entity, governmental division, instrumentality, office, officer, official, organization, representative, subdivision, unit and any court or other tribunal); (c) multinational governmental organization or body; or (d) entity or body exercising, or entitled to exercise, any executive, legislative, judicial, administrative, regulatory, police, military or taxing authority or power of any nature (including any arbiter). Governmental Authorities include all Regulatory Authorities.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1.90 “</w:t>
      </w:r>
      <w:r>
        <w:rPr>
          <w:rFonts w:ascii="Times New Roman" w:cs="Times New Roman" w:eastAsia="Times New Roman" w:hAnsi="Times New Roman"/>
          <w:sz w:val="18"/>
          <w:szCs w:val="18"/>
          <w:b w:val="1"/>
          <w:bCs w:val="1"/>
          <w:color w:val="auto"/>
        </w:rPr>
        <w:t>Governmental Restriction</w:t>
      </w:r>
      <w:r>
        <w:rPr>
          <w:rFonts w:ascii="Times New Roman" w:cs="Times New Roman" w:eastAsia="Times New Roman" w:hAnsi="Times New Roman"/>
          <w:sz w:val="18"/>
          <w:szCs w:val="18"/>
          <w:color w:val="auto"/>
        </w:rPr>
        <w:t>” is defined in Section 14.3 (Force Majeure).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1.91 “</w:t>
      </w:r>
      <w:r>
        <w:rPr>
          <w:rFonts w:ascii="Times New Roman" w:cs="Times New Roman" w:eastAsia="Times New Roman" w:hAnsi="Times New Roman"/>
          <w:sz w:val="18"/>
          <w:szCs w:val="18"/>
          <w:b w:val="1"/>
          <w:bCs w:val="1"/>
          <w:color w:val="auto"/>
        </w:rPr>
        <w:t>GYS1</w:t>
      </w:r>
      <w:r>
        <w:rPr>
          <w:rFonts w:ascii="Times New Roman" w:cs="Times New Roman" w:eastAsia="Times New Roman" w:hAnsi="Times New Roman"/>
          <w:sz w:val="18"/>
          <w:szCs w:val="18"/>
          <w:color w:val="auto"/>
        </w:rPr>
        <w:t>” is defined in the Recitals.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5" w:right="459" w:bottom="1440" w:gutter="0" w:footer="0" w:header="0"/>
        </w:sectPr>
      </w:pPr>
    </w:p>
    <w:bookmarkStart w:id="563" w:name="page564"/>
    <w:bookmarkEnd w:id="563"/>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1.92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(15 U.S.C. § 18a), and the rules and regulations promulgated thereunder.</w:t>
      </w:r>
    </w:p>
    <w:p>
      <w:pPr>
        <w:spacing w:after="0" w:line="15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1.93 “</w:t>
      </w:r>
      <w:r>
        <w:rPr>
          <w:rFonts w:ascii="Times New Roman" w:cs="Times New Roman" w:eastAsia="Times New Roman" w:hAnsi="Times New Roman"/>
          <w:sz w:val="18"/>
          <w:szCs w:val="18"/>
          <w:b w:val="1"/>
          <w:bCs w:val="1"/>
          <w:color w:val="auto"/>
        </w:rPr>
        <w:t>HSR/Antitrust Filing</w:t>
      </w:r>
      <w:r>
        <w:rPr>
          <w:rFonts w:ascii="Times New Roman" w:cs="Times New Roman" w:eastAsia="Times New Roman" w:hAnsi="Times New Roman"/>
          <w:sz w:val="18"/>
          <w:szCs w:val="18"/>
          <w:color w:val="auto"/>
        </w:rPr>
        <w:t>” means: (a) a filing by Maze and a filing by Company with the FTC and the DOJ of a Notification and Report Form for Certain Mergers and Acquisitions (as that term is defined in the HSR Act), together with all required documentary attachments thereto; or (b) any comparable filing by Maze or Company required under any other Antitrust Law, in each case ((a) or (b)), with respect to the transactions contemplated by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1.94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the International Financial Reporting Standards.</w:t>
      </w:r>
    </w:p>
    <w:p>
      <w:pPr>
        <w:spacing w:after="0" w:line="225" w:lineRule="exact"/>
        <w:rPr>
          <w:sz w:val="20"/>
          <w:szCs w:val="20"/>
          <w:color w:val="auto"/>
        </w:rPr>
      </w:pPr>
    </w:p>
    <w:p>
      <w:pPr>
        <w:jc w:val="both"/>
        <w:ind w:right="160" w:firstLine="440"/>
        <w:spacing w:after="0" w:line="262" w:lineRule="auto"/>
        <w:rPr>
          <w:sz w:val="20"/>
          <w:szCs w:val="20"/>
          <w:color w:val="auto"/>
        </w:rPr>
      </w:pPr>
      <w:r>
        <w:rPr>
          <w:rFonts w:ascii="Times New Roman" w:cs="Times New Roman" w:eastAsia="Times New Roman" w:hAnsi="Times New Roman"/>
          <w:sz w:val="18"/>
          <w:szCs w:val="18"/>
          <w:color w:val="auto"/>
        </w:rPr>
        <w:t>1.95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 investigational new drug application (including any amendment or supplement thereto) submitted to the FDA pursuant to U.S. 21 C.F.R. Part 312, including any amendments thereto. References herein to IND will include, to the extent applicable, any foreign counterpart of the foregoing filed with a Regulatory Authority outside the U.S. for the investigation of a product in any other country or group of countries (such as a Clinical Trial application in the EU, United Kingdom or Japan) in conformance with the requirements of such Regulatory Authority.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1.96 “</w:t>
      </w:r>
      <w:r>
        <w:rPr>
          <w:rFonts w:ascii="Times New Roman" w:cs="Times New Roman" w:eastAsia="Times New Roman" w:hAnsi="Times New Roman"/>
          <w:sz w:val="18"/>
          <w:szCs w:val="18"/>
          <w:b w:val="1"/>
          <w:bCs w:val="1"/>
          <w:color w:val="auto"/>
        </w:rPr>
        <w:t>Indemnification Claim Notice</w:t>
      </w:r>
      <w:r>
        <w:rPr>
          <w:rFonts w:ascii="Times New Roman" w:cs="Times New Roman" w:eastAsia="Times New Roman" w:hAnsi="Times New Roman"/>
          <w:sz w:val="18"/>
          <w:szCs w:val="18"/>
          <w:color w:val="auto"/>
        </w:rPr>
        <w:t>” is defined in Section 11.2.1 (Notice).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1.97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is defined in Section 11.2.1 (Notice).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1.98 “</w:t>
      </w:r>
      <w:r>
        <w:rPr>
          <w:rFonts w:ascii="Times New Roman" w:cs="Times New Roman" w:eastAsia="Times New Roman" w:hAnsi="Times New Roman"/>
          <w:sz w:val="18"/>
          <w:szCs w:val="18"/>
          <w:b w:val="1"/>
          <w:bCs w:val="1"/>
          <w:color w:val="auto"/>
        </w:rPr>
        <w:t>Indemnitor</w:t>
      </w:r>
      <w:r>
        <w:rPr>
          <w:rFonts w:ascii="Times New Roman" w:cs="Times New Roman" w:eastAsia="Times New Roman" w:hAnsi="Times New Roman"/>
          <w:sz w:val="18"/>
          <w:szCs w:val="18"/>
          <w:color w:val="auto"/>
        </w:rPr>
        <w:t>” is defined in Section 11.2.1 (Notice).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1.99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 is defined in Section 8.3.1 (Notification).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1.100 “</w:t>
      </w:r>
      <w:r>
        <w:rPr>
          <w:rFonts w:ascii="Times New Roman" w:cs="Times New Roman" w:eastAsia="Times New Roman" w:hAnsi="Times New Roman"/>
          <w:sz w:val="18"/>
          <w:szCs w:val="18"/>
          <w:b w:val="1"/>
          <w:bCs w:val="1"/>
          <w:color w:val="auto"/>
        </w:rPr>
        <w:t>Initiation</w:t>
      </w:r>
      <w:r>
        <w:rPr>
          <w:rFonts w:ascii="Times New Roman" w:cs="Times New Roman" w:eastAsia="Times New Roman" w:hAnsi="Times New Roman"/>
          <w:sz w:val="18"/>
          <w:szCs w:val="18"/>
          <w:color w:val="auto"/>
        </w:rPr>
        <w:t>” means, with respect to any Clinical Trial, the first patient dosed for the first time in such Clinical Trial.</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1.101 “</w:t>
      </w:r>
      <w:r>
        <w:rPr>
          <w:rFonts w:ascii="Times New Roman" w:cs="Times New Roman" w:eastAsia="Times New Roman" w:hAnsi="Times New Roman"/>
          <w:sz w:val="18"/>
          <w:szCs w:val="18"/>
          <w:b w:val="1"/>
          <w:bCs w:val="1"/>
          <w:color w:val="auto"/>
        </w:rPr>
        <w:t>Invention</w:t>
      </w:r>
      <w:r>
        <w:rPr>
          <w:rFonts w:ascii="Times New Roman" w:cs="Times New Roman" w:eastAsia="Times New Roman" w:hAnsi="Times New Roman"/>
          <w:sz w:val="18"/>
          <w:szCs w:val="18"/>
          <w:color w:val="auto"/>
        </w:rPr>
        <w:t>” means any process, method, composition of matter, article of manufacture, discovery or finding that is conceived or reduced to practice.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1.102 “</w:t>
      </w:r>
      <w:r>
        <w:rPr>
          <w:rFonts w:ascii="Times New Roman" w:cs="Times New Roman" w:eastAsia="Times New Roman" w:hAnsi="Times New Roman"/>
          <w:sz w:val="18"/>
          <w:szCs w:val="18"/>
          <w:b w:val="1"/>
          <w:bCs w:val="1"/>
          <w:color w:val="auto"/>
        </w:rPr>
        <w:t>JAMS</w:t>
      </w:r>
      <w:r>
        <w:rPr>
          <w:rFonts w:ascii="Times New Roman" w:cs="Times New Roman" w:eastAsia="Times New Roman" w:hAnsi="Times New Roman"/>
          <w:sz w:val="18"/>
          <w:szCs w:val="18"/>
          <w:color w:val="auto"/>
        </w:rPr>
        <w:t>” is defined in Section 14.6.3 (Binding Arbitration).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1.103 “</w:t>
      </w:r>
      <w:r>
        <w:rPr>
          <w:rFonts w:ascii="Times New Roman" w:cs="Times New Roman" w:eastAsia="Times New Roman" w:hAnsi="Times New Roman"/>
          <w:sz w:val="18"/>
          <w:szCs w:val="18"/>
          <w:b w:val="1"/>
          <w:bCs w:val="1"/>
          <w:color w:val="auto"/>
        </w:rPr>
        <w:t>Joint Other Foreground IP</w:t>
      </w:r>
      <w:r>
        <w:rPr>
          <w:rFonts w:ascii="Times New Roman" w:cs="Times New Roman" w:eastAsia="Times New Roman" w:hAnsi="Times New Roman"/>
          <w:sz w:val="18"/>
          <w:szCs w:val="18"/>
          <w:color w:val="auto"/>
        </w:rPr>
        <w:t>” means Joint Other Foreground Know-How and Joint Other Foreground Patents.</w:t>
      </w:r>
    </w:p>
    <w:p>
      <w:pPr>
        <w:spacing w:after="0" w:line="225"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color w:val="auto"/>
        </w:rPr>
        <w:t>1.104 “</w:t>
      </w:r>
      <w:r>
        <w:rPr>
          <w:rFonts w:ascii="Times New Roman" w:cs="Times New Roman" w:eastAsia="Times New Roman" w:hAnsi="Times New Roman"/>
          <w:sz w:val="18"/>
          <w:szCs w:val="18"/>
          <w:b w:val="1"/>
          <w:bCs w:val="1"/>
          <w:color w:val="auto"/>
        </w:rPr>
        <w:t>Joint Other Foreground Know-How</w:t>
      </w:r>
      <w:r>
        <w:rPr>
          <w:rFonts w:ascii="Times New Roman" w:cs="Times New Roman" w:eastAsia="Times New Roman" w:hAnsi="Times New Roman"/>
          <w:sz w:val="18"/>
          <w:szCs w:val="18"/>
          <w:color w:val="auto"/>
        </w:rPr>
        <w:t>” means any Other Foreground Know-How that is first generated, conceived, discovered, created, invented or otherwise made during the Term jointly by or on behalf of Company or its Affiliates, on the one hand, and by or on behalf of Maze or its Affiliates, on the other hand, in the performance of activities under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1.105 “</w:t>
      </w:r>
      <w:r>
        <w:rPr>
          <w:rFonts w:ascii="Times New Roman" w:cs="Times New Roman" w:eastAsia="Times New Roman" w:hAnsi="Times New Roman"/>
          <w:sz w:val="17"/>
          <w:szCs w:val="17"/>
          <w:b w:val="1"/>
          <w:bCs w:val="1"/>
          <w:color w:val="auto"/>
        </w:rPr>
        <w:t>Joint Other Foreground Patents</w:t>
      </w:r>
      <w:r>
        <w:rPr>
          <w:rFonts w:ascii="Times New Roman" w:cs="Times New Roman" w:eastAsia="Times New Roman" w:hAnsi="Times New Roman"/>
          <w:sz w:val="17"/>
          <w:szCs w:val="17"/>
          <w:color w:val="auto"/>
        </w:rPr>
        <w:t xml:space="preserve">” means any Other Foreground Patents that Cover Joint Other Foreground Know-How. For clarity,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1.106 “</w:t>
      </w:r>
      <w:r>
        <w:rPr>
          <w:rFonts w:ascii="Times New Roman" w:cs="Times New Roman" w:eastAsia="Times New Roman" w:hAnsi="Times New Roman"/>
          <w:sz w:val="18"/>
          <w:szCs w:val="18"/>
          <w:b w:val="1"/>
          <w:bCs w:val="1"/>
          <w:color w:val="auto"/>
        </w:rPr>
        <w:t>Joint Program Foreground IP</w:t>
      </w:r>
      <w:r>
        <w:rPr>
          <w:rFonts w:ascii="Times New Roman" w:cs="Times New Roman" w:eastAsia="Times New Roman" w:hAnsi="Times New Roman"/>
          <w:sz w:val="18"/>
          <w:szCs w:val="18"/>
          <w:color w:val="auto"/>
        </w:rPr>
        <w:t>” means Joint Program Foreground Know-How and Joint Program Foreground Patents.</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5" w:right="459" w:bottom="1440" w:gutter="0" w:footer="0" w:header="0"/>
        </w:sectPr>
      </w:pPr>
    </w:p>
    <w:bookmarkStart w:id="564" w:name="page565"/>
    <w:bookmarkEnd w:id="564"/>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1.107 “</w:t>
      </w:r>
      <w:r>
        <w:rPr>
          <w:rFonts w:ascii="Times New Roman" w:cs="Times New Roman" w:eastAsia="Times New Roman" w:hAnsi="Times New Roman"/>
          <w:sz w:val="18"/>
          <w:szCs w:val="18"/>
          <w:b w:val="1"/>
          <w:bCs w:val="1"/>
          <w:color w:val="auto"/>
        </w:rPr>
        <w:t>Joint Program Foreground Know-How</w:t>
      </w:r>
      <w:r>
        <w:rPr>
          <w:rFonts w:ascii="Times New Roman" w:cs="Times New Roman" w:eastAsia="Times New Roman" w:hAnsi="Times New Roman"/>
          <w:sz w:val="18"/>
          <w:szCs w:val="18"/>
          <w:color w:val="auto"/>
        </w:rPr>
        <w:t>” means any Program Foreground Know-How that is first generated, conceived, discovered, created, invented or otherwise made during the Term jointly by or on behalf of Company or its Affiliates, on the one hand, and by or on behalf of Maze or its Affiliates, on the other hand, in the performance of activities under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1.108 “</w:t>
      </w:r>
      <w:r>
        <w:rPr>
          <w:rFonts w:ascii="Times New Roman" w:cs="Times New Roman" w:eastAsia="Times New Roman" w:hAnsi="Times New Roman"/>
          <w:sz w:val="18"/>
          <w:szCs w:val="18"/>
          <w:b w:val="1"/>
          <w:bCs w:val="1"/>
          <w:color w:val="auto"/>
        </w:rPr>
        <w:t>Joint Program Foreground Patents</w:t>
      </w:r>
      <w:r>
        <w:rPr>
          <w:rFonts w:ascii="Times New Roman" w:cs="Times New Roman" w:eastAsia="Times New Roman" w:hAnsi="Times New Roman"/>
          <w:sz w:val="18"/>
          <w:szCs w:val="18"/>
          <w:color w:val="auto"/>
        </w:rPr>
        <w:t>” means any Program Foreground Patents that Cover Joint Program Foreground Know-How.</w:t>
      </w:r>
    </w:p>
    <w:p>
      <w:pPr>
        <w:spacing w:after="0" w:line="225"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1.109 “</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algorithms; data; information; Inventions; improvements; knowledge; methods (including methods of use or administration or dosing); practices; results; software; techniques; trade secrets; technology; analytical and quality control data; analytical methods, including applicable reference standards; assays; preclinical models; biomarkers; batch records; chemical structures and formulations; crystallization methods; X-ray diffraction data and analyses; compositions of matter; materials (including biological materials); formulae; synthesis route; manufacturing data; in-vitro and in-vivo pharmacological, toxicological and clinical test data and results; processes; reports; research data; research tools; sequences; standard operating procedures and techniques; in each case, whether patentable or not, and, in each case, tangible manifestations thereof.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color w:val="auto"/>
        </w:rPr>
        <w:t>Licensed Compound</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right="180" w:firstLine="987"/>
        <w:spacing w:after="0" w:line="282" w:lineRule="auto"/>
        <w:tabs>
          <w:tab w:leader="none" w:pos="1236"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MZE001 and any other small molecule compound disclosed in the Licensed Patents set forth on Schedule 1.113 (Licensed Patents), and any Derivatives of any the foregoing described in this subsection (a);</w:t>
      </w:r>
    </w:p>
    <w:p>
      <w:pPr>
        <w:spacing w:after="0" w:line="4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compound, a “</w:t>
      </w:r>
      <w:r>
        <w:rPr>
          <w:rFonts w:ascii="Times New Roman" w:cs="Times New Roman" w:eastAsia="Times New Roman" w:hAnsi="Times New Roman"/>
          <w:sz w:val="18"/>
          <w:szCs w:val="18"/>
          <w:b w:val="1"/>
          <w:bCs w:val="1"/>
          <w:color w:val="auto"/>
        </w:rPr>
        <w:t>Maze-Developed Licensed Compound</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compound a “</w:t>
      </w:r>
      <w:r>
        <w:rPr>
          <w:rFonts w:ascii="Times New Roman" w:cs="Times New Roman" w:eastAsia="Times New Roman" w:hAnsi="Times New Roman"/>
          <w:sz w:val="18"/>
          <w:szCs w:val="18"/>
          <w:b w:val="1"/>
          <w:bCs w:val="1"/>
          <w:color w:val="auto"/>
        </w:rPr>
        <w:t>Company-Developed Licensed Compound</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Further, this subsection (c) will also include any Derivatives of any of the foregoing described in this subsection (c).</w:t>
      </w:r>
    </w:p>
    <w:p>
      <w:pPr>
        <w:spacing w:after="0" w:line="22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color w:val="auto"/>
        </w:rPr>
        <w:t>Licensed Know-How</w:t>
      </w:r>
      <w:r>
        <w:rPr>
          <w:rFonts w:ascii="Times New Roman" w:cs="Times New Roman" w:eastAsia="Times New Roman" w:hAnsi="Times New Roman"/>
          <w:sz w:val="18"/>
          <w:szCs w:val="18"/>
          <w:color w:val="auto"/>
        </w:rPr>
        <w:t>” means any Know-How, including the Know-How set forth on Schedule 1.111 (Licensed Know-How), Controlled by Maze or any of its Affiliates as of the Execution Date or at any time during the Term that is (a) related to any Licensed Compound or Licensed Product or (b) otherwise reasonably necessary to Research, Develop, Manufacture, Commercialize or otherwise Exploit any Licensed Compound or Licensed Product.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440" w:top="265" w:right="579" w:bottom="1440" w:gutter="0" w:footer="0" w:header="0"/>
        </w:sectPr>
      </w:pPr>
    </w:p>
    <w:bookmarkStart w:id="565" w:name="page566"/>
    <w:bookmarkEnd w:id="565"/>
    <w:p>
      <w:pPr>
        <w:jc w:val="both"/>
        <w:ind w:left="4" w:right="8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1.112 “</w:t>
      </w:r>
      <w:r>
        <w:rPr>
          <w:rFonts w:ascii="Times New Roman" w:cs="Times New Roman" w:eastAsia="Times New Roman" w:hAnsi="Times New Roman"/>
          <w:sz w:val="17"/>
          <w:szCs w:val="17"/>
          <w:b w:val="1"/>
          <w:bCs w:val="1"/>
          <w:color w:val="auto"/>
        </w:rPr>
        <w:t>Licensed Materials</w:t>
      </w:r>
      <w:r>
        <w:rPr>
          <w:rFonts w:ascii="Times New Roman" w:cs="Times New Roman" w:eastAsia="Times New Roman" w:hAnsi="Times New Roman"/>
          <w:sz w:val="17"/>
          <w:szCs w:val="17"/>
          <w:color w:val="auto"/>
        </w:rPr>
        <w:t>” means any assays, biological substances (and any constituents, progeny, mutants, derivatives, or replications thereof or therefrom), chemical compounds, or other tangible materials, including those listed on Schedule 1.112 (Licensed Materials), Controlled by Maze or any of its Affiliates as of the Execution Date or at any time during the Term that are (a) related to any Licensed Compound or Licensed Product or</w:t>
      </w:r>
    </w:p>
    <w:p>
      <w:pPr>
        <w:spacing w:after="0" w:line="1" w:lineRule="exact"/>
        <w:rPr>
          <w:sz w:val="20"/>
          <w:szCs w:val="20"/>
          <w:color w:val="auto"/>
        </w:rPr>
      </w:pPr>
    </w:p>
    <w:p>
      <w:pPr>
        <w:ind w:left="4" w:right="120" w:hanging="4"/>
        <w:spacing w:after="0" w:line="260" w:lineRule="auto"/>
        <w:tabs>
          <w:tab w:leader="none" w:pos="259"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reasonably necessary for the Research, Development, Manufacture, Commercialization or other Exploitation of any Licensed Compound or Licensed Product.</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color w:val="auto"/>
        </w:rPr>
        <w:t>Licensed Patents</w:t>
      </w:r>
      <w:r>
        <w:rPr>
          <w:rFonts w:ascii="Times New Roman" w:cs="Times New Roman" w:eastAsia="Times New Roman" w:hAnsi="Times New Roman"/>
          <w:sz w:val="18"/>
          <w:szCs w:val="18"/>
          <w:color w:val="auto"/>
        </w:rPr>
        <w:t>” means any Patents Controlled by Maze or any of its Affiliates as of the Execution Date or at any time during the Term</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that: (a) Cover any Licensed Compound or Licensed Product or (b) are otherwise reasonably necessary to Research, Develop, Manufacture,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Commercialize or otherwise Exploit any Licensed Compound or Licensed Product. All Licensed Patents existing as of the Execution Date are set forth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Schedule 1.113 (Licensed Patents).</w:t>
      </w:r>
    </w:p>
    <w:p>
      <w:pPr>
        <w:spacing w:after="0" w:line="203" w:lineRule="exact"/>
        <w:rPr>
          <w:sz w:val="20"/>
          <w:szCs w:val="20"/>
          <w:color w:val="auto"/>
        </w:rPr>
      </w:pPr>
    </w:p>
    <w:p>
      <w:pPr>
        <w:ind w:left="4" w:right="640" w:firstLine="440"/>
        <w:spacing w:after="0" w:line="286"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means any pharmaceutical preparation in final form containing one or more Licensed Compounds, alone or in combination with one or more Other Active Ingredients.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b w:val="1"/>
          <w:bCs w:val="1"/>
          <w:color w:val="auto"/>
        </w:rPr>
        <w:t>Licensed Product Mark</w:t>
      </w:r>
      <w:r>
        <w:rPr>
          <w:rFonts w:ascii="Times New Roman" w:cs="Times New Roman" w:eastAsia="Times New Roman" w:hAnsi="Times New Roman"/>
          <w:sz w:val="18"/>
          <w:szCs w:val="18"/>
          <w:color w:val="auto"/>
        </w:rPr>
        <w:t>” is defined in Section 8.5 (Trademarks).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color w:val="auto"/>
        </w:rPr>
        <w:t>Licensed Technology</w:t>
      </w:r>
      <w:r>
        <w:rPr>
          <w:rFonts w:ascii="Times New Roman" w:cs="Times New Roman" w:eastAsia="Times New Roman" w:hAnsi="Times New Roman"/>
          <w:sz w:val="18"/>
          <w:szCs w:val="18"/>
          <w:color w:val="auto"/>
        </w:rPr>
        <w:t>” means Licensed Know-How, Licensed Materials and Licensed Patents.</w:t>
      </w:r>
    </w:p>
    <w:p>
      <w:pPr>
        <w:spacing w:after="0" w:line="225"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color w:val="auto"/>
        </w:rPr>
        <w:t>LOPD</w:t>
      </w:r>
      <w:r>
        <w:rPr>
          <w:rFonts w:ascii="Times New Roman" w:cs="Times New Roman" w:eastAsia="Times New Roman" w:hAnsi="Times New Roman"/>
          <w:sz w:val="18"/>
          <w:szCs w:val="18"/>
          <w:color w:val="auto"/>
        </w:rPr>
        <w:t>” means Pompe disease that first appears in the patient after the age of one, also referred to as late-onset (or adult-onset or juvenile-onset) Pompe disease (as differentiated from the infantile form of Pompe disease that first appears in the patient before the age of one, also referred to as infantile-onset Pompe disease).</w:t>
      </w:r>
    </w:p>
    <w:p>
      <w:pPr>
        <w:spacing w:after="0" w:line="171"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1.118 “</w:t>
      </w:r>
      <w:r>
        <w:rPr>
          <w:rFonts w:ascii="Times New Roman" w:cs="Times New Roman" w:eastAsia="Times New Roman" w:hAnsi="Times New Roman"/>
          <w:sz w:val="18"/>
          <w:szCs w:val="18"/>
          <w:b w:val="1"/>
          <w:bCs w:val="1"/>
          <w:color w:val="auto"/>
        </w:rPr>
        <w:t>MAA</w:t>
      </w:r>
      <w:r>
        <w:rPr>
          <w:rFonts w:ascii="Times New Roman" w:cs="Times New Roman" w:eastAsia="Times New Roman" w:hAnsi="Times New Roman"/>
          <w:sz w:val="18"/>
          <w:szCs w:val="18"/>
          <w:color w:val="auto"/>
        </w:rPr>
        <w:t>” means a Marketing Authorization Application or similar application, as applicable, and all amendments and supplements thereto, submitted to the FDA, EMA or any equivalent filing in a country or regulatory jurisdiction other than the U.S. or EU with the applicable Regulatory Authority, to obtain marketing approval for a pharmaceutical or biological product, in a country or in a group of countries.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color w:val="auto"/>
        </w:rPr>
        <w:t>Major Markets</w:t>
      </w:r>
      <w:r>
        <w:rPr>
          <w:rFonts w:ascii="Times New Roman" w:cs="Times New Roman" w:eastAsia="Times New Roman" w:hAnsi="Times New Roman"/>
          <w:sz w:val="18"/>
          <w:szCs w:val="18"/>
          <w:color w:val="auto"/>
        </w:rPr>
        <w:t xml:space="preserve">” means each of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1.120 “</w:t>
      </w:r>
      <w:r>
        <w:rPr>
          <w:rFonts w:ascii="Times New Roman" w:cs="Times New Roman" w:eastAsia="Times New Roman" w:hAnsi="Times New Roman"/>
          <w:sz w:val="18"/>
          <w:szCs w:val="18"/>
          <w:b w:val="1"/>
          <w:bCs w:val="1"/>
          <w:color w:val="auto"/>
        </w:rPr>
        <w:t>Manufacture</w:t>
      </w:r>
      <w:r>
        <w:rPr>
          <w:rFonts w:ascii="Times New Roman" w:cs="Times New Roman" w:eastAsia="Times New Roman" w:hAnsi="Times New Roman"/>
          <w:sz w:val="18"/>
          <w:szCs w:val="18"/>
          <w:color w:val="auto"/>
        </w:rPr>
        <w:t>” means all activities related to the manufacturing of a compound or product or any component or ingredient thereof, including: (a) the production, manufacture, having manufactured, processing, filling, finishing, packaging, labeling, shipping and holding of product or any intermediate thereof; and (b) process development; process qualification and validation; scale-up; commercial manufacture; analytic development; product characterization; stability testing; and quality assurance and quality control. “Manufactured” and “Manufacturing” have their correlative meanings.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color w:val="auto"/>
        </w:rPr>
        <w:t>Manufacturing Assistance</w:t>
      </w:r>
      <w:r>
        <w:rPr>
          <w:rFonts w:ascii="Times New Roman" w:cs="Times New Roman" w:eastAsia="Times New Roman" w:hAnsi="Times New Roman"/>
          <w:sz w:val="18"/>
          <w:szCs w:val="18"/>
          <w:color w:val="auto"/>
        </w:rPr>
        <w:t>” is defined in Section 3.1.2 (Assistance Periods).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color w:val="auto"/>
        </w:rPr>
        <w:t>Maze</w:t>
      </w:r>
      <w:r>
        <w:rPr>
          <w:rFonts w:ascii="Times New Roman" w:cs="Times New Roman" w:eastAsia="Times New Roman" w:hAnsi="Times New Roman"/>
          <w:sz w:val="18"/>
          <w:szCs w:val="18"/>
          <w:color w:val="auto"/>
        </w:rPr>
        <w:t>” is defined in the preamble to this Agreement.</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65" w:right="479" w:bottom="1440" w:gutter="0" w:footer="0" w:header="0"/>
        </w:sectPr>
      </w:pPr>
    </w:p>
    <w:bookmarkStart w:id="566" w:name="page567"/>
    <w:bookmarkEnd w:id="566"/>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1.123 “</w:t>
      </w:r>
      <w:r>
        <w:rPr>
          <w:rFonts w:ascii="Times New Roman" w:cs="Times New Roman" w:eastAsia="Times New Roman" w:hAnsi="Times New Roman"/>
          <w:sz w:val="18"/>
          <w:szCs w:val="18"/>
          <w:b w:val="1"/>
          <w:bCs w:val="1"/>
          <w:color w:val="auto"/>
        </w:rPr>
        <w:t>Maze Background Know-How</w:t>
      </w:r>
      <w:r>
        <w:rPr>
          <w:rFonts w:ascii="Times New Roman" w:cs="Times New Roman" w:eastAsia="Times New Roman" w:hAnsi="Times New Roman"/>
          <w:sz w:val="18"/>
          <w:szCs w:val="18"/>
          <w:color w:val="auto"/>
        </w:rPr>
        <w:t xml:space="preserve">” means any Background Know-How that is Controlled by Maze or any of its Affiliates as of the Effective Date or thereafter during the Term. For clarity,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1.124 “</w:t>
      </w:r>
      <w:r>
        <w:rPr>
          <w:rFonts w:ascii="Times New Roman" w:cs="Times New Roman" w:eastAsia="Times New Roman" w:hAnsi="Times New Roman"/>
          <w:sz w:val="18"/>
          <w:szCs w:val="18"/>
          <w:b w:val="1"/>
          <w:bCs w:val="1"/>
          <w:color w:val="auto"/>
        </w:rPr>
        <w:t>Maze CMO</w:t>
      </w:r>
      <w:r>
        <w:rPr>
          <w:rFonts w:ascii="Times New Roman" w:cs="Times New Roman" w:eastAsia="Times New Roman" w:hAnsi="Times New Roman"/>
          <w:sz w:val="18"/>
          <w:szCs w:val="18"/>
          <w:color w:val="auto"/>
        </w:rPr>
        <w:t>” means any Third Party contract manufacturing organization or other contractor involved in the Manufacture of Licensed Compounds or Licensed Products, whether prior to or following the Execution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1.125 “</w:t>
      </w:r>
      <w:r>
        <w:rPr>
          <w:rFonts w:ascii="Times New Roman" w:cs="Times New Roman" w:eastAsia="Times New Roman" w:hAnsi="Times New Roman"/>
          <w:sz w:val="18"/>
          <w:szCs w:val="18"/>
          <w:b w:val="1"/>
          <w:bCs w:val="1"/>
          <w:color w:val="auto"/>
        </w:rPr>
        <w:t>Maze Existing Mark</w:t>
      </w:r>
      <w:r>
        <w:rPr>
          <w:rFonts w:ascii="Times New Roman" w:cs="Times New Roman" w:eastAsia="Times New Roman" w:hAnsi="Times New Roman"/>
          <w:sz w:val="18"/>
          <w:szCs w:val="18"/>
          <w:color w:val="auto"/>
        </w:rPr>
        <w:t>” is defined in Section 8.5 (Licensed Product Marks).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1.126 </w:t>
      </w:r>
      <w:r>
        <w:rPr>
          <w:rFonts w:ascii="Times New Roman" w:cs="Times New Roman" w:eastAsia="Times New Roman" w:hAnsi="Times New Roman"/>
          <w:sz w:val="18"/>
          <w:szCs w:val="18"/>
          <w:b w:val="1"/>
          <w:bCs w:val="1"/>
          <w:color w:val="auto"/>
        </w:rPr>
        <w:t>“Maze Indemnitee</w:t>
      </w:r>
      <w:r>
        <w:rPr>
          <w:rFonts w:ascii="Times New Roman" w:cs="Times New Roman" w:eastAsia="Times New Roman" w:hAnsi="Times New Roman"/>
          <w:sz w:val="18"/>
          <w:szCs w:val="18"/>
          <w:color w:val="auto"/>
        </w:rPr>
        <w:t>” is defined in Section 11.1.1 (Indemnification by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color w:val="auto"/>
        </w:rPr>
        <w:t>Maze License</w:t>
      </w:r>
      <w:r>
        <w:rPr>
          <w:rFonts w:ascii="Times New Roman" w:cs="Times New Roman" w:eastAsia="Times New Roman" w:hAnsi="Times New Roman"/>
          <w:sz w:val="18"/>
          <w:szCs w:val="18"/>
          <w:color w:val="auto"/>
        </w:rPr>
        <w:t>” is defined in Section 2.1.2 (License to Maze).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1.128 “</w:t>
      </w:r>
      <w:r>
        <w:rPr>
          <w:rFonts w:ascii="Times New Roman" w:cs="Times New Roman" w:eastAsia="Times New Roman" w:hAnsi="Times New Roman"/>
          <w:sz w:val="18"/>
          <w:szCs w:val="18"/>
          <w:b w:val="1"/>
          <w:bCs w:val="1"/>
          <w:color w:val="auto"/>
        </w:rPr>
        <w:t>Maze Other Foreground IP</w:t>
      </w:r>
      <w:r>
        <w:rPr>
          <w:rFonts w:ascii="Times New Roman" w:cs="Times New Roman" w:eastAsia="Times New Roman" w:hAnsi="Times New Roman"/>
          <w:sz w:val="18"/>
          <w:szCs w:val="18"/>
          <w:color w:val="auto"/>
        </w:rPr>
        <w:t>” means Maze Other Foreground Know-How and Maze Other Foreground Patents.</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b w:val="1"/>
          <w:bCs w:val="1"/>
          <w:color w:val="auto"/>
        </w:rPr>
        <w:t>Maze Other Foreground Know-How</w:t>
      </w:r>
      <w:r>
        <w:rPr>
          <w:rFonts w:ascii="Times New Roman" w:cs="Times New Roman" w:eastAsia="Times New Roman" w:hAnsi="Times New Roman"/>
          <w:sz w:val="18"/>
          <w:szCs w:val="18"/>
          <w:color w:val="auto"/>
        </w:rPr>
        <w:t>” means any Other Foreground Know-How that is first generated, conceived, created, invented or otherwise made during the Term solely by or on behalf of Maze or its Affiliates in the performance of activities under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1.130 “</w:t>
      </w:r>
      <w:r>
        <w:rPr>
          <w:rFonts w:ascii="Times New Roman" w:cs="Times New Roman" w:eastAsia="Times New Roman" w:hAnsi="Times New Roman"/>
          <w:sz w:val="18"/>
          <w:szCs w:val="18"/>
          <w:b w:val="1"/>
          <w:bCs w:val="1"/>
          <w:color w:val="auto"/>
        </w:rPr>
        <w:t>Maze Other Foreground Patents</w:t>
      </w:r>
      <w:r>
        <w:rPr>
          <w:rFonts w:ascii="Times New Roman" w:cs="Times New Roman" w:eastAsia="Times New Roman" w:hAnsi="Times New Roman"/>
          <w:sz w:val="18"/>
          <w:szCs w:val="18"/>
          <w:color w:val="auto"/>
        </w:rPr>
        <w:t>” means any Other Foreground Patents that Cover Maze Other Foreground Know-How. For clarity,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color w:val="auto"/>
        </w:rPr>
        <w:t>Maze Platform</w:t>
      </w:r>
      <w:r>
        <w:rPr>
          <w:rFonts w:ascii="Times New Roman" w:cs="Times New Roman" w:eastAsia="Times New Roman" w:hAnsi="Times New Roman"/>
          <w:sz w:val="18"/>
          <w:szCs w:val="18"/>
          <w:color w:val="auto"/>
        </w:rPr>
        <w:t>” means Maze’s proprietary platform known as the “Maze Compass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which consists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1.132 “</w:t>
      </w:r>
      <w:r>
        <w:rPr>
          <w:rFonts w:ascii="Times New Roman" w:cs="Times New Roman" w:eastAsia="Times New Roman" w:hAnsi="Times New Roman"/>
          <w:sz w:val="18"/>
          <w:szCs w:val="18"/>
          <w:b w:val="1"/>
          <w:bCs w:val="1"/>
          <w:color w:val="auto"/>
        </w:rPr>
        <w:t>Maze Platform Know-How</w:t>
      </w:r>
      <w:r>
        <w:rPr>
          <w:rFonts w:ascii="Times New Roman" w:cs="Times New Roman" w:eastAsia="Times New Roman" w:hAnsi="Times New Roman"/>
          <w:sz w:val="18"/>
          <w:szCs w:val="18"/>
          <w:color w:val="auto"/>
        </w:rPr>
        <w:t>” means any non-public Maze Background Know- How that (a) that solely relates to the Maze Platform, and (b) is not reasonably necessary to Research, Develop, Manufacture, Commercialize or otherwise Exploit any Licensed Compound.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1.133 “</w:t>
      </w:r>
      <w:r>
        <w:rPr>
          <w:rFonts w:ascii="Times New Roman" w:cs="Times New Roman" w:eastAsia="Times New Roman" w:hAnsi="Times New Roman"/>
          <w:sz w:val="18"/>
          <w:szCs w:val="18"/>
          <w:b w:val="1"/>
          <w:bCs w:val="1"/>
          <w:color w:val="auto"/>
        </w:rPr>
        <w:t>Maze Program Foreground IP</w:t>
      </w:r>
      <w:r>
        <w:rPr>
          <w:rFonts w:ascii="Times New Roman" w:cs="Times New Roman" w:eastAsia="Times New Roman" w:hAnsi="Times New Roman"/>
          <w:sz w:val="18"/>
          <w:szCs w:val="18"/>
          <w:color w:val="auto"/>
        </w:rPr>
        <w:t>” means Maze Program Foreground Know-How and Maze Program Foreground Patents.</w:t>
      </w:r>
    </w:p>
    <w:p>
      <w:pPr>
        <w:spacing w:after="0" w:line="225"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b w:val="1"/>
          <w:bCs w:val="1"/>
          <w:color w:val="auto"/>
        </w:rPr>
        <w:t>Maze Program Foreground Know-How</w:t>
      </w:r>
      <w:r>
        <w:rPr>
          <w:rFonts w:ascii="Times New Roman" w:cs="Times New Roman" w:eastAsia="Times New Roman" w:hAnsi="Times New Roman"/>
          <w:sz w:val="18"/>
          <w:szCs w:val="18"/>
          <w:color w:val="auto"/>
        </w:rPr>
        <w:t>” means any Program Foreground Know-How that is first generated, conceived, discovered, created, invented or otherwise made during the Term solely by or on behalf of Maze or its Affiliates in the performance of activities under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1.135 “</w:t>
      </w:r>
      <w:r>
        <w:rPr>
          <w:rFonts w:ascii="Times New Roman" w:cs="Times New Roman" w:eastAsia="Times New Roman" w:hAnsi="Times New Roman"/>
          <w:sz w:val="18"/>
          <w:szCs w:val="18"/>
          <w:b w:val="1"/>
          <w:bCs w:val="1"/>
          <w:color w:val="auto"/>
        </w:rPr>
        <w:t>Maze Program Foreground Patents</w:t>
      </w:r>
      <w:r>
        <w:rPr>
          <w:rFonts w:ascii="Times New Roman" w:cs="Times New Roman" w:eastAsia="Times New Roman" w:hAnsi="Times New Roman"/>
          <w:sz w:val="18"/>
          <w:szCs w:val="18"/>
          <w:color w:val="auto"/>
        </w:rPr>
        <w:t>” means any Program Foreground Patents that Cover Maze Program Foreground Know-How.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color w:val="auto"/>
        </w:rPr>
        <w:t>Maze-Developed Licensed Compound</w:t>
      </w:r>
      <w:r>
        <w:rPr>
          <w:rFonts w:ascii="Times New Roman" w:cs="Times New Roman" w:eastAsia="Times New Roman" w:hAnsi="Times New Roman"/>
          <w:sz w:val="18"/>
          <w:szCs w:val="18"/>
          <w:color w:val="auto"/>
        </w:rPr>
        <w:t>” is defined in Section 1.110 (Definition of Licensed Compound).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1.137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is defined in Section 1.177 (Definition of Regulatory Authority).</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5" w:right="499" w:bottom="1440" w:gutter="0" w:footer="0" w:header="0"/>
        </w:sectPr>
      </w:pPr>
    </w:p>
    <w:bookmarkStart w:id="567" w:name="page568"/>
    <w:bookmarkEnd w:id="5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1.138 “</w:t>
      </w:r>
      <w:r>
        <w:rPr>
          <w:rFonts w:ascii="Times New Roman" w:cs="Times New Roman" w:eastAsia="Times New Roman" w:hAnsi="Times New Roman"/>
          <w:sz w:val="18"/>
          <w:szCs w:val="18"/>
          <w:b w:val="1"/>
          <w:bCs w:val="1"/>
          <w:color w:val="auto"/>
        </w:rPr>
        <w:t>Milestone Event</w:t>
      </w:r>
      <w:r>
        <w:rPr>
          <w:rFonts w:ascii="Times New Roman" w:cs="Times New Roman" w:eastAsia="Times New Roman" w:hAnsi="Times New Roman"/>
          <w:sz w:val="18"/>
          <w:szCs w:val="18"/>
          <w:color w:val="auto"/>
        </w:rPr>
        <w:t>” means any Development Milestone Event or Sales Milestone Event.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1.139 “</w:t>
      </w:r>
      <w:r>
        <w:rPr>
          <w:rFonts w:ascii="Times New Roman" w:cs="Times New Roman" w:eastAsia="Times New Roman" w:hAnsi="Times New Roman"/>
          <w:sz w:val="18"/>
          <w:szCs w:val="18"/>
          <w:b w:val="1"/>
          <w:bCs w:val="1"/>
          <w:color w:val="auto"/>
        </w:rPr>
        <w:t>Milestone Payment</w:t>
      </w:r>
      <w:r>
        <w:rPr>
          <w:rFonts w:ascii="Times New Roman" w:cs="Times New Roman" w:eastAsia="Times New Roman" w:hAnsi="Times New Roman"/>
          <w:sz w:val="18"/>
          <w:szCs w:val="18"/>
          <w:color w:val="auto"/>
        </w:rPr>
        <w:t>” means any Development Milestone Payment or Sales Milestone Payment.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1.140 “</w:t>
      </w:r>
      <w:r>
        <w:rPr>
          <w:rFonts w:ascii="Times New Roman" w:cs="Times New Roman" w:eastAsia="Times New Roman" w:hAnsi="Times New Roman"/>
          <w:sz w:val="18"/>
          <w:szCs w:val="18"/>
          <w:b w:val="1"/>
          <w:bCs w:val="1"/>
          <w:color w:val="auto"/>
        </w:rPr>
        <w:t>MZE001</w:t>
      </w:r>
      <w:r>
        <w:rPr>
          <w:rFonts w:ascii="Times New Roman" w:cs="Times New Roman" w:eastAsia="Times New Roman" w:hAnsi="Times New Roman"/>
          <w:sz w:val="18"/>
          <w:szCs w:val="18"/>
          <w:color w:val="auto"/>
        </w:rPr>
        <w:t>” means the small molecule compound set forth on Schedule 1.140 (MZE001) and any Derivatives thereof.</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1.141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means, with respect to a pharmaceutical product, a New Drug Application submitted to the FDA in accordance with the FFDCA, and the rules and regulations promulgated thereunder, or any foreign counterpart to the foregoing filed with any Regulatory Authority outside the United States in conformance with the requirements of such Regulatory Authority.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1.142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color w:val="auto"/>
        </w:rPr>
        <w:t xml:space="preserve">Any of the deductions listed above that involves a payment by Company, its Affiliates or its Sublicensees will be taken as a deduction 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in which the payment is accrued by such entity. Net Sales will not include transfers or dispositions of such Licensed Product for pre-clinical or clinical purposes, compassionate use or as samples, in each case, without charge. Company’s, its Affiliates’ or its Sublicensees’ transfer of any Licensed Product to an Affiliate or Sublicensee will not result in any Net Sales unless the transferee is the last Person in the distribution chain of the Licensed Product.</w:t>
      </w:r>
    </w:p>
    <w:p>
      <w:pPr>
        <w:spacing w:after="0" w:line="16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a Licensed Product is sold in any country in the form of a Combination Product, Net Sales of such Combination Product will be adjusted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case of pharmacy incentive programs, hospital performance incentive programs, chargebacks, disease management programs, and similar programs or discounts on portfolio product offerings, all rebates, discounts and other forms of reimbursements will be allocated among products on the basis on which such rebates, discounts and other forms of reimbursements were actually granted; provided that any such allocation will be done in accordance with Applicable Law, including any price reporting laws, rules and regulations.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5" w:right="45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above, Net Sales will be calculated in accordance with applicable Accounting Standards.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1.143 “</w:t>
      </w:r>
      <w:r>
        <w:rPr>
          <w:rFonts w:ascii="Times New Roman" w:cs="Times New Roman" w:eastAsia="Times New Roman" w:hAnsi="Times New Roman"/>
          <w:sz w:val="18"/>
          <w:szCs w:val="18"/>
          <w:b w:val="1"/>
          <w:bCs w:val="1"/>
          <w:color w:val="auto"/>
        </w:rPr>
        <w:t>New License Agreement</w:t>
      </w:r>
      <w:r>
        <w:rPr>
          <w:rFonts w:ascii="Times New Roman" w:cs="Times New Roman" w:eastAsia="Times New Roman" w:hAnsi="Times New Roman"/>
          <w:sz w:val="18"/>
          <w:szCs w:val="18"/>
          <w:color w:val="auto"/>
        </w:rPr>
        <w:t>” is defined in Section 12.5.3 (Sublicense Survival).</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1.144 “</w:t>
      </w:r>
      <w:r>
        <w:rPr>
          <w:rFonts w:ascii="Times New Roman" w:cs="Times New Roman" w:eastAsia="Times New Roman" w:hAnsi="Times New Roman"/>
          <w:sz w:val="18"/>
          <w:szCs w:val="18"/>
          <w:b w:val="1"/>
          <w:bCs w:val="1"/>
          <w:color w:val="auto"/>
        </w:rPr>
        <w:t>Non-Enforcing Party</w:t>
      </w:r>
      <w:r>
        <w:rPr>
          <w:rFonts w:ascii="Times New Roman" w:cs="Times New Roman" w:eastAsia="Times New Roman" w:hAnsi="Times New Roman"/>
          <w:sz w:val="18"/>
          <w:szCs w:val="18"/>
          <w:color w:val="auto"/>
        </w:rPr>
        <w:t>” means the Party that is not responsible for enforcement with respect to a given Patent under Section 8.3.2(a) (Company First Right Patents) or Section 8.3.2(b) (Maze Other Foreground Patents), as applicable.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1.145 “</w:t>
      </w:r>
      <w:r>
        <w:rPr>
          <w:rFonts w:ascii="Times New Roman" w:cs="Times New Roman" w:eastAsia="Times New Roman" w:hAnsi="Times New Roman"/>
          <w:sz w:val="18"/>
          <w:szCs w:val="18"/>
          <w:b w:val="1"/>
          <w:bCs w:val="1"/>
          <w:color w:val="auto"/>
        </w:rPr>
        <w:t>Non-Prosecuting Party</w:t>
      </w:r>
      <w:r>
        <w:rPr>
          <w:rFonts w:ascii="Times New Roman" w:cs="Times New Roman" w:eastAsia="Times New Roman" w:hAnsi="Times New Roman"/>
          <w:sz w:val="18"/>
          <w:szCs w:val="18"/>
          <w:color w:val="auto"/>
        </w:rPr>
        <w:t>” is defined in Section 8.2.4 (Review and Comment).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1.146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is defined in Section 14.6.2 (Dispute Escalation).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1.147 “</w:t>
      </w:r>
      <w:r>
        <w:rPr>
          <w:rFonts w:ascii="Times New Roman" w:cs="Times New Roman" w:eastAsia="Times New Roman" w:hAnsi="Times New Roman"/>
          <w:sz w:val="18"/>
          <w:szCs w:val="18"/>
          <w:b w:val="1"/>
          <w:bCs w:val="1"/>
          <w:color w:val="auto"/>
        </w:rPr>
        <w:t>Other Active Ingredient</w:t>
      </w:r>
      <w:r>
        <w:rPr>
          <w:rFonts w:ascii="Times New Roman" w:cs="Times New Roman" w:eastAsia="Times New Roman" w:hAnsi="Times New Roman"/>
          <w:sz w:val="18"/>
          <w:szCs w:val="18"/>
          <w:color w:val="auto"/>
        </w:rPr>
        <w:t>” means any active pharmaceutical or biological ingredient that is not a Licensed Compound.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1.148 “</w:t>
      </w:r>
      <w:r>
        <w:rPr>
          <w:rFonts w:ascii="Times New Roman" w:cs="Times New Roman" w:eastAsia="Times New Roman" w:hAnsi="Times New Roman"/>
          <w:sz w:val="18"/>
          <w:szCs w:val="18"/>
          <w:b w:val="1"/>
          <w:bCs w:val="1"/>
          <w:color w:val="auto"/>
        </w:rPr>
        <w:t>Other Components</w:t>
      </w:r>
      <w:r>
        <w:rPr>
          <w:rFonts w:ascii="Times New Roman" w:cs="Times New Roman" w:eastAsia="Times New Roman" w:hAnsi="Times New Roman"/>
          <w:sz w:val="18"/>
          <w:szCs w:val="18"/>
          <w:color w:val="auto"/>
        </w:rPr>
        <w:t>” means any Other Active Ingredients, diagnostic tools, devices, excipients, delivery systems or services.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1.149 “</w:t>
      </w:r>
      <w:r>
        <w:rPr>
          <w:rFonts w:ascii="Times New Roman" w:cs="Times New Roman" w:eastAsia="Times New Roman" w:hAnsi="Times New Roman"/>
          <w:sz w:val="18"/>
          <w:szCs w:val="18"/>
          <w:b w:val="1"/>
          <w:bCs w:val="1"/>
          <w:color w:val="auto"/>
        </w:rPr>
        <w:t>Other Foreground IP</w:t>
      </w:r>
      <w:r>
        <w:rPr>
          <w:rFonts w:ascii="Times New Roman" w:cs="Times New Roman" w:eastAsia="Times New Roman" w:hAnsi="Times New Roman"/>
          <w:sz w:val="18"/>
          <w:szCs w:val="18"/>
          <w:color w:val="auto"/>
        </w:rPr>
        <w:t>” means Other Foreground Know-How and Other Foreground Patents.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1.150 “</w:t>
      </w:r>
      <w:r>
        <w:rPr>
          <w:rFonts w:ascii="Times New Roman" w:cs="Times New Roman" w:eastAsia="Times New Roman" w:hAnsi="Times New Roman"/>
          <w:sz w:val="18"/>
          <w:szCs w:val="18"/>
          <w:b w:val="1"/>
          <w:bCs w:val="1"/>
          <w:color w:val="auto"/>
        </w:rPr>
        <w:t>Other Foreground Know-How</w:t>
      </w:r>
      <w:r>
        <w:rPr>
          <w:rFonts w:ascii="Times New Roman" w:cs="Times New Roman" w:eastAsia="Times New Roman" w:hAnsi="Times New Roman"/>
          <w:sz w:val="18"/>
          <w:szCs w:val="18"/>
          <w:color w:val="auto"/>
        </w:rPr>
        <w:t>” means any Foreground Know-How that is not Program Foreground Know-How.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1.151 “</w:t>
      </w:r>
      <w:r>
        <w:rPr>
          <w:rFonts w:ascii="Times New Roman" w:cs="Times New Roman" w:eastAsia="Times New Roman" w:hAnsi="Times New Roman"/>
          <w:sz w:val="18"/>
          <w:szCs w:val="18"/>
          <w:b w:val="1"/>
          <w:bCs w:val="1"/>
          <w:color w:val="auto"/>
        </w:rPr>
        <w:t>Other Foreground Patents</w:t>
      </w:r>
      <w:r>
        <w:rPr>
          <w:rFonts w:ascii="Times New Roman" w:cs="Times New Roman" w:eastAsia="Times New Roman" w:hAnsi="Times New Roman"/>
          <w:sz w:val="18"/>
          <w:szCs w:val="18"/>
          <w:color w:val="auto"/>
        </w:rPr>
        <w:t>” means any Foreground Patents that are not Program Foreground Patents.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1.152 “</w:t>
      </w:r>
      <w:r>
        <w:rPr>
          <w:rFonts w:ascii="Times New Roman" w:cs="Times New Roman" w:eastAsia="Times New Roman" w:hAnsi="Times New Roman"/>
          <w:sz w:val="18"/>
          <w:szCs w:val="18"/>
          <w:b w:val="1"/>
          <w:bCs w:val="1"/>
          <w:color w:val="auto"/>
        </w:rPr>
        <w:t>Out-of-Pocket Costs</w:t>
      </w:r>
      <w:r>
        <w:rPr>
          <w:rFonts w:ascii="Times New Roman" w:cs="Times New Roman" w:eastAsia="Times New Roman" w:hAnsi="Times New Roman"/>
          <w:sz w:val="18"/>
          <w:szCs w:val="18"/>
          <w:color w:val="auto"/>
        </w:rPr>
        <w:t>” means, with respect to a Party, costs and expenses paid by such Party or its Affiliates to Third Parties (or payable to Third Parties and accrued in accordance with Accounting Standards), other than employees of such Party or its Affiliates.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1.153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xml:space="preserve">” means that date that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Execution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1.154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1.155 “</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means: (a) any patent or patent application in any country or supranational jurisdiction worldwide, including any provisional patent application; (b) any application claiming priority to any such patent or patent application or any substitution, divisional, continuation, continuation-in-part, reissue, renewal, registration, confirmation or the like of any such patent or patent application; or (c) any extension or restoration by any existing or future extension or restoration mechanism, including revalidation, reissue, re-examination or extension, including any supplementary protection certificate of any of the foregoing.</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1.156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means a Party receiving a payment under this Agreement.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9" w:right="499" w:bottom="1440" w:gutter="0" w:footer="0" w:header="0"/>
        </w:sectPr>
      </w:pPr>
    </w:p>
    <w:bookmarkStart w:id="569" w:name="page570"/>
    <w:bookmarkEnd w:id="56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1.157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means a Party owing or making a payment under this Agreement.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1.158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partnership, joint venture, limited liability company, corporation, firm, trust, association, unincorporated organization, Governmental Authority or any other entity not specifically listed herein.</w:t>
      </w:r>
    </w:p>
    <w:p>
      <w:pPr>
        <w:spacing w:after="0" w:line="155"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1.159 “</w:t>
      </w:r>
      <w:r>
        <w:rPr>
          <w:rFonts w:ascii="Times New Roman" w:cs="Times New Roman" w:eastAsia="Times New Roman" w:hAnsi="Times New Roman"/>
          <w:sz w:val="18"/>
          <w:szCs w:val="18"/>
          <w:b w:val="1"/>
          <w:bCs w:val="1"/>
          <w:color w:val="auto"/>
        </w:rPr>
        <w:t>Phase 1 Clinical Trial</w:t>
      </w:r>
      <w:r>
        <w:rPr>
          <w:rFonts w:ascii="Times New Roman" w:cs="Times New Roman" w:eastAsia="Times New Roman" w:hAnsi="Times New Roman"/>
          <w:sz w:val="18"/>
          <w:szCs w:val="18"/>
          <w:color w:val="auto"/>
        </w:rPr>
        <w:t>” means a Clinical Trial which provides for the first introduction into humans of a product, conducted in normal volunteers or patients to get information on product safety, tolerability, immunogenicity, pharmacological activity or pharmacokinetics, as more fully defined in 21 C.F.R. § 312.21(a) (or the foreign equivalent thereof).</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1.160 “</w:t>
      </w:r>
      <w:r>
        <w:rPr>
          <w:rFonts w:ascii="Times New Roman" w:cs="Times New Roman" w:eastAsia="Times New Roman" w:hAnsi="Times New Roman"/>
          <w:sz w:val="18"/>
          <w:szCs w:val="18"/>
          <w:b w:val="1"/>
          <w:bCs w:val="1"/>
          <w:color w:val="auto"/>
        </w:rPr>
        <w:t>Phase 1/2 Clinical Trial</w:t>
      </w:r>
      <w:r>
        <w:rPr>
          <w:rFonts w:ascii="Times New Roman" w:cs="Times New Roman" w:eastAsia="Times New Roman" w:hAnsi="Times New Roman"/>
          <w:sz w:val="18"/>
          <w:szCs w:val="18"/>
          <w:color w:val="auto"/>
        </w:rPr>
        <w:t>” means a Clinical Trial that combines both a Phase 1 Clinical Trial and a Phase 2 Clinical Trial into a single protocol, where the Phase 1 Clinical Trial portion is performed first to: (a) establish initial safety, tolerability, pharmacokinetic and pharmacodynamic information for the Licensed Product as a monotherapy or in combination with another agent; or (b) determine the maximum tolerable dose of such Licensed Product in subjects, and the Phase 2 Clinical Trial portion is performed second to further evaluate safety or efficacy of such Licensed Product as a monotherapy or in combination with another agent in subjects treated with a selected dose.</w:t>
      </w:r>
    </w:p>
    <w:p>
      <w:pPr>
        <w:spacing w:after="0" w:line="17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1.161 “</w:t>
      </w:r>
      <w:r>
        <w:rPr>
          <w:rFonts w:ascii="Times New Roman" w:cs="Times New Roman" w:eastAsia="Times New Roman" w:hAnsi="Times New Roman"/>
          <w:sz w:val="18"/>
          <w:szCs w:val="18"/>
          <w:b w:val="1"/>
          <w:bCs w:val="1"/>
          <w:color w:val="auto"/>
        </w:rPr>
        <w:t>Phase 2 Clinical Trial</w:t>
      </w:r>
      <w:r>
        <w:rPr>
          <w:rFonts w:ascii="Times New Roman" w:cs="Times New Roman" w:eastAsia="Times New Roman" w:hAnsi="Times New Roman"/>
          <w:sz w:val="18"/>
          <w:szCs w:val="18"/>
          <w:color w:val="auto"/>
        </w:rPr>
        <w:t>” means a single randomized, placebo or active controlled Clinical Trial, the principal purposes of which are the evaluation of the efficacy of such product for a particular indication in the target patient population and a determination of the common side effects and risks associated with the product in the dosage range to be prescribed and to obtain sufficient information about the efficacy for such pharmaceutical or biological product in the disease or condition being studied to permit the design and dose of such product in a Phase 3 Clinical Trial, and otherwise consistent with 21 C.F.R. §312.21(b) (or the foreign equivalent thereof). For purposes of this Agreement, “Phase 2 Clinical Trial” will exclude in all cases any Phase 1/2 Clinical Trial.</w:t>
      </w:r>
    </w:p>
    <w:p>
      <w:pPr>
        <w:spacing w:after="0" w:line="182"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1.162 “</w:t>
      </w:r>
      <w:r>
        <w:rPr>
          <w:rFonts w:ascii="Times New Roman" w:cs="Times New Roman" w:eastAsia="Times New Roman" w:hAnsi="Times New Roman"/>
          <w:sz w:val="18"/>
          <w:szCs w:val="18"/>
          <w:b w:val="1"/>
          <w:bCs w:val="1"/>
          <w:color w:val="auto"/>
        </w:rPr>
        <w:t>Phase 3 Clinical Trial</w:t>
      </w:r>
      <w:r>
        <w:rPr>
          <w:rFonts w:ascii="Times New Roman" w:cs="Times New Roman" w:eastAsia="Times New Roman" w:hAnsi="Times New Roman"/>
          <w:sz w:val="18"/>
          <w:szCs w:val="18"/>
          <w:color w:val="auto"/>
        </w:rPr>
        <w:t>” means a controlled Clinical Trial of the efficacy and safety of a product, which is prospectively designed to demonstrate statistically whether such product is effective and safe for use in a particular indication in a manner sufficient to file for a MAA for such Licensed Product without the need for additional Clinical Trials, and otherwise consistent with the requirements of US 21 C.F.R. § 312.21(c) (or the foreign equivalent thereof).</w:t>
      </w:r>
    </w:p>
    <w:p>
      <w:pPr>
        <w:spacing w:after="0" w:line="176"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1.163 “</w:t>
      </w:r>
      <w:r>
        <w:rPr>
          <w:rFonts w:ascii="Times New Roman" w:cs="Times New Roman" w:eastAsia="Times New Roman" w:hAnsi="Times New Roman"/>
          <w:sz w:val="18"/>
          <w:szCs w:val="18"/>
          <w:b w:val="1"/>
          <w:bCs w:val="1"/>
          <w:color w:val="auto"/>
        </w:rPr>
        <w:t>Pivotal Clinical Trial</w:t>
      </w:r>
      <w:r>
        <w:rPr>
          <w:rFonts w:ascii="Times New Roman" w:cs="Times New Roman" w:eastAsia="Times New Roman" w:hAnsi="Times New Roman"/>
          <w:sz w:val="18"/>
          <w:szCs w:val="18"/>
          <w:color w:val="auto"/>
        </w:rPr>
        <w:t xml:space="preserve">” means a controlled Clinical Trial that is prospectively designed to demonstrate statistically that a product is safe and effective for use in a particular indication in a manner sufficient to evaluate the overall benefit-risk relationship of the product and to provide an adequate basis for physician labeling, and which, at the time of the initiation of such Clinical Trial, is intended and expected to be the primary basis for Regulatory Approval by the MHRA, EMA, the PMDA or the FDA of such product for such indication, based on discussions with the relevant Regulatory Authority. For clarity,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1.164 “</w:t>
      </w:r>
      <w:r>
        <w:rPr>
          <w:rFonts w:ascii="Times New Roman" w:cs="Times New Roman" w:eastAsia="Times New Roman" w:hAnsi="Times New Roman"/>
          <w:sz w:val="18"/>
          <w:szCs w:val="18"/>
          <w:b w:val="1"/>
          <w:bCs w:val="1"/>
          <w:color w:val="auto"/>
        </w:rPr>
        <w:t>PMDA</w:t>
      </w:r>
      <w:r>
        <w:rPr>
          <w:rFonts w:ascii="Times New Roman" w:cs="Times New Roman" w:eastAsia="Times New Roman" w:hAnsi="Times New Roman"/>
          <w:sz w:val="18"/>
          <w:szCs w:val="18"/>
          <w:color w:val="auto"/>
        </w:rPr>
        <w:t>” is defined in Section 1.177 (Definition of Regulatory Authority).</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0"/>
          </w:cols>
          <w:pgMar w:left="440" w:top="265" w:right="579" w:bottom="1440" w:gutter="0" w:footer="0" w:header="0"/>
        </w:sectPr>
      </w:pPr>
    </w:p>
    <w:bookmarkStart w:id="570" w:name="page571"/>
    <w:bookmarkEnd w:id="570"/>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1.165 “</w:t>
      </w:r>
      <w:r>
        <w:rPr>
          <w:rFonts w:ascii="Times New Roman" w:cs="Times New Roman" w:eastAsia="Times New Roman" w:hAnsi="Times New Roman"/>
          <w:sz w:val="18"/>
          <w:szCs w:val="18"/>
          <w:b w:val="1"/>
          <w:bCs w:val="1"/>
          <w:color w:val="auto"/>
        </w:rPr>
        <w:t>Pompe disease</w:t>
      </w:r>
      <w:r>
        <w:rPr>
          <w:rFonts w:ascii="Times New Roman" w:cs="Times New Roman" w:eastAsia="Times New Roman" w:hAnsi="Times New Roman"/>
          <w:sz w:val="18"/>
          <w:szCs w:val="18"/>
          <w:color w:val="auto"/>
        </w:rPr>
        <w:t>” means Glycogen storage disease type II or Pompe disease (OMIM Entry # 232300), is a lysosomal storage disease characterized by the accumulation of glycogen primarily in muscle tissue.</w:t>
      </w:r>
    </w:p>
    <w:p>
      <w:pPr>
        <w:spacing w:after="0" w:line="15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1.166 “</w:t>
      </w:r>
      <w:r>
        <w:rPr>
          <w:rFonts w:ascii="Times New Roman" w:cs="Times New Roman" w:eastAsia="Times New Roman" w:hAnsi="Times New Roman"/>
          <w:sz w:val="18"/>
          <w:szCs w:val="18"/>
          <w:b w:val="1"/>
          <w:bCs w:val="1"/>
          <w:color w:val="auto"/>
        </w:rPr>
        <w:t>Post-Termination Royalty Term</w:t>
      </w:r>
      <w:r>
        <w:rPr>
          <w:rFonts w:ascii="Times New Roman" w:cs="Times New Roman" w:eastAsia="Times New Roman" w:hAnsi="Times New Roman"/>
          <w:sz w:val="18"/>
          <w:szCs w:val="18"/>
          <w:color w:val="auto"/>
        </w:rPr>
        <w:t xml:space="preserve">” means, on a Licensed Product-by-Licensed Product and country-by-country basis, the period of time that commences upon the First Commercial Sale by Maze (as such term is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Maze and a Licensed Product) of such Licensed Product in such country and ends upon the latest of: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1.167 “</w:t>
      </w:r>
      <w:r>
        <w:rPr>
          <w:rFonts w:ascii="Times New Roman" w:cs="Times New Roman" w:eastAsia="Times New Roman" w:hAnsi="Times New Roman"/>
          <w:sz w:val="18"/>
          <w:szCs w:val="18"/>
          <w:b w:val="1"/>
          <w:bCs w:val="1"/>
          <w:color w:val="auto"/>
        </w:rPr>
        <w:t>Pricing Approval</w:t>
      </w:r>
      <w:r>
        <w:rPr>
          <w:rFonts w:ascii="Times New Roman" w:cs="Times New Roman" w:eastAsia="Times New Roman" w:hAnsi="Times New Roman"/>
          <w:sz w:val="18"/>
          <w:szCs w:val="18"/>
          <w:color w:val="auto"/>
        </w:rPr>
        <w:t>” means any approval, agreement, determination or decision establishing prices that can be charged to consumers for a pharmaceutical or biological product or that will be reimbursed by Governmental Authorities for a pharmaceutical or biological product, in each case, in a country where Governmental Authorities approve or determine pricing for pharmaceutical or biological products for reimbursement or otherwise.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1.168 “</w:t>
      </w:r>
      <w:r>
        <w:rPr>
          <w:rFonts w:ascii="Times New Roman" w:cs="Times New Roman" w:eastAsia="Times New Roman" w:hAnsi="Times New Roman"/>
          <w:sz w:val="18"/>
          <w:szCs w:val="18"/>
          <w:b w:val="1"/>
          <w:bCs w:val="1"/>
          <w:color w:val="auto"/>
        </w:rPr>
        <w:t>Program Foreground IP</w:t>
      </w:r>
      <w:r>
        <w:rPr>
          <w:rFonts w:ascii="Times New Roman" w:cs="Times New Roman" w:eastAsia="Times New Roman" w:hAnsi="Times New Roman"/>
          <w:sz w:val="18"/>
          <w:szCs w:val="18"/>
          <w:color w:val="auto"/>
        </w:rPr>
        <w:t>” means Program Foreground Know-How and Program Foreground Patents.</w:t>
      </w:r>
    </w:p>
    <w:p>
      <w:pPr>
        <w:spacing w:after="0" w:line="22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1.169 “</w:t>
      </w:r>
      <w:r>
        <w:rPr>
          <w:rFonts w:ascii="Times New Roman" w:cs="Times New Roman" w:eastAsia="Times New Roman" w:hAnsi="Times New Roman"/>
          <w:sz w:val="18"/>
          <w:szCs w:val="18"/>
          <w:b w:val="1"/>
          <w:bCs w:val="1"/>
          <w:color w:val="auto"/>
        </w:rPr>
        <w:t>Program Foreground Know-How</w:t>
      </w:r>
      <w:r>
        <w:rPr>
          <w:rFonts w:ascii="Times New Roman" w:cs="Times New Roman" w:eastAsia="Times New Roman" w:hAnsi="Times New Roman"/>
          <w:sz w:val="18"/>
          <w:szCs w:val="18"/>
          <w:color w:val="auto"/>
        </w:rPr>
        <w:t>” means any Foreground Know-How that is reasonably related to the Research, Development, Manufacture, Commercialization or other Exploitation of any (a) Licensed Compound or (b) Licensed Product.</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1.170 “</w:t>
      </w:r>
      <w:r>
        <w:rPr>
          <w:rFonts w:ascii="Times New Roman" w:cs="Times New Roman" w:eastAsia="Times New Roman" w:hAnsi="Times New Roman"/>
          <w:sz w:val="18"/>
          <w:szCs w:val="18"/>
          <w:b w:val="1"/>
          <w:bCs w:val="1"/>
          <w:color w:val="auto"/>
        </w:rPr>
        <w:t>Program Foreground Patents</w:t>
      </w:r>
      <w:r>
        <w:rPr>
          <w:rFonts w:ascii="Times New Roman" w:cs="Times New Roman" w:eastAsia="Times New Roman" w:hAnsi="Times New Roman"/>
          <w:sz w:val="18"/>
          <w:szCs w:val="18"/>
          <w:color w:val="auto"/>
        </w:rPr>
        <w:t>” means any Foreground Patents that (a) Cover Program Foreground Know-How or (b) are otherwise reasonably related to the Research, Development, Manufacture, Commercialization or other Exploitation of any (i) Licensed Compound or (ii) Licensed Product.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1.171 “</w:t>
      </w:r>
      <w:r>
        <w:rPr>
          <w:rFonts w:ascii="Times New Roman" w:cs="Times New Roman" w:eastAsia="Times New Roman" w:hAnsi="Times New Roman"/>
          <w:sz w:val="18"/>
          <w:szCs w:val="18"/>
          <w:b w:val="1"/>
          <w:bCs w:val="1"/>
          <w:color w:val="auto"/>
        </w:rPr>
        <w:t>Prosecuting Party</w:t>
      </w:r>
      <w:r>
        <w:rPr>
          <w:rFonts w:ascii="Times New Roman" w:cs="Times New Roman" w:eastAsia="Times New Roman" w:hAnsi="Times New Roman"/>
          <w:sz w:val="18"/>
          <w:szCs w:val="18"/>
          <w:color w:val="auto"/>
        </w:rPr>
        <w:t>” is defined in Section 8.2.4 (Review and Comment).</w:t>
      </w:r>
    </w:p>
    <w:p>
      <w:pPr>
        <w:spacing w:after="0" w:line="225"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1.172 “</w:t>
      </w:r>
      <w:r>
        <w:rPr>
          <w:rFonts w:ascii="Times New Roman" w:cs="Times New Roman" w:eastAsia="Times New Roman" w:hAnsi="Times New Roman"/>
          <w:sz w:val="18"/>
          <w:szCs w:val="18"/>
          <w:b w:val="1"/>
          <w:bCs w:val="1"/>
          <w:color w:val="auto"/>
        </w:rPr>
        <w:t>Prosecution and Maintenance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Prosecute and Maintain</w:t>
      </w:r>
      <w:r>
        <w:rPr>
          <w:rFonts w:ascii="Times New Roman" w:cs="Times New Roman" w:eastAsia="Times New Roman" w:hAnsi="Times New Roman"/>
          <w:sz w:val="18"/>
          <w:szCs w:val="18"/>
          <w:color w:val="auto"/>
        </w:rPr>
        <w:t xml:space="preserve">” means, with regard to a Patent, the preparation, filing, prosecution and maintenance of such Patent, as well as re-examinations, reissues and appeals with respect to such Patent, together with the initiation or defense of interferences, oppositions,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derivations, re-examinations, post-grant proceedings and other similar proceedings (or other defense proceedings with respect to such Patent, but excluding the defense of challenges to such Patent as a counterclaim in an infringement proceeding) with respect to the particular Patent, and any appeals therefrom, and actions to obtain patent term extensions and supplementary protection certificates with respect to such Patent and the like. For clarification, “Prosecution and Maintenance” or “Prosecute and Maintain” will not include any other enforcement actions taken with respect to a Patent.</w:t>
      </w:r>
    </w:p>
    <w:p>
      <w:pPr>
        <w:spacing w:after="0" w:line="183"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1.173 “</w:t>
      </w:r>
      <w:r>
        <w:rPr>
          <w:rFonts w:ascii="Times New Roman" w:cs="Times New Roman" w:eastAsia="Times New Roman" w:hAnsi="Times New Roman"/>
          <w:sz w:val="18"/>
          <w:szCs w:val="18"/>
          <w:b w:val="1"/>
          <w:bCs w:val="1"/>
          <w:color w:val="auto"/>
        </w:rPr>
        <w:t>Public Official or Entity</w:t>
      </w:r>
      <w:r>
        <w:rPr>
          <w:rFonts w:ascii="Times New Roman" w:cs="Times New Roman" w:eastAsia="Times New Roman" w:hAnsi="Times New Roman"/>
          <w:sz w:val="18"/>
          <w:szCs w:val="18"/>
          <w:color w:val="auto"/>
        </w:rPr>
        <w:t xml:space="preserve">” means: (a) any officer, employee (including physician, hospital administrator, or other healthcare professional), agent, representative, department, agency,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official, representative, corporate entity, instrumentality or subdivision of any government, military or public international organization, including any ministry or department of health or any state-owned or affiliated company or hospital; (b) any candidate for political office, any political party or any official of any political party; or (c) any other person acting in an official capacity for or on behalf of any of the foregoing.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5" w:right="479" w:bottom="1440" w:gutter="0" w:footer="0" w:header="0"/>
        </w:sectPr>
      </w:pPr>
    </w:p>
    <w:bookmarkStart w:id="571" w:name="page572"/>
    <w:bookmarkEnd w:id="57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1.174 “</w:t>
      </w:r>
      <w:r>
        <w:rPr>
          <w:rFonts w:ascii="Times New Roman" w:cs="Times New Roman" w:eastAsia="Times New Roman" w:hAnsi="Times New Roman"/>
          <w:sz w:val="18"/>
          <w:szCs w:val="18"/>
          <w:b w:val="1"/>
          <w:bCs w:val="1"/>
          <w:color w:val="auto"/>
        </w:rPr>
        <w:t>Publication</w:t>
      </w:r>
      <w:r>
        <w:rPr>
          <w:rFonts w:ascii="Times New Roman" w:cs="Times New Roman" w:eastAsia="Times New Roman" w:hAnsi="Times New Roman"/>
          <w:sz w:val="18"/>
          <w:szCs w:val="18"/>
          <w:color w:val="auto"/>
        </w:rPr>
        <w:t>” is defined in Section 9.8 (Publications).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1.175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is defined in Section 9.1 (Nondisclosure).</w:t>
      </w:r>
    </w:p>
    <w:p>
      <w:pPr>
        <w:spacing w:after="0" w:line="225" w:lineRule="exact"/>
        <w:rPr>
          <w:sz w:val="20"/>
          <w:szCs w:val="20"/>
          <w:color w:val="auto"/>
        </w:rPr>
      </w:pPr>
    </w:p>
    <w:p>
      <w:pPr>
        <w:ind w:right="380" w:firstLine="440"/>
        <w:spacing w:after="0" w:line="262" w:lineRule="auto"/>
        <w:rPr>
          <w:sz w:val="20"/>
          <w:szCs w:val="20"/>
          <w:color w:val="auto"/>
        </w:rPr>
      </w:pPr>
      <w:r>
        <w:rPr>
          <w:rFonts w:ascii="Times New Roman" w:cs="Times New Roman" w:eastAsia="Times New Roman" w:hAnsi="Times New Roman"/>
          <w:sz w:val="18"/>
          <w:szCs w:val="18"/>
          <w:color w:val="auto"/>
        </w:rPr>
        <w:t>1.176 “</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all approvals, licenses and authorizations of the applicable Regulatory Authority necessary for the marketing and sale of a pharmaceutical or biological product for a particular indication in a country or other jurisdiction (including separate Pricing Approvals, as necessary to maximize the commercial potential of the applicable Licensed Product), and including the approvals by the applicable Regulatory Authority of any expansion or modification of the label for such indication.</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1.177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national or supranational Governmental Authority, including the U.S. Food and Drug Administration (and any successor entity thereto)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in the U.S., the European Medicines Agency (and any successor entity thereto)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in the EU, the Medicines and Healthcare products Regulatory Agency (and any successor entity thereto) (the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in the United Kingdom, the Pharmaceutical and Medical Device Agency in Japan (and any successor entity thereto) (the “</w:t>
      </w:r>
      <w:r>
        <w:rPr>
          <w:rFonts w:ascii="Times New Roman" w:cs="Times New Roman" w:eastAsia="Times New Roman" w:hAnsi="Times New Roman"/>
          <w:sz w:val="18"/>
          <w:szCs w:val="18"/>
          <w:b w:val="1"/>
          <w:bCs w:val="1"/>
          <w:color w:val="auto"/>
        </w:rPr>
        <w:t>PMDA</w:t>
      </w:r>
      <w:r>
        <w:rPr>
          <w:rFonts w:ascii="Times New Roman" w:cs="Times New Roman" w:eastAsia="Times New Roman" w:hAnsi="Times New Roman"/>
          <w:sz w:val="18"/>
          <w:szCs w:val="18"/>
          <w:color w:val="auto"/>
        </w:rPr>
        <w:t>”) or any health regulatory authority in any country or other jurisdiction that is a counterpart to the foregoing agencies, in each case, that holds responsibility for development, manufacture, commercialization or other exploitation of, and the granting of Regulatory Approval for, a pharmaceutical or biological product in such country or other jurisdiction.</w:t>
      </w:r>
    </w:p>
    <w:p>
      <w:pPr>
        <w:spacing w:after="0" w:line="183"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1.178 “</w:t>
      </w:r>
      <w:r>
        <w:rPr>
          <w:rFonts w:ascii="Times New Roman" w:cs="Times New Roman" w:eastAsia="Times New Roman" w:hAnsi="Times New Roman"/>
          <w:sz w:val="17"/>
          <w:szCs w:val="17"/>
          <w:b w:val="1"/>
          <w:bCs w:val="1"/>
          <w:color w:val="auto"/>
        </w:rPr>
        <w:t>Regulatory Exclusivity</w:t>
      </w:r>
      <w:r>
        <w:rPr>
          <w:rFonts w:ascii="Times New Roman" w:cs="Times New Roman" w:eastAsia="Times New Roman" w:hAnsi="Times New Roman"/>
          <w:sz w:val="17"/>
          <w:szCs w:val="17"/>
          <w:color w:val="auto"/>
        </w:rPr>
        <w:t>” means, with respect to a Licensed Product, any rights or protections which are recognized, afforded or granted by the FDA or any other Regulatory Authority in any country or other jurisdiction in the Territory, in association with the Regulatory Approval of the Licensed Product, providing the Licensed Product: (a) a period of marketing exclusivity, during which a Regulatory Authority recognizing, affording or granting such marketing exclusivity will refrain from either reviewing or approving a MAA or similar regulatory submission, submitted by a Third Party seeking to market a Generic Product of such Licensed Product; or (b) a period of data exclusivity, during which a Third Party seeking to market a Generic Product of such Licensed Product is precluded from either referencing or relying upon, without an express right of reference from the dossier holder, the Licensed Product’s clinical dossier or relying on previous Regulatory Authority findings of safety or effectiveness with respect to such Licensed Product to support the submission, review or approval of an NDA or similar regulatory submission before the applicable Regulatory Authority.</w:t>
      </w:r>
    </w:p>
    <w:p>
      <w:pPr>
        <w:spacing w:after="0" w:line="17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1.179 “</w:t>
      </w:r>
      <w:r>
        <w:rPr>
          <w:rFonts w:ascii="Times New Roman" w:cs="Times New Roman" w:eastAsia="Times New Roman" w:hAnsi="Times New Roman"/>
          <w:sz w:val="18"/>
          <w:szCs w:val="18"/>
          <w:b w:val="1"/>
          <w:bCs w:val="1"/>
          <w:color w:val="auto"/>
        </w:rPr>
        <w:t>Regulatory Materials</w:t>
      </w:r>
      <w:r>
        <w:rPr>
          <w:rFonts w:ascii="Times New Roman" w:cs="Times New Roman" w:eastAsia="Times New Roman" w:hAnsi="Times New Roman"/>
          <w:sz w:val="18"/>
          <w:szCs w:val="18"/>
          <w:color w:val="auto"/>
        </w:rPr>
        <w:t>” means the regulatory registrations, applications, authorizations and approvals (including approvals of MAAs, supplements and amendments, pre- and post-approvals, Pricing Approvals and labeling approvals), Regulatory Approvals and other submissions that are or have been made to or with any Regulatory Authority, including drug master files, for Research, Development (including the conduct of Clinical Trials), Manufacture, Commercialization or other Exploitation of a pharmaceutical or biological product in a regulatory jurisdiction, together with all related correspondence made to or received from any Regulatory Authority and all documents referenced in the complete regulatory chronology for each NDA, MAA, IND and foreign equivalents of any of the foregoing.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5" w:right="459" w:bottom="1440" w:gutter="0" w:footer="0" w:header="0"/>
        </w:sectPr>
      </w:pPr>
    </w:p>
    <w:bookmarkStart w:id="572" w:name="page573"/>
    <w:bookmarkEnd w:id="572"/>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1.180 “</w:t>
      </w:r>
      <w:r>
        <w:rPr>
          <w:rFonts w:ascii="Times New Roman" w:cs="Times New Roman" w:eastAsia="Times New Roman" w:hAnsi="Times New Roman"/>
          <w:sz w:val="18"/>
          <w:szCs w:val="18"/>
          <w:b w:val="1"/>
          <w:bCs w:val="1"/>
          <w:color w:val="auto"/>
        </w:rPr>
        <w:t>Research</w:t>
      </w:r>
      <w:r>
        <w:rPr>
          <w:rFonts w:ascii="Times New Roman" w:cs="Times New Roman" w:eastAsia="Times New Roman" w:hAnsi="Times New Roman"/>
          <w:sz w:val="18"/>
          <w:szCs w:val="18"/>
          <w:color w:val="auto"/>
        </w:rPr>
        <w:t>” means any pre-clinical research activities (including target validation, drug discovery, identification or synthesis) with respect to a given target, pharmaceutical product, biological product, or active pharmaceutical or biological ingredient with respect to the foregoing.</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1.181 “</w:t>
      </w:r>
      <w:r>
        <w:rPr>
          <w:rFonts w:ascii="Times New Roman" w:cs="Times New Roman" w:eastAsia="Times New Roman" w:hAnsi="Times New Roman"/>
          <w:sz w:val="18"/>
          <w:szCs w:val="18"/>
          <w:b w:val="1"/>
          <w:bCs w:val="1"/>
          <w:color w:val="auto"/>
        </w:rPr>
        <w:t>Residual Knowledge</w:t>
      </w:r>
      <w:r>
        <w:rPr>
          <w:rFonts w:ascii="Times New Roman" w:cs="Times New Roman" w:eastAsia="Times New Roman" w:hAnsi="Times New Roman"/>
          <w:sz w:val="18"/>
          <w:szCs w:val="18"/>
          <w:color w:val="auto"/>
        </w:rPr>
        <w:t>” means intangible Know-How relating to the activities of the Parties with respect to the Research, Development, Manufacture, Commercialization or other Exploitation of Licensed Compounds or Licensed Products in the Field in the Territory as and to the extent set forth in this Agreement (or otherwise to this Agreement) retained in the unaided memories of any employees or contractors of a Party or any of its Affiliates or Sublicensees.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1.182 “</w:t>
      </w:r>
      <w:r>
        <w:rPr>
          <w:rFonts w:ascii="Times New Roman" w:cs="Times New Roman" w:eastAsia="Times New Roman" w:hAnsi="Times New Roman"/>
          <w:sz w:val="18"/>
          <w:szCs w:val="18"/>
          <w:b w:val="1"/>
          <w:bCs w:val="1"/>
          <w:color w:val="auto"/>
        </w:rPr>
        <w:t>Reversion Royalties</w:t>
      </w:r>
      <w:r>
        <w:rPr>
          <w:rFonts w:ascii="Times New Roman" w:cs="Times New Roman" w:eastAsia="Times New Roman" w:hAnsi="Times New Roman"/>
          <w:sz w:val="18"/>
          <w:szCs w:val="18"/>
          <w:color w:val="auto"/>
        </w:rPr>
        <w:t>” is defined in Section 12.5.5(b) (Reversion Royalties).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1.183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1.185 “</w:t>
      </w:r>
      <w:r>
        <w:rPr>
          <w:rFonts w:ascii="Times New Roman" w:cs="Times New Roman" w:eastAsia="Times New Roman" w:hAnsi="Times New Roman"/>
          <w:sz w:val="18"/>
          <w:szCs w:val="18"/>
          <w:b w:val="1"/>
          <w:bCs w:val="1"/>
          <w:color w:val="auto"/>
        </w:rPr>
        <w:t>Royalty Report</w:t>
      </w:r>
      <w:r>
        <w:rPr>
          <w:rFonts w:ascii="Times New Roman" w:cs="Times New Roman" w:eastAsia="Times New Roman" w:hAnsi="Times New Roman"/>
          <w:sz w:val="18"/>
          <w:szCs w:val="18"/>
          <w:color w:val="auto"/>
        </w:rPr>
        <w:t>” is defined in Section 7.4 (Royalty Payments and Reporting).</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1.186 “</w:t>
      </w:r>
      <w:r>
        <w:rPr>
          <w:rFonts w:ascii="Times New Roman" w:cs="Times New Roman" w:eastAsia="Times New Roman" w:hAnsi="Times New Roman"/>
          <w:sz w:val="18"/>
          <w:szCs w:val="18"/>
          <w:b w:val="1"/>
          <w:bCs w:val="1"/>
          <w:color w:val="auto"/>
        </w:rPr>
        <w:t>Royalty Term</w:t>
      </w:r>
      <w:r>
        <w:rPr>
          <w:rFonts w:ascii="Times New Roman" w:cs="Times New Roman" w:eastAsia="Times New Roman" w:hAnsi="Times New Roman"/>
          <w:sz w:val="18"/>
          <w:szCs w:val="18"/>
          <w:color w:val="auto"/>
        </w:rPr>
        <w:t>” means, on a Licensed Product-by-Licensed Product and country- by-country basis, the period of time that commences upon the First Commercial Sale of such Licensed Product in such country and ends upon the latest of: (a) the expiration of the last Valid Claim for such Licensed Product in such country, (b) the expiration of Regulatory Exclusivity for such Licensed Product in such country or (c) 11 years after the First Commercial Sale of such Licensed Product in such country.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1.187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is defined in Section 14.6.3 (Binding Arbitration).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1.188 “</w:t>
      </w:r>
      <w:r>
        <w:rPr>
          <w:rFonts w:ascii="Times New Roman" w:cs="Times New Roman" w:eastAsia="Times New Roman" w:hAnsi="Times New Roman"/>
          <w:sz w:val="18"/>
          <w:szCs w:val="18"/>
          <w:b w:val="1"/>
          <w:bCs w:val="1"/>
          <w:color w:val="auto"/>
        </w:rPr>
        <w:t>Sales Before Generic Competition</w:t>
      </w:r>
      <w:r>
        <w:rPr>
          <w:rFonts w:ascii="Times New Roman" w:cs="Times New Roman" w:eastAsia="Times New Roman" w:hAnsi="Times New Roman"/>
          <w:sz w:val="18"/>
          <w:szCs w:val="18"/>
          <w:color w:val="auto"/>
        </w:rPr>
        <w:t>” is defined in Section 7.3.5(b) (Generic Competition; Price Reduction).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1.189 “</w:t>
      </w:r>
      <w:r>
        <w:rPr>
          <w:rFonts w:ascii="Times New Roman" w:cs="Times New Roman" w:eastAsia="Times New Roman" w:hAnsi="Times New Roman"/>
          <w:sz w:val="18"/>
          <w:szCs w:val="18"/>
          <w:b w:val="1"/>
          <w:bCs w:val="1"/>
          <w:color w:val="auto"/>
        </w:rPr>
        <w:t>Sales Milestone Event</w:t>
      </w:r>
      <w:r>
        <w:rPr>
          <w:rFonts w:ascii="Times New Roman" w:cs="Times New Roman" w:eastAsia="Times New Roman" w:hAnsi="Times New Roman"/>
          <w:sz w:val="18"/>
          <w:szCs w:val="18"/>
          <w:color w:val="auto"/>
        </w:rPr>
        <w:t>” is defined in Section 7.2.2(a) (Sales Milestone Payments).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1.190 “</w:t>
      </w:r>
      <w:r>
        <w:rPr>
          <w:rFonts w:ascii="Times New Roman" w:cs="Times New Roman" w:eastAsia="Times New Roman" w:hAnsi="Times New Roman"/>
          <w:sz w:val="18"/>
          <w:szCs w:val="18"/>
          <w:b w:val="1"/>
          <w:bCs w:val="1"/>
          <w:color w:val="auto"/>
        </w:rPr>
        <w:t>Sales Milestone Payment</w:t>
      </w:r>
      <w:r>
        <w:rPr>
          <w:rFonts w:ascii="Times New Roman" w:cs="Times New Roman" w:eastAsia="Times New Roman" w:hAnsi="Times New Roman"/>
          <w:sz w:val="18"/>
          <w:szCs w:val="18"/>
          <w:color w:val="auto"/>
        </w:rPr>
        <w:t>” is defined in Section 7.2.2(a) (Sales Milestone Payments).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1.191 “</w:t>
      </w:r>
      <w:r>
        <w:rPr>
          <w:rFonts w:ascii="Times New Roman" w:cs="Times New Roman" w:eastAsia="Times New Roman" w:hAnsi="Times New Roman"/>
          <w:sz w:val="18"/>
          <w:szCs w:val="18"/>
          <w:b w:val="1"/>
          <w:bCs w:val="1"/>
          <w:color w:val="auto"/>
        </w:rPr>
        <w:t>Securities Regulator</w:t>
      </w:r>
      <w:r>
        <w:rPr>
          <w:rFonts w:ascii="Times New Roman" w:cs="Times New Roman" w:eastAsia="Times New Roman" w:hAnsi="Times New Roman"/>
          <w:sz w:val="18"/>
          <w:szCs w:val="18"/>
          <w:color w:val="auto"/>
        </w:rPr>
        <w:t>” is defined in Section 9.3.1(a) (Disclosure).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1.192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1.193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1.194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1.195 “</w:t>
      </w:r>
      <w:r>
        <w:rPr>
          <w:rFonts w:ascii="Times New Roman" w:cs="Times New Roman" w:eastAsia="Times New Roman" w:hAnsi="Times New Roman"/>
          <w:sz w:val="18"/>
          <w:szCs w:val="18"/>
          <w:b w:val="1"/>
          <w:bCs w:val="1"/>
          <w:color w:val="auto"/>
        </w:rPr>
        <w:t>Sublicensee</w:t>
      </w:r>
      <w:r>
        <w:rPr>
          <w:rFonts w:ascii="Times New Roman" w:cs="Times New Roman" w:eastAsia="Times New Roman" w:hAnsi="Times New Roman"/>
          <w:sz w:val="18"/>
          <w:szCs w:val="18"/>
          <w:color w:val="auto"/>
        </w:rPr>
        <w:t>” means, with respect to Company, a Third Party to whom Company has granted a sublicense or license in accordance with Section 2.2 (Sublicensing), either directly or indirectly, in each case, of the rights licensed to Company by Maze pursuant to this Agreement, to Research, Develop, Manufacture, Commercialize or otherwise Exploit a Licensed Compound or Licensed Product in the Field in the Territory, but excluding: (a) any Third Party acting as a distributor and (b) Maze and any of its Affiliates.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65" w:right="499" w:bottom="1440" w:gutter="0" w:footer="0" w:header="0"/>
        </w:sectPr>
      </w:pPr>
    </w:p>
    <w:bookmarkStart w:id="573" w:name="page574"/>
    <w:bookmarkEnd w:id="57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1.196 “</w:t>
      </w:r>
      <w:r>
        <w:rPr>
          <w:rFonts w:ascii="Times New Roman" w:cs="Times New Roman" w:eastAsia="Times New Roman" w:hAnsi="Times New Roman"/>
          <w:sz w:val="18"/>
          <w:szCs w:val="18"/>
          <w:b w:val="1"/>
          <w:bCs w:val="1"/>
          <w:color w:val="auto"/>
        </w:rPr>
        <w:t>Targeted Approval</w:t>
      </w:r>
      <w:r>
        <w:rPr>
          <w:rFonts w:ascii="Times New Roman" w:cs="Times New Roman" w:eastAsia="Times New Roman" w:hAnsi="Times New Roman"/>
          <w:sz w:val="18"/>
          <w:szCs w:val="18"/>
          <w:color w:val="auto"/>
        </w:rPr>
        <w:t>” means (a) the first Regulatory Approval for a Licensed Product providing in the indications section of the Approved Labeling for the use of the Licensed Product as a monotherapy for the treatment of LOPD, or (b) the first Regulatory Approval for a Licensed Product providing in the indications section of the Approved Labeling for the use of the Licensed Product as an add-on therapy for the treatment of LOPD when used in a treatment regimen together with another pharmaceutical drug that is also indicated for the treatment of LOPD. For the avoidance of doubt, if the other necessary conditions provided in the foregoing are met, then the Parties acknowledge and agree that the foregoing can be satisfied if the indications section of the Approved Labeling for the use of the Licensed Product does not differentiate between or expressly identify late-onset and infantile-onset forms of Pompe disease and thereby indicates approved labeled use for all forms of the disease, including LOPD.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1.197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is defined in Section 7.5.3(a) (Generally).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1.198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is defined in Section 12.1 (Term; Expiration).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1.199 “</w:t>
      </w: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18"/>
          <w:szCs w:val="18"/>
          <w:color w:val="auto"/>
        </w:rPr>
        <w:t>” means worldwide.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1.200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Maze or Company that is not an Affiliate of Maze or of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1.201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means any and all suits, claims, actions, proceedings or demands brought by a Third Party.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1.202 “</w:t>
      </w:r>
      <w:r>
        <w:rPr>
          <w:rFonts w:ascii="Times New Roman" w:cs="Times New Roman" w:eastAsia="Times New Roman" w:hAnsi="Times New Roman"/>
          <w:sz w:val="18"/>
          <w:szCs w:val="18"/>
          <w:b w:val="1"/>
          <w:bCs w:val="1"/>
          <w:color w:val="auto"/>
        </w:rPr>
        <w:t>Third Party Infringement</w:t>
      </w:r>
      <w:r>
        <w:rPr>
          <w:rFonts w:ascii="Times New Roman" w:cs="Times New Roman" w:eastAsia="Times New Roman" w:hAnsi="Times New Roman"/>
          <w:sz w:val="18"/>
          <w:szCs w:val="18"/>
          <w:color w:val="auto"/>
        </w:rPr>
        <w:t>” is defined in Section 8.4.1 (Notification).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1.203 “</w:t>
      </w:r>
      <w:r>
        <w:rPr>
          <w:rFonts w:ascii="Times New Roman" w:cs="Times New Roman" w:eastAsia="Times New Roman" w:hAnsi="Times New Roman"/>
          <w:sz w:val="18"/>
          <w:szCs w:val="18"/>
          <w:b w:val="1"/>
          <w:bCs w:val="1"/>
          <w:color w:val="auto"/>
        </w:rPr>
        <w:t>Third Party IP</w:t>
      </w:r>
      <w:r>
        <w:rPr>
          <w:rFonts w:ascii="Times New Roman" w:cs="Times New Roman" w:eastAsia="Times New Roman" w:hAnsi="Times New Roman"/>
          <w:sz w:val="18"/>
          <w:szCs w:val="18"/>
          <w:color w:val="auto"/>
        </w:rPr>
        <w:t>” is defined in Section 7.3.6 (By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1.204 “</w:t>
      </w:r>
      <w:r>
        <w:rPr>
          <w:rFonts w:ascii="Times New Roman" w:cs="Times New Roman" w:eastAsia="Times New Roman" w:hAnsi="Times New Roman"/>
          <w:sz w:val="18"/>
          <w:szCs w:val="18"/>
          <w:b w:val="1"/>
          <w:bCs w:val="1"/>
          <w:color w:val="auto"/>
        </w:rPr>
        <w:t>Third Party IP Payments</w:t>
      </w:r>
      <w:r>
        <w:rPr>
          <w:rFonts w:ascii="Times New Roman" w:cs="Times New Roman" w:eastAsia="Times New Roman" w:hAnsi="Times New Roman"/>
          <w:sz w:val="18"/>
          <w:szCs w:val="18"/>
          <w:color w:val="auto"/>
        </w:rPr>
        <w:t>” is defined in Section 7.3.6 (By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1.205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1.206 </w:t>
      </w:r>
      <w:r>
        <w:rPr>
          <w:rFonts w:ascii="Times New Roman" w:cs="Times New Roman" w:eastAsia="Times New Roman" w:hAnsi="Times New Roman"/>
          <w:sz w:val="18"/>
          <w:szCs w:val="18"/>
          <w:b w:val="1"/>
          <w:bCs w:val="1"/>
          <w:color w:val="auto"/>
        </w:rPr>
        <w:t>“Threshold Activity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1.207 “</w:t>
      </w:r>
      <w:r>
        <w:rPr>
          <w:rFonts w:ascii="Times New Roman" w:cs="Times New Roman" w:eastAsia="Times New Roman" w:hAnsi="Times New Roman"/>
          <w:sz w:val="18"/>
          <w:szCs w:val="18"/>
          <w:b w:val="1"/>
          <w:bCs w:val="1"/>
          <w:color w:val="auto"/>
        </w:rPr>
        <w:t>Transition Assistance Leader</w:t>
      </w:r>
      <w:r>
        <w:rPr>
          <w:rFonts w:ascii="Times New Roman" w:cs="Times New Roman" w:eastAsia="Times New Roman" w:hAnsi="Times New Roman"/>
          <w:sz w:val="18"/>
          <w:szCs w:val="18"/>
          <w:color w:val="auto"/>
        </w:rPr>
        <w:t>” is defined in Section 3.1.1 (</w:t>
      </w:r>
      <w:r>
        <w:rPr>
          <w:rFonts w:ascii="Times New Roman" w:cs="Times New Roman" w:eastAsia="Times New Roman" w:hAnsi="Times New Roman"/>
          <w:sz w:val="18"/>
          <w:szCs w:val="18"/>
          <w:u w:val="single" w:color="auto"/>
          <w:color w:val="auto"/>
        </w:rPr>
        <w:t>Transition Assistance).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1.208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means the United States of America and all of its territories and possessions.</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1.209 “</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on a country-by-country basis, any: (a) composition of matter claim that Covers the applicable Licensed Compound or applicable Licensed Product; or (b) method of use claim that Covers the use of the applicable Licensed Product, in either case of (a) or (b) in an issued and unexpired patent within the Licensed Patents, which has not been finally held unenforceable, unpatentable or invalid by a decision of a court or other governmental agency of competent jurisdiction, or which has not been admitted to be invalid or unenforceable through abandonment, reissue, disclaimer or otherwise.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65" w:right="519" w:bottom="1440" w:gutter="0" w:footer="0" w:header="0"/>
        </w:sectPr>
      </w:pPr>
    </w:p>
    <w:bookmarkStart w:id="574" w:name="page575"/>
    <w:bookmarkEnd w:id="574"/>
    <w:p>
      <w:pPr>
        <w:ind w:left="502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31"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18"/>
          <w:szCs w:val="18"/>
          <w:b w:val="1"/>
          <w:bCs w:val="1"/>
          <w:color w:val="auto"/>
        </w:rPr>
        <w:t>LICENSES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License Grants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License to Company</w:t>
      </w:r>
      <w:r>
        <w:rPr>
          <w:rFonts w:ascii="Times New Roman" w:cs="Times New Roman" w:eastAsia="Times New Roman" w:hAnsi="Times New Roman"/>
          <w:sz w:val="18"/>
          <w:szCs w:val="18"/>
          <w:color w:val="auto"/>
        </w:rPr>
        <w:t>. Subject to the terms and conditions of this Agreement, Maze and its Affiliates hereby grant to Company an exclusive (even as to Maze and its Affiliates, subject to Section 2.1.2 (License to Maze)), royalty-bearing, transferrable (to the extent permitted under Section 14.4 (Assignment)) and sublicensable (through multiple tiers in accordance with Section 2.2 (Sublicensing)) license under the Licensed Technology to Research, Develop, Manufacture, Commercialize and otherwise Exploit Licensed Compounds and Licensed Products (but excluding any Other Components Controlled by Maze or its Affiliates) in the Field in the Territory (the “</w:t>
      </w:r>
      <w:r>
        <w:rPr>
          <w:rFonts w:ascii="Times New Roman" w:cs="Times New Roman" w:eastAsia="Times New Roman" w:hAnsi="Times New Roman"/>
          <w:sz w:val="18"/>
          <w:szCs w:val="18"/>
          <w:b w:val="1"/>
          <w:bCs w:val="1"/>
          <w:color w:val="auto"/>
        </w:rPr>
        <w:t>Company License</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License to Maze</w:t>
      </w:r>
      <w:r>
        <w:rPr>
          <w:rFonts w:ascii="Times New Roman" w:cs="Times New Roman" w:eastAsia="Times New Roman" w:hAnsi="Times New Roman"/>
          <w:sz w:val="18"/>
          <w:szCs w:val="18"/>
          <w:color w:val="auto"/>
        </w:rPr>
        <w:t>. Subject to the terms and conditions of this Agreement, Company hereby grants to Maze a non-exclusive, worldwide, transferrable (to the extent permitted under Section 14.4 (Assignment)) sublicense under the Company License solely to the extent necessary for Maze to perform its obligations under this Agreement (the “</w:t>
      </w:r>
      <w:r>
        <w:rPr>
          <w:rFonts w:ascii="Times New Roman" w:cs="Times New Roman" w:eastAsia="Times New Roman" w:hAnsi="Times New Roman"/>
          <w:sz w:val="18"/>
          <w:szCs w:val="18"/>
          <w:b w:val="1"/>
          <w:bCs w:val="1"/>
          <w:color w:val="auto"/>
        </w:rPr>
        <w:t>Maze License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Sublicensing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Right to Sublicense</w:t>
      </w:r>
      <w:r>
        <w:rPr>
          <w:rFonts w:ascii="Times New Roman" w:cs="Times New Roman" w:eastAsia="Times New Roman" w:hAnsi="Times New Roman"/>
          <w:sz w:val="18"/>
          <w:szCs w:val="18"/>
          <w:color w:val="auto"/>
        </w:rPr>
        <w:t>. Subject to the terms and conditions of this Agreement, Company will have the right, without Maze’s consent, to</w:t>
      </w:r>
    </w:p>
    <w:p>
      <w:pPr>
        <w:spacing w:after="0" w:line="27" w:lineRule="exact"/>
        <w:rPr>
          <w:sz w:val="20"/>
          <w:szCs w:val="20"/>
          <w:color w:val="auto"/>
        </w:rPr>
      </w:pPr>
    </w:p>
    <w:p>
      <w:pPr>
        <w:ind w:left="4" w:right="360" w:hanging="4"/>
        <w:spacing w:after="0" w:line="260" w:lineRule="auto"/>
        <w:tabs>
          <w:tab w:leader="none" w:pos="249"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its rights and perform its obligations under this Agreement by itself or through the engagement of any of its Affiliates and (b) subject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grant sublicenses (whether directly or through multiple tiers) under the Company License to one or more Third Parties.</w:t>
      </w:r>
    </w:p>
    <w:p>
      <w:pPr>
        <w:spacing w:after="0" w:line="73"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Sublicensing Requirement</w:t>
      </w:r>
      <w:r>
        <w:rPr>
          <w:rFonts w:ascii="Times New Roman" w:cs="Times New Roman" w:eastAsia="Times New Roman" w:hAnsi="Times New Roman"/>
          <w:sz w:val="18"/>
          <w:szCs w:val="18"/>
          <w:color w:val="auto"/>
        </w:rPr>
        <w:t>. The following terms will apply to each sublicense granted by either Party: (a) any such permitted sublicense will be consistent with and subject to the terms and conditions of this Agreement and (b) such Party will continue to be responsible for full performance of its obligations under this Agreement and will be responsible for all actions of such sublicensed Affiliate or Third Party, as applicable, as if such Affiliate or Third Party, as applicable, were such Party hereunder.</w:t>
      </w:r>
    </w:p>
    <w:p>
      <w:pPr>
        <w:spacing w:after="0" w:line="180"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Residual Knowledge</w:t>
      </w:r>
      <w:r>
        <w:rPr>
          <w:rFonts w:ascii="Times New Roman" w:cs="Times New Roman" w:eastAsia="Times New Roman" w:hAnsi="Times New Roman"/>
          <w:sz w:val="17"/>
          <w:szCs w:val="17"/>
          <w:color w:val="auto"/>
        </w:rPr>
        <w:t xml:space="preserve">. Notwithstanding any provision to the contrary in this Agreement, the use or disclosure of Residual Knowledge by any employee, director, officer, advisor, consultant or agent of a Party or any of its Affiliates shall not violate the confidentiality, non-use and non-disclosure obligations set forth in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such Residual Knowledge constitutes the Confidential Information of the Disclosing Party</w:t>
      </w:r>
    </w:p>
    <w:p>
      <w:pPr>
        <w:spacing w:after="0" w:line="2" w:lineRule="exact"/>
        <w:rPr>
          <w:sz w:val="20"/>
          <w:szCs w:val="20"/>
          <w:color w:val="auto"/>
        </w:rPr>
      </w:pPr>
    </w:p>
    <w:p>
      <w:pPr>
        <w:ind w:left="4" w:right="20" w:hanging="4"/>
        <w:spacing w:after="0" w:line="253" w:lineRule="auto"/>
        <w:tabs>
          <w:tab w:leader="none" w:pos="249"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employee, director, officer, advisor, consultant or agent of the Receiving Party did not, and the Receiving Party or any of its Affiliates did not direct or encourage (whether directly or indirectly) such employee, director, officer, advisor, consultant or agent to intentionally memorize or retain such Residual Knowledge, and (b) the terms of this Section 2.3 (Residual Knowledge) do not comprise a grant of any license or other right to practice any Patents of a Party and do not limit or diminish the financial obligations set forth in Article 7 (Financial Terms) during the Term.</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5" w:right="459" w:bottom="1440" w:gutter="0" w:footer="0" w:header="0"/>
        </w:sectPr>
      </w:pPr>
    </w:p>
    <w:bookmarkStart w:id="575" w:name="page576"/>
    <w:bookmarkEnd w:id="575"/>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No Implied Licenses</w:t>
      </w:r>
      <w:r>
        <w:rPr>
          <w:rFonts w:ascii="Times New Roman" w:cs="Times New Roman" w:eastAsia="Times New Roman" w:hAnsi="Times New Roman"/>
          <w:sz w:val="18"/>
          <w:szCs w:val="18"/>
          <w:color w:val="auto"/>
        </w:rPr>
        <w:t>. Each Party retains all rights under Patents, Know-How or other intellectual property rights Controlled by such Party which are not expressly granted to the other Party pursuant to this Agreement. Except as otherwise expressly provided in this Agreement, under no circumstances will a Party or any of its Affiliates, as a result of this Agreement, obtain any ownership interest, license or other right in or to any Patents, Know-How or other intellectual property rights of the other Party, including tangible or intangible items owned, Controlled or developed by the other Party, or provided by the other Party to the receiving Party at any time, in each case, pursuant to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Maze Non-Compete</w:t>
      </w:r>
      <w:r>
        <w:rPr>
          <w:rFonts w:ascii="Times New Roman" w:cs="Times New Roman" w:eastAsia="Times New Roman" w:hAnsi="Times New Roman"/>
          <w:sz w:val="18"/>
          <w:szCs w:val="18"/>
          <w:color w:val="auto"/>
        </w:rPr>
        <w:t xml:space="preserve">. Except as otherwise expressly permitted under this Agreement, during the period of time beginning on the Effective Date and continuing during the Term until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First Commercial Sale of the first Licensed Product anywhere in the Territory, neither Maze nor any of its Affiliates shall alone or with or through any Third Party Research, Develop, Manufacture or Commercialize anywhere in the Territory any compound or product having Threshold Activity against GYS1 and that is designed or intended to treat or prevent or labelled for (or where a label is sought in a Regulatory Approval for) treatment or prevention of Pompe disease. The foregoing restrictions shall not apply to an Acquiring Entity of Maze so long as such Acquiring Entity complies with the requirements provided in the subsequent sentence.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ASSISTANCE; TRANSITION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Assistance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Transition Assistance</w:t>
      </w:r>
      <w:r>
        <w:rPr>
          <w:rFonts w:ascii="Times New Roman" w:cs="Times New Roman" w:eastAsia="Times New Roman" w:hAnsi="Times New Roman"/>
          <w:sz w:val="18"/>
          <w:szCs w:val="18"/>
          <w:color w:val="auto"/>
        </w:rPr>
        <w:t>. Following the Effective Date, Maze shall, and shall cause its Affiliates and Third Party contractors involved in Research, Development (including regulatory) or Manufacturing matters related to such Licensed Compounds or Licensed Products to, cooperate with Company and its designees and provide assistance to Company and its designees to transition to Company and its designees the Research, Development, Manufacture, Commercialization and other Exploitation of the Licensed Compounds and Licensed Products, as and to the extent reasonably requested by Company. Without limiting the foregoing, Maze shall: (a) provide Company and its designees assistance with respect to transition matters for the Research, Development (including regulatory) and Manufacturing related to such Licensed Compounds or Licensed Products; and (b) provide Company and its designees with reasonable access by teleconference or in-person meetings (as mutually agreed upon) to Maze personnel and personnel of Maze’s Affiliates and Third Party contractors (including each Maze CMO) involved in Research, Development (including regulatory) or Manufacturing matters related to such Licensed Compounds or Licensed Products (an “</w:t>
      </w:r>
      <w:r>
        <w:rPr>
          <w:rFonts w:ascii="Times New Roman" w:cs="Times New Roman" w:eastAsia="Times New Roman" w:hAnsi="Times New Roman"/>
          <w:sz w:val="18"/>
          <w:szCs w:val="18"/>
          <w:b w:val="1"/>
          <w:bCs w:val="1"/>
          <w:color w:val="auto"/>
        </w:rPr>
        <w:t>Existing Contractor</w:t>
      </w:r>
      <w:r>
        <w:rPr>
          <w:rFonts w:ascii="Times New Roman" w:cs="Times New Roman" w:eastAsia="Times New Roman" w:hAnsi="Times New Roman"/>
          <w:sz w:val="18"/>
          <w:szCs w:val="18"/>
          <w:color w:val="auto"/>
        </w:rPr>
        <w:t xml:space="preserve">”) to assist with the transition and answer questions related to such Licensed Compounds or Licensed Products;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Maze personnel, personnel of Maze’s Affiliates and Existing Contractors shall be experienced with and have adequate knowledge of the foregoing transition matters. Upon request by Company or Maze, each Party shall assign an experienced employee of such Party or its Affiliates, to act as a transition leader (each a “</w:t>
      </w:r>
      <w:r>
        <w:rPr>
          <w:rFonts w:ascii="Times New Roman" w:cs="Times New Roman" w:eastAsia="Times New Roman" w:hAnsi="Times New Roman"/>
          <w:sz w:val="18"/>
          <w:szCs w:val="18"/>
          <w:b w:val="1"/>
          <w:bCs w:val="1"/>
          <w:color w:val="auto"/>
        </w:rPr>
        <w:t>Transition Assistance Leader</w:t>
      </w:r>
      <w:r>
        <w:rPr>
          <w:rFonts w:ascii="Times New Roman" w:cs="Times New Roman" w:eastAsia="Times New Roman" w:hAnsi="Times New Roman"/>
          <w:sz w:val="18"/>
          <w:szCs w:val="18"/>
          <w:color w:val="auto"/>
        </w:rPr>
        <w:t>”), to lead the efforts regarding the transition matters set forth in this Section 3.1 (Assistance).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9" w:right="459" w:bottom="1440" w:gutter="0" w:footer="0" w:header="0"/>
        </w:sectPr>
      </w:pPr>
    </w:p>
    <w:bookmarkStart w:id="576" w:name="page577"/>
    <w:bookmarkEnd w:id="57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3.1.2 </w:t>
      </w:r>
      <w:r>
        <w:rPr>
          <w:rFonts w:ascii="Times New Roman" w:cs="Times New Roman" w:eastAsia="Times New Roman" w:hAnsi="Times New Roman"/>
          <w:sz w:val="18"/>
          <w:szCs w:val="18"/>
          <w:u w:val="single" w:color="auto"/>
          <w:color w:val="auto"/>
        </w:rPr>
        <w:t>Assistance Periods.</w:t>
      </w:r>
      <w:r>
        <w:rPr>
          <w:rFonts w:ascii="Times New Roman" w:cs="Times New Roman" w:eastAsia="Times New Roman" w:hAnsi="Times New Roman"/>
          <w:sz w:val="18"/>
          <w:szCs w:val="18"/>
          <w:color w:val="auto"/>
        </w:rPr>
        <w:t xml:space="preserve"> The assistance described in Section 3.1.1 (Transition Assistance) will generally be provided for a period of </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following the Effective Date and, with respect to Manufacturing-related assistance only, for a period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Assistance</w:t>
      </w:r>
      <w:r>
        <w:rPr>
          <w:rFonts w:ascii="Times New Roman" w:cs="Times New Roman" w:eastAsia="Times New Roman" w:hAnsi="Times New Roman"/>
          <w:sz w:val="18"/>
          <w:szCs w:val="18"/>
          <w:color w:val="auto"/>
        </w:rPr>
        <w:t>”), subject in each case of the foregoing, for such longer period of time as Company requests and Maze consents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not to be unreasonably withheld, conditioned or delayed, including taking into consideration the overall passage of time and availability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 at Maze), including as may be necessary to fully enable the Development and Manufacture of MZE001 by or on behalf of Company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substantially the same manner and quality employed or achieved by or on behalf of Maze immediately prior to the Execution Date, (such assistance time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the “</w:t>
      </w:r>
      <w:r>
        <w:rPr>
          <w:rFonts w:ascii="Times New Roman" w:cs="Times New Roman" w:eastAsia="Times New Roman" w:hAnsi="Times New Roman"/>
          <w:sz w:val="18"/>
          <w:szCs w:val="18"/>
          <w:b w:val="1"/>
          <w:bCs w:val="1"/>
          <w:color w:val="auto"/>
        </w:rPr>
        <w:t>Assistance Periods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Assistance Costs; Limitations</w:t>
      </w:r>
      <w:r>
        <w:rPr>
          <w:rFonts w:ascii="Times New Roman" w:cs="Times New Roman" w:eastAsia="Times New Roman" w:hAnsi="Times New Roman"/>
          <w:sz w:val="18"/>
          <w:szCs w:val="18"/>
          <w:color w:val="auto"/>
        </w:rPr>
        <w:t xml:space="preserve">. Subject to the remainder of this Section 3.1 (Assistance), the assistance described in Section 3.1.1 (Transition Assistance) shall be at no additional cost to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Section 3.1.1 (Transition Assistance) after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Manufacturing Assistance after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Effective Date shall be provided at the FTE Rate spent on the applicable portion of the transition matters set forth in Section 3.2 (Manufacturing Assistance). Notwithstanding any provision set forth in this Section 3.1.3 (Assistance) to the contrary, if such assistance could reasonably be contracted to a Third Party contract research organization other than an Existing Contractor, then Maze shall consider in good faith whether to (but shall not be required to) provide such assistance, and in the event Maze so elects to provide such assistance, then Maze shall have the right to invoice such assistance to Company at the FTE Rate. Any such invoice shall include sufficient detail so as to enable Company to confirm the accuracy of such invoice and the activities performed thereunder, and Company will remit all undisputed amounts to Maze in respect of such invoice in accordance with Section 7.5.2(Invoices).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Manufacturing Assistance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3.2.1 The Manufacturing Assistance provided by Maze is intended to enable Company to assume responsibility for the Manufacture of the Licensed Products in the Territory in substantially the same manner and quality employed or achieved by Maze at Maze’s or any Third Party contract manufacturer’s facilities as of the Effective Date.</w:t>
      </w:r>
    </w:p>
    <w:p>
      <w:pPr>
        <w:spacing w:after="0" w:line="68"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3.2.2 In connection with the Manufacturing Assistance, Maze shall provide, or cause to be provided, copies of all production records, standard testing methods, product specifications, standard operating procedures, technology, documents, data, manufacturing know how, intellectual property and all other information necessary for Company or its designee to establish a viable manufacturing process. For purposes of this Agreement, a “viable manufacturing process” means a manufacturing process which is validated according to cGMP and is in compliance with all Applicable Law and applicable Regulatory Materials. Upon request by Company or Maze, each Party shall assign one Transition Assistance Leader to lead the efforts regarding the Manufacturing Assistance.</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Assignment of Contracts</w:t>
      </w:r>
      <w:r>
        <w:rPr>
          <w:rFonts w:ascii="Times New Roman" w:cs="Times New Roman" w:eastAsia="Times New Roman" w:hAnsi="Times New Roman"/>
          <w:sz w:val="18"/>
          <w:szCs w:val="18"/>
          <w:color w:val="auto"/>
        </w:rPr>
        <w:t>. In support of, and to help facilitate, the above assumption by Company of responsibility for the Manufacture of the Licensed Products in the Territory, upon request of Company with respect to one or more contracts that Maze has with its Third Party contractors that solely relate to the Licensed Products, Maze shall assign or use commercially reasonable efforts to obtain consent from the respective counterparty to assign, as applicable, such contracts to Company, and Company shall assume any and all such contracts so assigned.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65" w:right="479" w:bottom="1440" w:gutter="0" w:footer="0" w:header="0"/>
        </w:sectPr>
      </w:pPr>
    </w:p>
    <w:bookmarkStart w:id="577" w:name="page578"/>
    <w:bookmarkEnd w:id="577"/>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Know-How and Material Transfer</w:t>
      </w:r>
      <w:r>
        <w:rPr>
          <w:rFonts w:ascii="Times New Roman" w:cs="Times New Roman" w:eastAsia="Times New Roman" w:hAnsi="Times New Roman"/>
          <w:sz w:val="18"/>
          <w:szCs w:val="18"/>
          <w:color w:val="auto"/>
        </w:rPr>
        <w:t xml:space="preserve">. Without limiting the provisions of Section 3.1 (Assistance), as soon as reasonably practicable following the Effective Date, and in any event,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thereafter for transfer of copies of Licensed Know-How and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thereafter for transfer of inventories of Licensed Materials and Licensed Product, at Company’s cost and expense (including for all Out-Of-Pocket Costs, but not FTE costs, incurred by or on behalf of Maze), Maze will provide to Company or its designee copies of all Licensed Know-How set forth on Schedule 1.111 (Licensed Know-How) and inventories of Licensed Materials and Licensed Product set forth on Schedule 1.112 (Licensed Materials and Licensed Product)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Effective Date that Maze takes to complete the transfer of substantially all of the data and information encompassed in the Licensed Know-How, as reasonably determined by Company, each of the Assistance Periods and the time periods provided for under Section 3.1.3 shall be extended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example, if Maze takes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substantially complete the transfer of the data and information encompassed in the Licensed Know-How, the Assistance Periods shall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respectively, and what had been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time periods under Section 3.1.3 shall instead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time periods. The Parties shall cooperate and agree upon formats and procedures to facilitate the orderly and efficient exchanges of Licensed Know-How and Licensed Materials contemplated under this Section 3.4 (Know-How and Material Transfer).</w:t>
      </w:r>
    </w:p>
    <w:p>
      <w:pPr>
        <w:spacing w:after="0" w:line="19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Maze Platform Know-How</w:t>
      </w:r>
      <w:r>
        <w:rPr>
          <w:rFonts w:ascii="Times New Roman" w:cs="Times New Roman" w:eastAsia="Times New Roman" w:hAnsi="Times New Roman"/>
          <w:sz w:val="18"/>
          <w:szCs w:val="18"/>
          <w:color w:val="auto"/>
        </w:rPr>
        <w:t xml:space="preserve">. Maze acknowledges and confirms that Schedule 1.111 (Licensed Know-How) does not include any Maze Platform Know-How, and the Parties acknowledge and agree that in no event will Maze be required under this Agreement to provide to Company any Maze Platform Know-How;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any Regulatory Authority requires disclosure of a limited amount of Maze Platform Know-How in order to support the Regulatory Approval of any Licensed Product, or the disclosure of a limited amount of Maze Platform Know-How is required in support of the prosecution, maintenance, enforcement or defense of any Patent licensed under this Agreement or in the defense of any Third Party claim related to the Licensed Technology, unless otherwise required by law, Maze shall reasonably consider cooperating with such request, and if Maze agrees it may disclose limited aspects of such Maze Platform Know-How solely for such purpose and the Parties shall use reasonable efforts to maintain confidentiality of any such Maze Platform Know-How, including the confidential treatment of any such Maze Platform Know-How disclosed to any Regulatory Authority or patent authority. Subject to the foregoing, if Maze inadvertently provides to any employee, director, officer, advisor, consultant or agent of Company any Maze Platform Know-How in connection with fulfilling its obligations under this Section 3.4 (Know-How and Material Transfer) or otherwise (any such Maze Platform Know-How, “</w:t>
      </w:r>
      <w:r>
        <w:rPr>
          <w:rFonts w:ascii="Times New Roman" w:cs="Times New Roman" w:eastAsia="Times New Roman" w:hAnsi="Times New Roman"/>
          <w:sz w:val="18"/>
          <w:szCs w:val="18"/>
          <w:b w:val="1"/>
          <w:bCs w:val="1"/>
          <w:color w:val="auto"/>
        </w:rPr>
        <w:t>Extraneous Maze Platform Know-How</w:t>
      </w:r>
      <w:r>
        <w:rPr>
          <w:rFonts w:ascii="Times New Roman" w:cs="Times New Roman" w:eastAsia="Times New Roman" w:hAnsi="Times New Roman"/>
          <w:sz w:val="18"/>
          <w:szCs w:val="18"/>
          <w:color w:val="auto"/>
        </w:rPr>
        <w:t>”), then Maze shall promptly notify Company of such disclosure of Extraneous Maze Platform Know- How, and promptly following such notification from Maze, Company shall remove all access to any tangible embodiments of such Extraneous Maze Platform Know-How and confirm such removal in writing. Notwithstanding any provision set forth in this Agreement to the contrary, following Company’s receipt of such notice from Maze, and subject to Section 2.3 (Residual Knowledge), Company agrees that it would not have any license or other right to use such Extraneous Maze Platform Know-How.</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9" w:right="459" w:bottom="1440" w:gutter="0" w:footer="0" w:header="0"/>
        </w:sectPr>
      </w:pPr>
    </w:p>
    <w:bookmarkStart w:id="578" w:name="page579"/>
    <w:bookmarkEnd w:id="5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DEVELOPMENT</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Responsibility</w:t>
      </w:r>
      <w:r>
        <w:rPr>
          <w:rFonts w:ascii="Times New Roman" w:cs="Times New Roman" w:eastAsia="Times New Roman" w:hAnsi="Times New Roman"/>
          <w:sz w:val="18"/>
          <w:szCs w:val="18"/>
          <w:color w:val="auto"/>
        </w:rPr>
        <w:t>. Subject to the terms and conditions of this Agreement, following the Effective Date, Company will have the sole and exclusive right to Develop (and will solely and exclusively control, at its discretion, the Development of), itself or with or through its Affiliates, Sublicensees or other Third Parties, the Licensed Compounds and Licensed Products in the Field in the Territory. All such Development will be at Company’s sole cost and expense.</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Diligence</w:t>
      </w:r>
      <w:r>
        <w:rPr>
          <w:rFonts w:ascii="Times New Roman" w:cs="Times New Roman" w:eastAsia="Times New Roman" w:hAnsi="Times New Roman"/>
          <w:sz w:val="18"/>
          <w:szCs w:val="18"/>
          <w:color w:val="auto"/>
        </w:rPr>
        <w:t>. Subject to the terms and conditions of this Agreement, Company will use Commercially Reasonable Efforts to obtain Regulatory Approval for one Licensed Product in the Major Markets (the “</w:t>
      </w:r>
      <w:r>
        <w:rPr>
          <w:rFonts w:ascii="Times New Roman" w:cs="Times New Roman" w:eastAsia="Times New Roman" w:hAnsi="Times New Roman"/>
          <w:sz w:val="18"/>
          <w:szCs w:val="18"/>
          <w:b w:val="1"/>
          <w:bCs w:val="1"/>
          <w:color w:val="auto"/>
        </w:rPr>
        <w:t>Development Diligence Obligations</w:t>
      </w:r>
      <w:r>
        <w:rPr>
          <w:rFonts w:ascii="Times New Roman" w:cs="Times New Roman" w:eastAsia="Times New Roman" w:hAnsi="Times New Roman"/>
          <w:sz w:val="18"/>
          <w:szCs w:val="18"/>
          <w:color w:val="auto"/>
        </w:rPr>
        <w:t>”). Notwithstanding any provision to the contrary in this Agreement, Maze’s sole and exclusive remedy for Company’s material breach of its Development Diligence Obligations is expressly set forth in Section 12.2 (Termination for Material Breach) and Section 12.5 (Effects of Expiration and Termination).</w:t>
      </w:r>
    </w:p>
    <w:p>
      <w:pPr>
        <w:spacing w:after="0" w:line="180"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Diligence Updates</w:t>
      </w:r>
      <w:r>
        <w:rPr>
          <w:rFonts w:ascii="Times New Roman" w:cs="Times New Roman" w:eastAsia="Times New Roman" w:hAnsi="Times New Roman"/>
          <w:sz w:val="18"/>
          <w:szCs w:val="18"/>
          <w:color w:val="auto"/>
        </w:rPr>
        <w:t xml:space="preserve">. Subject to Section 2.6 (Maze Non-Compete), during the period beginning on the Effective Date and ending on the date the Company obtains the first Regulatory Approval for the first Licensed Product in the last of each of the Major Markets, Company will submit to Maze, one time per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written report summarizing in reasonable detail the status of Company’s material Development activities with respect to the Licensed Products pursuant to this Agreement since Company’s delivery of the prior report. Such report will be the Confidential Information of Company subject to Article 9 (Confidentiality). Without limiting any other right or obligation of the Parties set forth elsewhere in this Agreement, or acting as a specific remedy or limitation on remedies in the event of any breach of the terms and conditions of this Agreement by Maze, in addition to any other right or remedy that may arise in such circumstances, in the event that Maze or any of its Affiliates, including any Acquiring Entity or its Affiliates, alone or with or through any Third Party, undertake any activities for the Research, Development, Manufacture or Commercialization anywhere in the Territory of any compound or product that is designed, intended to treat or prevent or labelled for (or where a label is sought in a Regulatory Approval for) treatment or prevention of Pompe disease, then (a) Maze shall promptly notify Company of this occurrence,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Company’s obligation to provide the reports and information called for under this Section 4.3 (Diligence Updates) shall immediately terminate.</w:t>
      </w:r>
    </w:p>
    <w:p>
      <w:pPr>
        <w:spacing w:after="0" w:line="20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Alliance Manager</w:t>
      </w:r>
      <w:r>
        <w:rPr>
          <w:rFonts w:ascii="Times New Roman" w:cs="Times New Roman" w:eastAsia="Times New Roman" w:hAnsi="Times New Roman"/>
          <w:sz w:val="18"/>
          <w:szCs w:val="18"/>
          <w:color w:val="auto"/>
        </w:rPr>
        <w:t>. Promptly after the Effective Date, each Party will appoint an individual to act as the alliance manager for such Party (each, an “</w:t>
      </w:r>
      <w:r>
        <w:rPr>
          <w:rFonts w:ascii="Times New Roman" w:cs="Times New Roman" w:eastAsia="Times New Roman" w:hAnsi="Times New Roman"/>
          <w:sz w:val="18"/>
          <w:szCs w:val="18"/>
          <w:b w:val="1"/>
          <w:bCs w:val="1"/>
          <w:color w:val="auto"/>
        </w:rPr>
        <w:t>Alliance Manager</w:t>
      </w:r>
      <w:r>
        <w:rPr>
          <w:rFonts w:ascii="Times New Roman" w:cs="Times New Roman" w:eastAsia="Times New Roman" w:hAnsi="Times New Roman"/>
          <w:sz w:val="18"/>
          <w:szCs w:val="18"/>
          <w:color w:val="auto"/>
        </w:rPr>
        <w:t xml:space="preserve">”). The Alliance Managers will (a) be the primary point of contact for the Parties regarding the activities under this Agreement and will help facilitate all such activities hereunder, and (b) be responsible for facilitating the flow of information and otherwise promoting communication and coordination between the Parties. Each Party may replace its Alliance Manager at any time upon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to the other Party.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65" w:right="479" w:bottom="1440" w:gutter="0" w:footer="0" w:header="0"/>
        </w:sectPr>
      </w:pPr>
    </w:p>
    <w:bookmarkStart w:id="579" w:name="page580"/>
    <w:bookmarkEnd w:id="57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Responsibility</w:t>
      </w:r>
      <w:r>
        <w:rPr>
          <w:rFonts w:ascii="Times New Roman" w:cs="Times New Roman" w:eastAsia="Times New Roman" w:hAnsi="Times New Roman"/>
          <w:sz w:val="18"/>
          <w:szCs w:val="18"/>
          <w:color w:val="auto"/>
        </w:rPr>
        <w:t>. Subject to the terms and conditions of this Agreement, Company will have the sole and exclusive right to (and will solely and exclusively control, at its discretion), itself or with or through its Affiliates, Sublicensees or other Third Parties: (a) prepare and submit to applicable Regulatory Authorities all Regulatory Materials, including marketing applications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NDAs, MAAs and JNDAs) and Clinical Trial applications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INDs, CTAs and CTNs), for the respective Licensed Compounds and Licensed Products and (b) obtain and maintain all Regulatory Approvals for the respective Licensed Products.</w:t>
      </w:r>
    </w:p>
    <w:p>
      <w:pPr>
        <w:spacing w:after="0" w:line="7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Communications with Regulatory Authorities</w:t>
      </w:r>
      <w:r>
        <w:rPr>
          <w:rFonts w:ascii="Times New Roman" w:cs="Times New Roman" w:eastAsia="Times New Roman" w:hAnsi="Times New Roman"/>
          <w:sz w:val="18"/>
          <w:szCs w:val="18"/>
          <w:color w:val="auto"/>
        </w:rPr>
        <w:t>. For clarity and without limiting Section 5.1.1 (Responsibility), Company will have the sole and exclusive right to correspond or communicate with Regulatory Authorities regarding the respective Licensed Compounds and Licensed Products. Unless required by Applicable Law, Maze and its Affiliates will not correspond or communicate with Regulatory Authorities regarding any Licensed Compound or Licensed Product without first obtaining Company’s prior written consent. If Maze or its Affiliates receive any correspondence or other communication from a Regulatory Authority regarding the foregoing, then Maze will provide Company with access to or copies of all such written or electronic correspondence promptly after its receipt.</w:t>
      </w:r>
    </w:p>
    <w:p>
      <w:pPr>
        <w:spacing w:after="0" w:line="7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Maze Support</w:t>
      </w:r>
      <w:r>
        <w:rPr>
          <w:rFonts w:ascii="Times New Roman" w:cs="Times New Roman" w:eastAsia="Times New Roman" w:hAnsi="Times New Roman"/>
          <w:sz w:val="18"/>
          <w:szCs w:val="18"/>
          <w:color w:val="auto"/>
        </w:rPr>
        <w:t>. Maze will support Company as may be reasonably requested by Company from time to time in connection with Company’s preparation, submission to Regulatory Authorities and maintenance of Regulatory Materials for the respective Licensed Compounds and Licensed Products, including, upon Company’s reasonable request, attending meetings with Regulatory Authorities regarding any respective Licensed Product, unless such assistance could reasonably be contracted to a Third Party regulatory consultant or other contractor, in which case, Maze shall consider in good faith whether to (but shall not be required to) provide such assistance. The costs and expenses incurred in connection with such support shall be allocated between the Parties as follows: (a) for any such support provided prior to the first patient dosed in the first Phase 2 Clinical Trial for any Licensed Product, and such support could not be reasonably contracted to a Third Party regulatory consultant or other contractor, Maze will invoice Company for any reasonable Out-of-Pocket Costs incurred in connection with such support, and (b) for any such support that (i) prior to the first patient dosed in such Phase 2 Clinical Trial, could be reasonably contracted to a Third Party regulatory consultant or other contractor, or (ii) is provided after such dosing, Maze will invoice Company for Maze’s FTE costs at the FTE Rate and its reasonable Out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of-Pocket Costs incurred in connection with such support, and in each case ((a) and (b)), such invoice shall include sufficient detail so as to enable Company to confirm the accuracy of such invoice and the activities performed thereunder, and Company will remit all undisputed amounts to Maze in respect of such invoice in accordance with Section 7.5.2 (Invoices).</w:t>
      </w:r>
    </w:p>
    <w:p>
      <w:pPr>
        <w:spacing w:after="0" w:line="79"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Maze Pharmacovigilance Support</w:t>
      </w:r>
      <w:r>
        <w:rPr>
          <w:rFonts w:ascii="Times New Roman" w:cs="Times New Roman" w:eastAsia="Times New Roman" w:hAnsi="Times New Roman"/>
          <w:sz w:val="18"/>
          <w:szCs w:val="18"/>
          <w:color w:val="auto"/>
        </w:rPr>
        <w:t>. Maze will provide Company with all information necessary or reasonably desirable for Company (and in the form reasonably requested by Company) to comply with Company’s pharmacovigilance responsibilities in all countries in the Territory with respect to the Licensed Compounds and Licensed Products, including, as applicable, any adverse drug experiences (including those events or experiences that are required to be reported to the FDA under 21 CFR Sections 312.32 or 314.80 or to any Regulatory Authorities outside the United States of America under corresponding Applicable Law) or other information impacting product safety from pre-clinical or clinical laboratory, animal toxicology and pharmacology studies, in each case in the possession of Maze, its Affiliates or contractors at the time of request by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5" w:right="459" w:bottom="1440" w:gutter="0" w:footer="0" w:header="0"/>
        </w:sectPr>
      </w:pPr>
    </w:p>
    <w:bookmarkStart w:id="580" w:name="page581"/>
    <w:bookmarkEnd w:id="5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Regulatory Materials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Assignment of Regulatory Materials</w:t>
      </w:r>
      <w:r>
        <w:rPr>
          <w:rFonts w:ascii="Times New Roman" w:cs="Times New Roman" w:eastAsia="Times New Roman" w:hAnsi="Times New Roman"/>
          <w:sz w:val="18"/>
          <w:szCs w:val="18"/>
          <w:color w:val="auto"/>
        </w:rPr>
        <w:t xml:space="preserve">. Promptly following the Effective Date, Maze will and hereby does assign and transfer to Company all INDs and other Regulatory Materials with respect to the Licensed Compounds and Licensed Products in the Territory that are in the possession or Control of Maze or any of its Affiliates. Maze will use diligent efforts to complete such assignment and transfer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Effective Date, subject to any limitations or delays caused by any Regulatory Authorities in connection with such transfer. In connection with the transfer of such Regulatory Materials, Maze will provide to Company copies (in electronic or other format) of the study reports that are Controlled by Maze or any of its Affiliates (to the extent not previously provided to Company) from all non-clinical and preclinical studies and Clinical Trials relating to the Licensed Compounds and Licensed Products. For any such assignment and transfer, each Party will submit to the applicable Regulatory Authority all filings, letters, and other documentation necessary to effect such assignment and transfer as soon as practicable (or as soon as possible after the other Party’s submission of any such filings, letters, or documentation to the extent required before such Party may take any such action).</w:t>
      </w:r>
    </w:p>
    <w:p>
      <w:pPr>
        <w:spacing w:after="0" w:line="80"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New Regulatory Materials</w:t>
      </w:r>
      <w:r>
        <w:rPr>
          <w:rFonts w:ascii="Times New Roman" w:cs="Times New Roman" w:eastAsia="Times New Roman" w:hAnsi="Times New Roman"/>
          <w:sz w:val="18"/>
          <w:szCs w:val="18"/>
          <w:color w:val="auto"/>
        </w:rPr>
        <w:t>. Without limiting Section 5.2.1 (Assignment of Regulatory Materials), all Regulatory Materials generated or arising from or in connection with activities under this Agreement with respect to Licensed Compounds or Licensed Products will be owned by and held in the name of Company or its designee, and any Regulatory Materials issued in the name of Maze or its Affiliates will promptly be assigned by Maze to Company or its designee to the extent permitted by Applicable Law or, in the event assignment is not permitted under Applicable Law, held in trust for, or for the sole benefit of, Company or its designee.</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Right of Reference; Access to Data</w:t>
      </w:r>
      <w:r>
        <w:rPr>
          <w:rFonts w:ascii="Times New Roman" w:cs="Times New Roman" w:eastAsia="Times New Roman" w:hAnsi="Times New Roman"/>
          <w:sz w:val="18"/>
          <w:szCs w:val="18"/>
          <w:color w:val="auto"/>
        </w:rPr>
        <w:t>. In the event of failure to transfer and assign any Regulatory Materials to Company or its designee, as required by Section 5.2 (Regulatory Materials), Company and its designees will have, and Maze (on behalf of itself and its Affiliates) hereby grants to Company and its designees, access (as described in Section 5.2 (Regulatory Materials)) and a right of reference (without any further action required on the part of Maze or its Affiliates, whose authorization to file this consent with any Regulatory Authority is hereby granted) to all Regulatory Materials described in Section 5.2 (Regulatory Materials) and all data contained or referenced therein for Company and its designees to exercise its rights and perform its obligations under this Agreement with respect to the applicable Licensed Compounds and Licensed Products. In all cases, Company and its designees will have access to all data contained or referenced in all such Regulatory Materials, and Maze will ensure that Company and its designees are afforded such access by fulfilling its obligations thereunder.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0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Following the Effective Date, Company will have the sole and exclusive right to Commercialize (and will solely and exclusively control, at its discretion, the Commercialization of), itself or with or through its Affiliates, Sublicensees or other Third Parties,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9" w:right="459" w:bottom="1440" w:gutter="0" w:footer="0" w:header="0"/>
        </w:sectPr>
      </w:pPr>
    </w:p>
    <w:bookmarkStart w:id="581" w:name="page582"/>
    <w:bookmarkEnd w:id="58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applicable Licensed Products in the Field in the Territory. All such Commercialization will be at Company’s sole cost and expense, including:</w:t>
      </w:r>
    </w:p>
    <w:p>
      <w:pPr>
        <w:spacing w:after="0" w:line="27" w:lineRule="exact"/>
        <w:rPr>
          <w:sz w:val="20"/>
          <w:szCs w:val="20"/>
          <w:color w:val="auto"/>
        </w:rPr>
      </w:pPr>
    </w:p>
    <w:p>
      <w:pPr>
        <w:ind w:left="4" w:hanging="4"/>
        <w:spacing w:after="0" w:line="265" w:lineRule="auto"/>
        <w:tabs>
          <w:tab w:leader="none" w:pos="249" w:val="left"/>
        </w:tabs>
        <w:numPr>
          <w:ilvl w:val="0"/>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executing a commercial launch and pre-launch plan; (b) negotiating with applicable Governmental Authorities regarding the pricing and reimbursement status of the Licensed Products; (c) marketing and promotion; (d) booking sales and distribution and performance of related services;</w:t>
      </w:r>
    </w:p>
    <w:p>
      <w:pPr>
        <w:ind w:left="4" w:right="60" w:hanging="4"/>
        <w:spacing w:after="0" w:line="255" w:lineRule="auto"/>
        <w:tabs>
          <w:tab w:leader="none" w:pos="249"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all aspects of order processing, invoicing and collection, inventory and receivables; (f) handling medical affairs and providing customer support, including handling medical queries, and performing other related functions; and (g) conforming its practices and procedures to Applicable Law relating to the marketing, detailing and promotion of the Licensed Products.</w:t>
      </w:r>
    </w:p>
    <w:p>
      <w:pPr>
        <w:spacing w:after="0" w:line="186" w:lineRule="exact"/>
        <w:rPr>
          <w:sz w:val="20"/>
          <w:szCs w:val="20"/>
          <w:color w:val="auto"/>
        </w:rPr>
      </w:pPr>
    </w:p>
    <w:p>
      <w:pPr>
        <w:ind w:left="4"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Commercial Diligence</w:t>
      </w:r>
      <w:r>
        <w:rPr>
          <w:rFonts w:ascii="Times New Roman" w:cs="Times New Roman" w:eastAsia="Times New Roman" w:hAnsi="Times New Roman"/>
          <w:sz w:val="18"/>
          <w:szCs w:val="18"/>
          <w:color w:val="auto"/>
        </w:rPr>
        <w:t>. Subject to the terms and conditions of this Agreement, Company will use Commercially Reasonable Efforts to Commercialize the Licensed Product in each country in the Territory following receipt of Regulatory Approval (the “</w:t>
      </w:r>
      <w:r>
        <w:rPr>
          <w:rFonts w:ascii="Times New Roman" w:cs="Times New Roman" w:eastAsia="Times New Roman" w:hAnsi="Times New Roman"/>
          <w:sz w:val="18"/>
          <w:szCs w:val="18"/>
          <w:b w:val="1"/>
          <w:bCs w:val="1"/>
          <w:color w:val="auto"/>
        </w:rPr>
        <w:t>Commercial Diligence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Notwithstanding any provision to the contrary in this Agreement, Maze’s sole and exclusive remedy for Company’s material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Commercial Diligence Obligations is expressly set forth in Section 12.2 (Termination for Material Breach) and Section 12.5 (Effects of Expiration and Termination).</w:t>
      </w:r>
    </w:p>
    <w:p>
      <w:pPr>
        <w:spacing w:after="0" w:line="183" w:lineRule="exact"/>
        <w:rPr>
          <w:sz w:val="20"/>
          <w:szCs w:val="20"/>
          <w:color w:val="auto"/>
        </w:rPr>
      </w:pPr>
    </w:p>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Pricing Approvals, Market Access and Combination Product Decisions</w:t>
      </w:r>
      <w:r>
        <w:rPr>
          <w:rFonts w:ascii="Times New Roman" w:cs="Times New Roman" w:eastAsia="Times New Roman" w:hAnsi="Times New Roman"/>
          <w:sz w:val="18"/>
          <w:szCs w:val="18"/>
          <w:color w:val="auto"/>
        </w:rPr>
        <w:t>. For all Licensed Products, following the Effective Date, Company will exclusively control (a) all Pricing Approvals, (b) all decisions related to market access and (c) all decisions with respect to Commercialization of such Licensed Products as Combination Products.</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FINANCIAL TERMS</w:t>
      </w:r>
    </w:p>
    <w:p>
      <w:pPr>
        <w:spacing w:after="0" w:line="207"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Upfront Payment</w:t>
      </w:r>
      <w:r>
        <w:rPr>
          <w:rFonts w:ascii="Times New Roman" w:cs="Times New Roman" w:eastAsia="Times New Roman" w:hAnsi="Times New Roman"/>
          <w:sz w:val="18"/>
          <w:szCs w:val="18"/>
          <w:color w:val="auto"/>
        </w:rPr>
        <w:t xml:space="preserve">. In consideration of the licenses, rights and privileges granted by Maze to Company hereunder and subject to the terms and conditions of this Agreement, including any and all governmental approvals in Article 13 (Government Approvals), Maze will invoice Company promptly on or after the Effective Date, and Company will pay to Maze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receipt of such invoice, a one-time, non-refundable and non-creditable payment of $150 million USD in immediately available funds by wire transfer, in accordance with wire instructions to be provided by Maze to Company together with such invoice.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7.2.1 </w:t>
      </w:r>
      <w:r>
        <w:rPr>
          <w:rFonts w:ascii="Times New Roman" w:cs="Times New Roman" w:eastAsia="Times New Roman" w:hAnsi="Times New Roman"/>
          <w:sz w:val="18"/>
          <w:szCs w:val="18"/>
          <w:u w:val="single" w:color="auto"/>
          <w:color w:val="auto"/>
        </w:rPr>
        <w:t>Development Milestones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1428"/>
        <w:spacing w:after="0" w:line="258" w:lineRule="auto"/>
        <w:tabs>
          <w:tab w:leader="none" w:pos="1681"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 Milestone Payments</w:t>
      </w:r>
      <w:r>
        <w:rPr>
          <w:rFonts w:ascii="Times New Roman" w:cs="Times New Roman" w:eastAsia="Times New Roman" w:hAnsi="Times New Roman"/>
          <w:sz w:val="18"/>
          <w:szCs w:val="18"/>
          <w:color w:val="auto"/>
        </w:rPr>
        <w:t>. In consideration of the licenses, rights and privileges granted by Maze to Company hereunder and subject to the terms and conditions of this Agreement, Company will pay the applicable amount set forth in Table 7.2.1 (Development Milestones) associated with each milestone event described below (each event described in (a)-(h) in Table 7.2.1 (Development Milestones), a “</w:t>
      </w:r>
      <w:r>
        <w:rPr>
          <w:rFonts w:ascii="Times New Roman" w:cs="Times New Roman" w:eastAsia="Times New Roman" w:hAnsi="Times New Roman"/>
          <w:sz w:val="18"/>
          <w:szCs w:val="18"/>
          <w:b w:val="1"/>
          <w:bCs w:val="1"/>
          <w:color w:val="auto"/>
        </w:rPr>
        <w:t>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Milestone Event</w:t>
      </w:r>
      <w:r>
        <w:rPr>
          <w:rFonts w:ascii="Times New Roman" w:cs="Times New Roman" w:eastAsia="Times New Roman" w:hAnsi="Times New Roman"/>
          <w:sz w:val="18"/>
          <w:szCs w:val="18"/>
          <w:color w:val="auto"/>
        </w:rPr>
        <w:t>,” and each respective payment, a “</w:t>
      </w:r>
      <w:r>
        <w:rPr>
          <w:rFonts w:ascii="Times New Roman" w:cs="Times New Roman" w:eastAsia="Times New Roman" w:hAnsi="Times New Roman"/>
          <w:sz w:val="18"/>
          <w:szCs w:val="18"/>
          <w:b w:val="1"/>
          <w:bCs w:val="1"/>
          <w:color w:val="auto"/>
        </w:rPr>
        <w:t>Development Milestone Payment</w:t>
      </w:r>
      <w:r>
        <w:rPr>
          <w:rFonts w:ascii="Times New Roman" w:cs="Times New Roman" w:eastAsia="Times New Roman" w:hAnsi="Times New Roman"/>
          <w:sz w:val="18"/>
          <w:szCs w:val="18"/>
          <w:color w:val="auto"/>
        </w:rPr>
        <w:t>”) for the first Licensed Product to achieve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Milestone Event by Company, its Affiliate or Sublicensee: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69" w:right="459" w:bottom="1440" w:gutter="0" w:footer="0" w:header="0"/>
        </w:sectPr>
      </w:pPr>
    </w:p>
    <w:bookmarkStart w:id="582" w:name="page583"/>
    <w:bookmarkEnd w:id="582"/>
    <w:tbl>
      <w:tblPr>
        <w:tblLayout w:type="fixed"/>
        <w:tblInd w:w="1320" w:type="dxa"/>
        <w:tblCellMar>
          <w:top w:w="0" w:type="dxa"/>
          <w:left w:w="0" w:type="dxa"/>
          <w:bottom w:w="0" w:type="dxa"/>
          <w:right w:w="0" w:type="dxa"/>
        </w:tblCellMar>
      </w:tblPr>
      <w:tr>
        <w:trPr>
          <w:trHeight w:val="187"/>
        </w:trPr>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652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Table 7.2.1 – Development Milestones</w:t>
            </w:r>
          </w:p>
        </w:tc>
        <w:tc>
          <w:tcPr>
            <w:tcW w:w="0" w:type="dxa"/>
            <w:vAlign w:val="bottom"/>
          </w:tcPr>
          <w:p>
            <w:pPr>
              <w:spacing w:after="0"/>
              <w:rPr>
                <w:sz w:val="1"/>
                <w:szCs w:val="1"/>
                <w:color w:val="auto"/>
              </w:rPr>
            </w:pPr>
          </w:p>
        </w:tc>
      </w:tr>
      <w:tr>
        <w:trPr>
          <w:trHeight w:val="117"/>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Development Milestone Event</w:t>
            </w:r>
          </w:p>
        </w:tc>
        <w:tc>
          <w:tcPr>
            <w:tcW w:w="5080" w:type="dxa"/>
            <w:vAlign w:val="bottom"/>
          </w:tcPr>
          <w:p>
            <w:pPr>
              <w:spacing w:after="0"/>
              <w:rPr>
                <w:sz w:val="10"/>
                <w:szCs w:val="10"/>
                <w:color w:val="auto"/>
              </w:rPr>
            </w:pP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Development Milestone</w:t>
            </w:r>
          </w:p>
        </w:tc>
        <w:tc>
          <w:tcPr>
            <w:tcW w:w="0" w:type="dxa"/>
            <w:vAlign w:val="bottom"/>
          </w:tcPr>
          <w:p>
            <w:pPr>
              <w:spacing w:after="0"/>
              <w:rPr>
                <w:sz w:val="1"/>
                <w:szCs w:val="1"/>
                <w:color w:val="auto"/>
              </w:rPr>
            </w:pPr>
          </w:p>
        </w:tc>
      </w:tr>
      <w:tr>
        <w:trPr>
          <w:trHeight w:val="180"/>
        </w:trPr>
        <w:tc>
          <w:tcPr>
            <w:tcW w:w="1840" w:type="dxa"/>
            <w:vAlign w:val="bottom"/>
            <w:tcBorders>
              <w:bottom w:val="single" w:sz="8" w:color="auto"/>
            </w:tcBorders>
            <w:gridSpan w:val="2"/>
            <w:vMerge w:val="continue"/>
          </w:tcPr>
          <w:p>
            <w:pPr>
              <w:spacing w:after="0"/>
              <w:rPr>
                <w:sz w:val="15"/>
                <w:szCs w:val="15"/>
                <w:color w:val="auto"/>
              </w:rPr>
            </w:pPr>
          </w:p>
        </w:tc>
        <w:tc>
          <w:tcPr>
            <w:tcW w:w="5080" w:type="dxa"/>
            <w:vAlign w:val="bottom"/>
          </w:tcPr>
          <w:p>
            <w:pPr>
              <w:spacing w:after="0"/>
              <w:rPr>
                <w:sz w:val="15"/>
                <w:szCs w:val="15"/>
                <w:color w:val="auto"/>
              </w:rPr>
            </w:pP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203"/>
        </w:trPr>
        <w:tc>
          <w:tcPr>
            <w:tcW w:w="5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1320" w:type="dxa"/>
            <w:vAlign w:val="bottom"/>
            <w:tcBorders>
              <w:top w:val="single" w:sz="8" w:color="CCEEFF"/>
            </w:tcBorders>
            <w:shd w:val="clear" w:color="auto" w:fill="CCEEFF"/>
          </w:tcPr>
          <w:p>
            <w:pPr>
              <w:jc w:val="right"/>
              <w:ind w:right="51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50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520" w:type="dxa"/>
            <w:vAlign w:val="bottom"/>
            <w:gridSpan w:val="2"/>
          </w:tcPr>
          <w:p>
            <w:pPr>
              <w:jc w:val="center"/>
              <w:ind w:left="5013"/>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3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520" w:type="dxa"/>
            <w:vAlign w:val="bottom"/>
            <w:gridSpan w:val="2"/>
            <w:shd w:val="clear" w:color="auto" w:fill="CCEEFF"/>
          </w:tcPr>
          <w:p>
            <w:pPr>
              <w:jc w:val="center"/>
              <w:ind w:left="5013"/>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520" w:type="dxa"/>
            <w:vAlign w:val="bottom"/>
            <w:gridSpan w:val="2"/>
          </w:tcPr>
          <w:p>
            <w:pPr>
              <w:jc w:val="center"/>
              <w:ind w:left="5013"/>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13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520" w:type="dxa"/>
            <w:vAlign w:val="bottom"/>
            <w:gridSpan w:val="2"/>
            <w:shd w:val="clear" w:color="auto" w:fill="CCEEFF"/>
          </w:tcPr>
          <w:p>
            <w:pPr>
              <w:jc w:val="center"/>
              <w:ind w:left="5013"/>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520" w:type="dxa"/>
            <w:vAlign w:val="bottom"/>
            <w:gridSpan w:val="2"/>
          </w:tcPr>
          <w:p>
            <w:pPr>
              <w:jc w:val="center"/>
              <w:ind w:left="5013"/>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w:t>
            </w:r>
          </w:p>
        </w:tc>
        <w:tc>
          <w:tcPr>
            <w:tcW w:w="13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6520" w:type="dxa"/>
            <w:vAlign w:val="bottom"/>
            <w:gridSpan w:val="2"/>
            <w:shd w:val="clear" w:color="auto" w:fill="CCEEFF"/>
          </w:tcPr>
          <w:p>
            <w:pPr>
              <w:jc w:val="center"/>
              <w:ind w:left="5013"/>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80" w:firstLine="1428"/>
        <w:spacing w:after="0" w:line="258" w:lineRule="auto"/>
        <w:tabs>
          <w:tab w:leader="none" w:pos="1687"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Achievement of Development Milestones</w:t>
      </w:r>
      <w:r>
        <w:rPr>
          <w:rFonts w:ascii="Times New Roman" w:cs="Times New Roman" w:eastAsia="Times New Roman" w:hAnsi="Times New Roman"/>
          <w:sz w:val="18"/>
          <w:szCs w:val="18"/>
          <w:color w:val="auto"/>
        </w:rPr>
        <w:t>. Each Development Milestone Payment will be payable a maximum of one time as set forth in the table above, upon achievement of the applicable Development Milestone Event, regardless of the number of times the applicable Development Milestone Event is achieved. For clarity, if Company or its Affiliates or Sublicensees achieve all Development Milestone Events (regardless of the number of times such events occur or the number of Licensed Products that trigger such events), then the maximum amount payable by Company to Maze under this Section 7.2.1 (Development Milestones) is $275 million USD.</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7.2.2 </w:t>
      </w:r>
      <w:r>
        <w:rPr>
          <w:rFonts w:ascii="Times New Roman" w:cs="Times New Roman" w:eastAsia="Times New Roman" w:hAnsi="Times New Roman"/>
          <w:sz w:val="18"/>
          <w:szCs w:val="18"/>
          <w:u w:val="single" w:color="auto"/>
          <w:color w:val="auto"/>
        </w:rPr>
        <w:t>Sales Milestones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91"/>
        <w:spacing w:after="0" w:line="276" w:lineRule="auto"/>
        <w:rPr>
          <w:sz w:val="20"/>
          <w:szCs w:val="20"/>
          <w:color w:val="auto"/>
        </w:rPr>
      </w:pPr>
      <w:r>
        <w:rPr>
          <w:rFonts w:ascii="Times New Roman" w:cs="Times New Roman" w:eastAsia="Times New Roman" w:hAnsi="Times New Roman"/>
          <w:sz w:val="17"/>
          <w:szCs w:val="17"/>
          <w:color w:val="auto"/>
        </w:rPr>
        <w:t xml:space="preserve">7.2.3 (a) </w:t>
      </w:r>
      <w:r>
        <w:rPr>
          <w:rFonts w:ascii="Times New Roman" w:cs="Times New Roman" w:eastAsia="Times New Roman" w:hAnsi="Times New Roman"/>
          <w:sz w:val="17"/>
          <w:szCs w:val="17"/>
          <w:u w:val="single" w:color="auto"/>
          <w:color w:val="auto"/>
        </w:rPr>
        <w:t>Sales Milestone Payments</w:t>
      </w:r>
      <w:r>
        <w:rPr>
          <w:rFonts w:ascii="Times New Roman" w:cs="Times New Roman" w:eastAsia="Times New Roman" w:hAnsi="Times New Roman"/>
          <w:sz w:val="17"/>
          <w:szCs w:val="17"/>
          <w:color w:val="auto"/>
        </w:rPr>
        <w:t>. In consideration of the licenses, rights and privileges granted by Maze to Company hereunder and subject to the terms and conditions of this Agreement, Company will notify Maze of the first achievement of a given milestone event set forth in Table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7.2.2 (Sales Milestones) (each event described in (a)-(e) in Table 7.2.2 (Sales Milestones), a “</w:t>
      </w:r>
      <w:r>
        <w:rPr>
          <w:rFonts w:ascii="Times New Roman" w:cs="Times New Roman" w:eastAsia="Times New Roman" w:hAnsi="Times New Roman"/>
          <w:sz w:val="18"/>
          <w:szCs w:val="18"/>
          <w:b w:val="1"/>
          <w:bCs w:val="1"/>
          <w:color w:val="auto"/>
        </w:rPr>
        <w:t>Sales Milestone Event</w:t>
      </w:r>
      <w:r>
        <w:rPr>
          <w:rFonts w:ascii="Times New Roman" w:cs="Times New Roman" w:eastAsia="Times New Roman" w:hAnsi="Times New Roman"/>
          <w:sz w:val="18"/>
          <w:szCs w:val="18"/>
          <w:color w:val="auto"/>
        </w:rPr>
        <w:t>”), and Company will thereafter pay the applicable one- time, non-refundable, non-creditable sales-based amounts set forth in Table 7.2.2 (Sales Milestones) associated with the applicable Sales Milestone Event for Annual Net Sales of all Licensed Products (each, a “</w:t>
      </w:r>
      <w:r>
        <w:rPr>
          <w:rFonts w:ascii="Times New Roman" w:cs="Times New Roman" w:eastAsia="Times New Roman" w:hAnsi="Times New Roman"/>
          <w:sz w:val="18"/>
          <w:szCs w:val="18"/>
          <w:b w:val="1"/>
          <w:bCs w:val="1"/>
          <w:color w:val="auto"/>
        </w:rPr>
        <w:t>Sales Milestone Payment</w:t>
      </w:r>
      <w:r>
        <w:rPr>
          <w:rFonts w:ascii="Times New Roman" w:cs="Times New Roman" w:eastAsia="Times New Roman" w:hAnsi="Times New Roman"/>
          <w:sz w:val="18"/>
          <w:szCs w:val="18"/>
          <w:color w:val="auto"/>
        </w:rPr>
        <w:t>”) as may be adjusted in accordance herewith, in accordance with Section 7.2.3(b) (Sales Milestone Payments):</w:t>
      </w: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020" w:type="dxa"/>
            <w:vAlign w:val="bottom"/>
            <w:tcBorders>
              <w:bottom w:val="single" w:sz="8" w:color="auto"/>
            </w:tcBorders>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Table 7.2.2 – Sales Milestones</w:t>
            </w:r>
          </w:p>
        </w:tc>
        <w:tc>
          <w:tcPr>
            <w:tcW w:w="0" w:type="dxa"/>
            <w:vAlign w:val="bottom"/>
          </w:tcPr>
          <w:p>
            <w:pPr>
              <w:spacing w:after="0"/>
              <w:rPr>
                <w:sz w:val="1"/>
                <w:szCs w:val="1"/>
                <w:color w:val="auto"/>
              </w:rPr>
            </w:pPr>
          </w:p>
        </w:tc>
      </w:tr>
      <w:tr>
        <w:trPr>
          <w:trHeight w:val="117"/>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Sales Milestone Event</w:t>
            </w:r>
          </w:p>
        </w:tc>
        <w:tc>
          <w:tcPr>
            <w:tcW w:w="608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Sales Milestone</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gridSpan w:val="2"/>
            <w:vMerge w:val="continue"/>
          </w:tcPr>
          <w:p>
            <w:pPr>
              <w:spacing w:after="0"/>
              <w:rPr>
                <w:sz w:val="15"/>
                <w:szCs w:val="15"/>
                <w:color w:val="auto"/>
              </w:rPr>
            </w:pPr>
          </w:p>
        </w:tc>
        <w:tc>
          <w:tcPr>
            <w:tcW w:w="6080" w:type="dxa"/>
            <w:vAlign w:val="bottom"/>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203"/>
        </w:trPr>
        <w:tc>
          <w:tcPr>
            <w:tcW w:w="4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900" w:type="dxa"/>
            <w:vAlign w:val="bottom"/>
            <w:tcBorders>
              <w:top w:val="single" w:sz="8" w:color="CCEEFF"/>
            </w:tcBorders>
            <w:shd w:val="clear" w:color="auto" w:fill="CCEEFF"/>
          </w:tcPr>
          <w:p>
            <w:pPr>
              <w:jc w:val="right"/>
              <w:ind w:right="19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0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20" w:type="dxa"/>
            <w:vAlign w:val="bottom"/>
            <w:gridSpan w:val="2"/>
          </w:tcPr>
          <w:p>
            <w:pPr>
              <w:jc w:val="center"/>
              <w:ind w:left="5994"/>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20" w:type="dxa"/>
            <w:vAlign w:val="bottom"/>
            <w:gridSpan w:val="2"/>
            <w:shd w:val="clear" w:color="auto" w:fill="CCEEFF"/>
          </w:tcPr>
          <w:p>
            <w:pPr>
              <w:jc w:val="center"/>
              <w:ind w:left="5994"/>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20" w:type="dxa"/>
            <w:vAlign w:val="bottom"/>
            <w:gridSpan w:val="2"/>
          </w:tcPr>
          <w:p>
            <w:pPr>
              <w:jc w:val="center"/>
              <w:ind w:left="5994"/>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20" w:type="dxa"/>
            <w:vAlign w:val="bottom"/>
            <w:gridSpan w:val="2"/>
            <w:shd w:val="clear" w:color="auto" w:fill="CCEEFF"/>
          </w:tcPr>
          <w:p>
            <w:pPr>
              <w:jc w:val="center"/>
              <w:ind w:left="5994"/>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0" w:firstLine="1428"/>
        <w:spacing w:after="0" w:line="272" w:lineRule="auto"/>
        <w:tabs>
          <w:tab w:leader="none" w:pos="1687" w:val="left"/>
        </w:tabs>
        <w:numPr>
          <w:ilvl w:val="0"/>
          <w:numId w:val="4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Achievement of Sales Milestones</w:t>
      </w:r>
      <w:r>
        <w:rPr>
          <w:rFonts w:ascii="Times New Roman" w:cs="Times New Roman" w:eastAsia="Times New Roman" w:hAnsi="Times New Roman"/>
          <w:sz w:val="17"/>
          <w:szCs w:val="17"/>
          <w:color w:val="auto"/>
        </w:rPr>
        <w:t>. Each Sales Milestone Event will be payable a maximum of one time as set forth in the table above, upon achievement of the applicable Sales Milestone Event, regardless of the number of times the applicable Sales Milestone Event is achieved. For clarity, no Sales Milestone Payment will be due hereunder for any subsequent or repeated achievement of any such same Sales Milestone Event.</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Further, Net Sales for a given Licensed Product in a given country for which the Royalty Term has expired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63" w:right="439" w:bottom="1440" w:gutter="0" w:footer="0" w:header="0"/>
        </w:sectPr>
      </w:pPr>
    </w:p>
    <w:bookmarkStart w:id="583" w:name="page584"/>
    <w:bookmarkEnd w:id="583"/>
    <w:p>
      <w:pPr>
        <w:ind w:right="1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not be included in the Annual Net Sales for purposes of the Sales Milestone Events or Sales Milestone Payments. For clarity, if Company or its Affiliates or Sublicensees achieve all Sales Milestone Events (regardless of the number of times such events occur or the number of Licensed Products that trigger such events), then the maximum amount payable by Company to Maze under this Section 7.2.2 (Sales Milestones) is $330 million USD.</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7.2.4 </w:t>
      </w:r>
      <w:r>
        <w:rPr>
          <w:rFonts w:ascii="Times New Roman" w:cs="Times New Roman" w:eastAsia="Times New Roman" w:hAnsi="Times New Roman"/>
          <w:sz w:val="18"/>
          <w:szCs w:val="18"/>
          <w:u w:val="single" w:color="auto"/>
          <w:color w:val="auto"/>
        </w:rPr>
        <w:t>Invoicing and Payment of Milestone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1428"/>
        <w:spacing w:after="0" w:line="281" w:lineRule="auto"/>
        <w:tabs>
          <w:tab w:leader="none" w:pos="1677"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Development Milestone Payments</w:t>
      </w:r>
      <w:r>
        <w:rPr>
          <w:rFonts w:ascii="Times New Roman" w:cs="Times New Roman" w:eastAsia="Times New Roman" w:hAnsi="Times New Roman"/>
          <w:sz w:val="17"/>
          <w:szCs w:val="17"/>
          <w:color w:val="auto"/>
        </w:rPr>
        <w:t xml:space="preserve">. In the event that Company or any of its Affiliates or its Sublicensees under this Agreement achieves a Development Milestone Event, Company will notify Maze thereof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of such achievement. Following Maze’s receipt of notice from Company that Company has achieved a Development Milestone Event, Maze will invoice Company for the applicable Development Milestone Payment, and Company will pay to Maze such Development Milestone Payment in accordance with Section 7.5.2 (Invoices).</w:t>
      </w:r>
    </w:p>
    <w:p>
      <w:pPr>
        <w:spacing w:after="0" w:line="56" w:lineRule="exact"/>
        <w:rPr>
          <w:rFonts w:ascii="Times New Roman" w:cs="Times New Roman" w:eastAsia="Times New Roman" w:hAnsi="Times New Roman"/>
          <w:sz w:val="17"/>
          <w:szCs w:val="17"/>
          <w:color w:val="auto"/>
        </w:rPr>
      </w:pPr>
    </w:p>
    <w:p>
      <w:pPr>
        <w:jc w:val="both"/>
        <w:ind w:firstLine="1428"/>
        <w:spacing w:after="0" w:line="261" w:lineRule="auto"/>
        <w:tabs>
          <w:tab w:leader="none" w:pos="1687"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Milestone Payments</w:t>
      </w:r>
      <w:r>
        <w:rPr>
          <w:rFonts w:ascii="Times New Roman" w:cs="Times New Roman" w:eastAsia="Times New Roman" w:hAnsi="Times New Roman"/>
          <w:sz w:val="18"/>
          <w:szCs w:val="18"/>
          <w:color w:val="auto"/>
        </w:rPr>
        <w:t>. In the event that Annual Net Sales of any applicable Licensed Product first achieve a Sales Milestone Event during a particular Calendar Year, Company will notify Maze thereof in the last Royalty Report for such Calendar Year as described in Section 7.4 (Royalty Payments and Reporting). Following Maze’s receipt of such Royalty Report, Maze will invoice Company for the applicable Sales Milestone Payment and Company will pay to Maze such Sales Milestone Payment in accordance with Section 7.5.2 (Invoices).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7.3.1 U.S. Royalty Rates. In consideration of the licenses, rights and privileges granted by Maze to Company hereunder in the U.S. and subject to the terms and conditions of this Agreement, on a Licensed Product-by-Licensed Product basis, Company will pay Maze royalties on Annual Net Sales in the U.S., during the applicable Royalty Term, equal to the portions of Annual Net Sales in the U.S. of a given Licensed Product as set forth in the table below in this Section 7.3.1 (Royalty Rates) multiplied by the applicable royalty rate set forth in the table below in this Section 7.3.1 (Royalty Rates) for such portion of Annual Net Sales in the U.S. during the applicable Royalty Term for such Licensed Product, as may be adjusted in accordance herewith. For further clarity, there will be separate applicable royalty rates and tiers, one set to be applied with respect to Net Sales in the U.S. and another one to be applied with respect to Net Sales in the ex-U.S.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outside the United States).</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Royalty</w:t>
            </w:r>
          </w:p>
        </w:tc>
        <w:tc>
          <w:tcPr>
            <w:tcW w:w="0" w:type="dxa"/>
            <w:vAlign w:val="bottom"/>
          </w:tcPr>
          <w:p>
            <w:pPr>
              <w:spacing w:after="0"/>
              <w:rPr>
                <w:sz w:val="1"/>
                <w:szCs w:val="1"/>
                <w:color w:val="auto"/>
              </w:rPr>
            </w:pPr>
          </w:p>
        </w:tc>
      </w:tr>
      <w:tr>
        <w:trPr>
          <w:trHeight w:val="148"/>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Annual Net Sales in the U.S.</w:t>
            </w:r>
          </w:p>
        </w:tc>
        <w:tc>
          <w:tcPr>
            <w:tcW w:w="47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Rate for</w:t>
            </w:r>
          </w:p>
        </w:tc>
        <w:tc>
          <w:tcPr>
            <w:tcW w:w="0" w:type="dxa"/>
            <w:vAlign w:val="bottom"/>
          </w:tcPr>
          <w:p>
            <w:pPr>
              <w:spacing w:after="0"/>
              <w:rPr>
                <w:sz w:val="1"/>
                <w:szCs w:val="1"/>
                <w:color w:val="auto"/>
              </w:rPr>
            </w:pPr>
          </w:p>
        </w:tc>
      </w:tr>
      <w:tr>
        <w:trPr>
          <w:trHeight w:val="144"/>
        </w:trPr>
        <w:tc>
          <w:tcPr>
            <w:tcW w:w="3140" w:type="dxa"/>
            <w:vAlign w:val="bottom"/>
            <w:gridSpan w:val="2"/>
            <w:vMerge w:val="continue"/>
          </w:tcPr>
          <w:p>
            <w:pPr>
              <w:spacing w:after="0"/>
              <w:rPr>
                <w:sz w:val="12"/>
                <w:szCs w:val="12"/>
                <w:color w:val="auto"/>
              </w:rPr>
            </w:pPr>
          </w:p>
        </w:tc>
        <w:tc>
          <w:tcPr>
            <w:tcW w:w="4720" w:type="dxa"/>
            <w:vAlign w:val="bottom"/>
          </w:tcPr>
          <w:p>
            <w:pPr>
              <w:spacing w:after="0"/>
              <w:rPr>
                <w:sz w:val="12"/>
                <w:szCs w:val="12"/>
                <w:color w:val="auto"/>
              </w:rPr>
            </w:pPr>
          </w:p>
        </w:tc>
        <w:tc>
          <w:tcPr>
            <w:tcW w:w="5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U.S. Net</w:t>
            </w:r>
          </w:p>
        </w:tc>
        <w:tc>
          <w:tcPr>
            <w:tcW w:w="0" w:type="dxa"/>
            <w:vAlign w:val="bottom"/>
          </w:tcPr>
          <w:p>
            <w:pPr>
              <w:spacing w:after="0"/>
              <w:rPr>
                <w:sz w:val="1"/>
                <w:szCs w:val="1"/>
                <w:color w:val="auto"/>
              </w:rPr>
            </w:pPr>
          </w:p>
        </w:tc>
      </w:tr>
      <w:tr>
        <w:trPr>
          <w:trHeight w:val="182"/>
        </w:trPr>
        <w:tc>
          <w:tcPr>
            <w:tcW w:w="3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for a given Licensed Product in a given Calendar Year</w:t>
            </w:r>
          </w:p>
        </w:tc>
        <w:tc>
          <w:tcPr>
            <w:tcW w:w="47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Sales</w:t>
            </w:r>
          </w:p>
        </w:tc>
        <w:tc>
          <w:tcPr>
            <w:tcW w:w="0" w:type="dxa"/>
            <w:vAlign w:val="bottom"/>
          </w:tcPr>
          <w:p>
            <w:pPr>
              <w:spacing w:after="0"/>
              <w:rPr>
                <w:sz w:val="1"/>
                <w:szCs w:val="1"/>
                <w:color w:val="auto"/>
              </w:rPr>
            </w:pPr>
          </w:p>
        </w:tc>
      </w:tr>
      <w:tr>
        <w:trPr>
          <w:trHeight w:val="203"/>
        </w:trPr>
        <w:tc>
          <w:tcPr>
            <w:tcW w:w="3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2800" w:type="dxa"/>
            <w:vAlign w:val="bottom"/>
            <w:tcBorders>
              <w:top w:val="single" w:sz="8" w:color="CCEEFF"/>
            </w:tcBorders>
            <w:shd w:val="clear" w:color="auto" w:fill="CCEEFF"/>
          </w:tcPr>
          <w:p>
            <w:pPr>
              <w:jc w:val="right"/>
              <w:ind w:right="221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7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80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w:t>
            </w:r>
          </w:p>
        </w:tc>
        <w:tc>
          <w:tcPr>
            <w:tcW w:w="5220" w:type="dxa"/>
            <w:vAlign w:val="bottom"/>
            <w:gridSpan w:val="2"/>
          </w:tcPr>
          <w:p>
            <w:pPr>
              <w:jc w:val="center"/>
              <w:ind w:left="4630"/>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2800" w:type="dxa"/>
            <w:vAlign w:val="bottom"/>
            <w:shd w:val="clear" w:color="auto" w:fill="CCEEFF"/>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w:t>
            </w:r>
          </w:p>
        </w:tc>
        <w:tc>
          <w:tcPr>
            <w:tcW w:w="5220" w:type="dxa"/>
            <w:vAlign w:val="bottom"/>
            <w:gridSpan w:val="2"/>
            <w:shd w:val="clear" w:color="auto" w:fill="CCEEFF"/>
          </w:tcPr>
          <w:p>
            <w:pPr>
              <w:jc w:val="center"/>
              <w:ind w:left="4630"/>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720" w:type="dxa"/>
            <w:vAlign w:val="bottom"/>
          </w:tcPr>
          <w:p>
            <w:pPr>
              <w:jc w:val="right"/>
              <w:ind w:right="3490"/>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9" w:right="459" w:bottom="1440" w:gutter="0" w:footer="0" w:header="0"/>
        </w:sectPr>
      </w:pPr>
    </w:p>
    <w:bookmarkStart w:id="584" w:name="page585"/>
    <w:bookmarkEnd w:id="584"/>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7.3.2 </w:t>
      </w:r>
      <w:r>
        <w:rPr>
          <w:rFonts w:ascii="Times New Roman" w:cs="Times New Roman" w:eastAsia="Times New Roman" w:hAnsi="Times New Roman"/>
          <w:sz w:val="18"/>
          <w:szCs w:val="18"/>
          <w:u w:val="single" w:color="auto"/>
          <w:color w:val="auto"/>
        </w:rPr>
        <w:t>ex-U.S. Royalty Rates</w:t>
      </w:r>
      <w:r>
        <w:rPr>
          <w:rFonts w:ascii="Times New Roman" w:cs="Times New Roman" w:eastAsia="Times New Roman" w:hAnsi="Times New Roman"/>
          <w:sz w:val="18"/>
          <w:szCs w:val="18"/>
          <w:color w:val="auto"/>
        </w:rPr>
        <w:t>. In consideration of the licenses, rights and privileges granted by Maze to Company hereunder ex-U.S.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outside the U.S.) and subject to the terms and conditions of this Agreement, on a Licensed Product-by-Licensed Product basis, Company will pay Maze royalties on Annual Net Sales outside the U.S. in the Territory, during the applicable Royalty Term, equal to the portions of Annual Net Sales of a given Licensed Product outside the U.S. in the Territory as set forth in the table below in this Section 7.3.2 (ex-U.S. Royalty Rates) multiplied by the applicable royalty rate set forth in the table below in this Section 7.3.2 (ex-U.S. Royalty Rates) for such portion of Annual Net Sales in the applicable country outside the U.S. in the Territory during the applicable Royalty Term for such Licensed Product, as may be adjusted in accordance herewith. For clarity, the Net Sales for a given Licensed Product in a given country for which the Royalty Term has expired will not be included in the Annual Net Sales for purposes of calculating the royalties (and royalty tiers). For further clarity, there will be separate applicable royalty rates and tiers, one set to be applied with respect to Net Sales in the U.S. and another one to be applied with respect to Net Sales in the ex-U.S.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outside the United States).</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Annual Net Sales outside the U.S. in the Territory for a given Licensed Product in a given</w:t>
            </w:r>
          </w:p>
        </w:tc>
        <w:tc>
          <w:tcPr>
            <w:tcW w:w="144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Royalty Rate for Net</w:t>
            </w:r>
          </w:p>
        </w:tc>
        <w:tc>
          <w:tcPr>
            <w:tcW w:w="0" w:type="dxa"/>
            <w:vAlign w:val="bottom"/>
          </w:tcPr>
          <w:p>
            <w:pPr>
              <w:spacing w:after="0"/>
              <w:rPr>
                <w:sz w:val="1"/>
                <w:szCs w:val="1"/>
                <w:color w:val="auto"/>
              </w:rPr>
            </w:pPr>
          </w:p>
        </w:tc>
      </w:tr>
      <w:tr>
        <w:trPr>
          <w:trHeight w:val="146"/>
        </w:trPr>
        <w:tc>
          <w:tcPr>
            <w:tcW w:w="5460" w:type="dxa"/>
            <w:vAlign w:val="bottom"/>
            <w:gridSpan w:val="2"/>
            <w:vMerge w:val="continue"/>
          </w:tcPr>
          <w:p>
            <w:pPr>
              <w:spacing w:after="0"/>
              <w:rPr>
                <w:sz w:val="12"/>
                <w:szCs w:val="12"/>
                <w:color w:val="auto"/>
              </w:rPr>
            </w:pPr>
          </w:p>
        </w:tc>
        <w:tc>
          <w:tcPr>
            <w:tcW w:w="1440" w:type="dxa"/>
            <w:vAlign w:val="bottom"/>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Sales outside the U.S. in</w:t>
            </w:r>
          </w:p>
        </w:tc>
        <w:tc>
          <w:tcPr>
            <w:tcW w:w="0" w:type="dxa"/>
            <w:vAlign w:val="bottom"/>
          </w:tcPr>
          <w:p>
            <w:pPr>
              <w:spacing w:after="0"/>
              <w:rPr>
                <w:sz w:val="1"/>
                <w:szCs w:val="1"/>
                <w:color w:val="auto"/>
              </w:rPr>
            </w:pPr>
          </w:p>
        </w:tc>
      </w:tr>
      <w:tr>
        <w:trPr>
          <w:trHeight w:val="182"/>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Calendar Year</w:t>
            </w:r>
          </w:p>
        </w:tc>
        <w:tc>
          <w:tcPr>
            <w:tcW w:w="4500" w:type="dxa"/>
            <w:vAlign w:val="bottom"/>
            <w:tcBorders>
              <w:bottom w:val="single" w:sz="8" w:color="auto"/>
            </w:tcBorders>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Territory</w:t>
            </w:r>
          </w:p>
        </w:tc>
        <w:tc>
          <w:tcPr>
            <w:tcW w:w="0" w:type="dxa"/>
            <w:vAlign w:val="bottom"/>
          </w:tcPr>
          <w:p>
            <w:pPr>
              <w:spacing w:after="0"/>
              <w:rPr>
                <w:sz w:val="1"/>
                <w:szCs w:val="1"/>
                <w:color w:val="auto"/>
              </w:rPr>
            </w:pPr>
          </w:p>
        </w:tc>
      </w:tr>
      <w:tr>
        <w:trPr>
          <w:trHeight w:val="203"/>
        </w:trPr>
        <w:tc>
          <w:tcPr>
            <w:tcW w:w="9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4500" w:type="dxa"/>
            <w:vAlign w:val="bottom"/>
            <w:tcBorders>
              <w:top w:val="single" w:sz="8" w:color="CCEEFF"/>
            </w:tcBorders>
            <w:shd w:val="clear" w:color="auto" w:fill="CCEEFF"/>
          </w:tcPr>
          <w:p>
            <w:pPr>
              <w:jc w:val="right"/>
              <w:ind w:right="397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4500" w:type="dxa"/>
            <w:vAlign w:val="bottom"/>
          </w:tcPr>
          <w:p>
            <w:pPr>
              <w:jc w:val="right"/>
              <w:ind w:right="3970"/>
              <w:spacing w:after="0"/>
              <w:rPr>
                <w:sz w:val="20"/>
                <w:szCs w:val="20"/>
                <w:color w:val="auto"/>
              </w:rPr>
            </w:pPr>
            <w:r>
              <w:rPr>
                <w:rFonts w:ascii="Times New Roman" w:cs="Times New Roman" w:eastAsia="Times New Roman" w:hAnsi="Times New Roman"/>
                <w:sz w:val="18"/>
                <w:szCs w:val="18"/>
                <w:b w:val="1"/>
                <w:bCs w:val="1"/>
                <w:color w:val="auto"/>
              </w:rPr>
              <w:t>[***]</w:t>
            </w:r>
          </w:p>
        </w:tc>
        <w:tc>
          <w:tcPr>
            <w:tcW w:w="290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4500" w:type="dxa"/>
            <w:vAlign w:val="bottom"/>
            <w:shd w:val="clear" w:color="auto" w:fill="CCEEFF"/>
          </w:tcPr>
          <w:p>
            <w:pPr>
              <w:jc w:val="right"/>
              <w:ind w:right="3970"/>
              <w:spacing w:after="0"/>
              <w:rPr>
                <w:sz w:val="20"/>
                <w:szCs w:val="20"/>
                <w:color w:val="auto"/>
              </w:rPr>
            </w:pPr>
            <w:r>
              <w:rPr>
                <w:rFonts w:ascii="Times New Roman" w:cs="Times New Roman" w:eastAsia="Times New Roman" w:hAnsi="Times New Roman"/>
                <w:sz w:val="18"/>
                <w:szCs w:val="18"/>
                <w:b w:val="1"/>
                <w:bCs w:val="1"/>
                <w:color w:val="auto"/>
              </w:rPr>
              <w:t>[***]</w:t>
            </w:r>
          </w:p>
        </w:tc>
        <w:tc>
          <w:tcPr>
            <w:tcW w:w="2900" w:type="dxa"/>
            <w:vAlign w:val="bottom"/>
            <w:gridSpan w:val="2"/>
            <w:shd w:val="clear" w:color="auto" w:fill="CCEEFF"/>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7.3.3 </w:t>
      </w:r>
      <w:r>
        <w:rPr>
          <w:rFonts w:ascii="Times New Roman" w:cs="Times New Roman" w:eastAsia="Times New Roman" w:hAnsi="Times New Roman"/>
          <w:sz w:val="18"/>
          <w:szCs w:val="18"/>
          <w:u w:val="single" w:color="auto"/>
          <w:color w:val="auto"/>
        </w:rPr>
        <w:t>Company-Developed Licensed Compound Royalties</w:t>
      </w:r>
      <w:r>
        <w:rPr>
          <w:rFonts w:ascii="Times New Roman" w:cs="Times New Roman" w:eastAsia="Times New Roman" w:hAnsi="Times New Roman"/>
          <w:sz w:val="18"/>
          <w:szCs w:val="18"/>
          <w:color w:val="auto"/>
        </w:rPr>
        <w:t xml:space="preserve">. Notwithstanding anything else to the contrary in this Agreement, the royalty rates that will be applied with respect to any Company-Developed Licensed Compound shall be reduced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what they otherwise would have been after applying all of the other terms and conditions of this Agreement.</w:t>
      </w:r>
    </w:p>
    <w:p>
      <w:pPr>
        <w:spacing w:after="0" w:line="68"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7.3.4 </w:t>
      </w:r>
      <w:r>
        <w:rPr>
          <w:rFonts w:ascii="Times New Roman" w:cs="Times New Roman" w:eastAsia="Times New Roman" w:hAnsi="Times New Roman"/>
          <w:sz w:val="18"/>
          <w:szCs w:val="18"/>
          <w:u w:val="single" w:color="auto"/>
          <w:color w:val="auto"/>
        </w:rPr>
        <w:t>Royalty Term</w:t>
      </w:r>
      <w:r>
        <w:rPr>
          <w:rFonts w:ascii="Times New Roman" w:cs="Times New Roman" w:eastAsia="Times New Roman" w:hAnsi="Times New Roman"/>
          <w:sz w:val="18"/>
          <w:szCs w:val="18"/>
          <w:color w:val="auto"/>
        </w:rPr>
        <w:t>. Company’s royalty obligations to Maze under Section 7.3.1 (U.S. Royalty Rates) and Section 7.3.2 (ex-U.S. Royalty Rates) will apply, on a Licensed Product-by-Licensed Product and country-by-country basis, only during the applicable Royalty Term for such Licensed Product in such country. Following the expiration of the applicable Royalty Term for a given Licensed Product in a given country: (a) no further royalties will be payable with respect to sales of such Licensed Product in such country; and (b) the license granted to Company under this Agreement with respect to such Licensed Product in such country will become fully paid-up, perpetual, irrevocable and royalty-free in accordance with Section 12.1 (Term; Expiration).</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7.3.5 </w:t>
      </w:r>
      <w:r>
        <w:rPr>
          <w:rFonts w:ascii="Times New Roman" w:cs="Times New Roman" w:eastAsia="Times New Roman" w:hAnsi="Times New Roman"/>
          <w:sz w:val="18"/>
          <w:szCs w:val="18"/>
          <w:u w:val="single" w:color="auto"/>
          <w:color w:val="auto"/>
        </w:rPr>
        <w:t>Royalty Reductions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1428"/>
        <w:spacing w:after="0" w:line="261" w:lineRule="auto"/>
        <w:tabs>
          <w:tab w:leader="none" w:pos="1677"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Valid Claims</w:t>
      </w:r>
      <w:r>
        <w:rPr>
          <w:rFonts w:ascii="Times New Roman" w:cs="Times New Roman" w:eastAsia="Times New Roman" w:hAnsi="Times New Roman"/>
          <w:sz w:val="18"/>
          <w:szCs w:val="18"/>
          <w:color w:val="auto"/>
        </w:rPr>
        <w:t xml:space="preserve">. On a Licensed Product-by-Licensed Product and country-by-country basis, during the Royalty Term for such Licensed Product, if such Licensed Product is not Covered by a Valid Claim in such country that would be infringed by the sale of such Licensed Product in such country, then the then-applicable royalty rate payable with respect to Annual Net Sales of such Licensed Product pursuant to this Section 7.3 (Royalties) in such country will be reduced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7" w:right="459" w:bottom="1440" w:gutter="0" w:footer="0" w:header="0"/>
        </w:sectPr>
      </w:pPr>
    </w:p>
    <w:bookmarkStart w:id="585" w:name="page586"/>
    <w:bookmarkEnd w:id="585"/>
    <w:p>
      <w:pPr>
        <w:jc w:val="both"/>
        <w:ind w:right="240" w:firstLine="1428"/>
        <w:spacing w:after="0" w:line="257" w:lineRule="auto"/>
        <w:tabs>
          <w:tab w:leader="none" w:pos="1687"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Generic Competition; Price Reduction</w:t>
      </w:r>
      <w:r>
        <w:rPr>
          <w:rFonts w:ascii="Times New Roman" w:cs="Times New Roman" w:eastAsia="Times New Roman" w:hAnsi="Times New Roman"/>
          <w:sz w:val="18"/>
          <w:szCs w:val="18"/>
          <w:color w:val="auto"/>
        </w:rPr>
        <w:t xml:space="preserve">. On a Licensed Product-by- Licensed Product and country-by-country basis, during the Royalty Term for such Licensed Product, following Generic Competition first occurring for a Licensed Product in a country, if the average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Net Sales of such Licensed Product in such country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declines by the percentage set forth in (i)-(iii) in the table below in this Section 7.3.5(b)</w:t>
      </w:r>
    </w:p>
    <w:p>
      <w:pPr>
        <w:spacing w:after="0" w:line="1"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(Generic Competition; Price Reduction) relative to the average Net Sales of such Licensed Product in such country occurring during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immediately preceding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which such Generic Competition first occurred (the “</w:t>
      </w:r>
      <w:r>
        <w:rPr>
          <w:rFonts w:ascii="Times New Roman" w:cs="Times New Roman" w:eastAsia="Times New Roman" w:hAnsi="Times New Roman"/>
          <w:sz w:val="18"/>
          <w:szCs w:val="18"/>
          <w:b w:val="1"/>
          <w:bCs w:val="1"/>
          <w:color w:val="auto"/>
        </w:rPr>
        <w:t>Sales Before Generic Competition</w:t>
      </w:r>
      <w:r>
        <w:rPr>
          <w:rFonts w:ascii="Times New Roman" w:cs="Times New Roman" w:eastAsia="Times New Roman" w:hAnsi="Times New Roman"/>
          <w:sz w:val="18"/>
          <w:szCs w:val="18"/>
          <w:color w:val="auto"/>
        </w:rPr>
        <w:t xml:space="preserve">”), then, thereafter, the then-applicable royalty rate payable with respect to Annual Net Sales of such Licensed Product pursuant to this Section 7.3 (Royalties) in such country will be permanently reduced by the percentage described in the table below in this Section 7.3.5(b) (Generic Competition; Price Reduction), and thereby the royalty reduction will increase over time if the average Net Sales decreases sufficiently over time as compared to such Sales Before Generic Competition by having a greater royalty reduction apply in place of an earlier (lower) reduction. In addition, on a Licensed Product-by-Licensed Product and country-by-country basis, during the Royalty Term for such Licensed Product, following the first adverse change in a Pricing Approval or other pricing or reimbursement status for a Licensed Product in a country, if the average quarterly Net Sales of such Licensed Product in such country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declines by the percentage set forth in (i)-(iii) in the table below in this Section 7.3.5(b) (Generic Competition; Price Reduction) relative to the average Net Sales of such Licensed Product in such country occurring during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immediately preceding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during which such adverse change first occurred (the “</w:t>
      </w:r>
      <w:r>
        <w:rPr>
          <w:rFonts w:ascii="Times New Roman" w:cs="Times New Roman" w:eastAsia="Times New Roman" w:hAnsi="Times New Roman"/>
          <w:sz w:val="18"/>
          <w:szCs w:val="18"/>
          <w:b w:val="1"/>
          <w:bCs w:val="1"/>
          <w:color w:val="auto"/>
        </w:rPr>
        <w:t>Base Sales</w:t>
      </w:r>
      <w:r>
        <w:rPr>
          <w:rFonts w:ascii="Times New Roman" w:cs="Times New Roman" w:eastAsia="Times New Roman" w:hAnsi="Times New Roman"/>
          <w:sz w:val="18"/>
          <w:szCs w:val="18"/>
          <w:color w:val="auto"/>
        </w:rPr>
        <w:t>”), then, thereafter, the then-applicable royalty rate payable with respect to Annual Net Sales of such Licensed Product pursuant to this Section 7.3 (Royalties) in such country will be permanently reduced by the percentage described in the table below in this</w:t>
      </w:r>
    </w:p>
    <w:p>
      <w:pPr>
        <w:spacing w:after="0" w:line="4" w:lineRule="exact"/>
        <w:rPr>
          <w:rFonts w:ascii="Times New Roman" w:cs="Times New Roman" w:eastAsia="Times New Roman" w:hAnsi="Times New Roman"/>
          <w:sz w:val="18"/>
          <w:szCs w:val="18"/>
          <w:color w:val="auto"/>
        </w:rPr>
      </w:pPr>
    </w:p>
    <w:p>
      <w:pPr>
        <w:ind w:right="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7.3.5(b) (Generic Competition; Price Reduction), and thereby the royalty reduction will increase over time if the average Net Sales decreases sufficiently over time as compared to such Base Sales by having a greater royalty reduction apply in place of an earlier (lower) reduction. Royalty reductions due to Generic Competition and adverse changes to Pricing Approvals will apply separately from (and potentially additively to) one another.</w:t>
      </w:r>
    </w:p>
    <w:p>
      <w:pPr>
        <w:spacing w:after="0" w:line="17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Decline in Annual Net Sales</w:t>
            </w:r>
          </w:p>
        </w:tc>
        <w:tc>
          <w:tcPr>
            <w:tcW w:w="60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Royalty</w:t>
            </w:r>
          </w:p>
        </w:tc>
        <w:tc>
          <w:tcPr>
            <w:tcW w:w="0" w:type="dxa"/>
            <w:vAlign w:val="bottom"/>
          </w:tcPr>
          <w:p>
            <w:pPr>
              <w:spacing w:after="0"/>
              <w:rPr>
                <w:sz w:val="1"/>
                <w:szCs w:val="1"/>
                <w:color w:val="auto"/>
              </w:rPr>
            </w:pPr>
          </w:p>
        </w:tc>
      </w:tr>
      <w:tr>
        <w:trPr>
          <w:trHeight w:val="180"/>
        </w:trPr>
        <w:tc>
          <w:tcPr>
            <w:tcW w:w="1720" w:type="dxa"/>
            <w:vAlign w:val="bottom"/>
            <w:tcBorders>
              <w:bottom w:val="single" w:sz="8" w:color="auto"/>
            </w:tcBorders>
            <w:gridSpan w:val="2"/>
            <w:vMerge w:val="continue"/>
          </w:tcPr>
          <w:p>
            <w:pPr>
              <w:spacing w:after="0"/>
              <w:rPr>
                <w:sz w:val="15"/>
                <w:szCs w:val="15"/>
                <w:color w:val="auto"/>
              </w:rPr>
            </w:pPr>
          </w:p>
        </w:tc>
        <w:tc>
          <w:tcPr>
            <w:tcW w:w="602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Reduction</w:t>
            </w:r>
          </w:p>
        </w:tc>
        <w:tc>
          <w:tcPr>
            <w:tcW w:w="0" w:type="dxa"/>
            <w:vAlign w:val="bottom"/>
          </w:tcPr>
          <w:p>
            <w:pPr>
              <w:spacing w:after="0"/>
              <w:rPr>
                <w:sz w:val="1"/>
                <w:szCs w:val="1"/>
                <w:color w:val="auto"/>
              </w:rPr>
            </w:pPr>
          </w:p>
        </w:tc>
      </w:tr>
      <w:tr>
        <w:trPr>
          <w:trHeight w:val="203"/>
        </w:trPr>
        <w:tc>
          <w:tcPr>
            <w:tcW w:w="4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w:t>
            </w:r>
          </w:p>
        </w:tc>
        <w:tc>
          <w:tcPr>
            <w:tcW w:w="1280" w:type="dxa"/>
            <w:vAlign w:val="bottom"/>
            <w:tcBorders>
              <w:top w:val="single" w:sz="8" w:color="CCEEFF"/>
            </w:tcBorders>
            <w:shd w:val="clear" w:color="auto" w:fill="CCEEFF"/>
          </w:tcPr>
          <w:p>
            <w:pPr>
              <w:jc w:val="right"/>
              <w:ind w:right="63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0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12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6640" w:type="dxa"/>
            <w:vAlign w:val="bottom"/>
            <w:gridSpan w:val="2"/>
          </w:tcPr>
          <w:p>
            <w:pPr>
              <w:jc w:val="center"/>
              <w:ind w:left="5930"/>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(iii)</w:t>
            </w:r>
          </w:p>
        </w:tc>
        <w:tc>
          <w:tcPr>
            <w:tcW w:w="12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6640" w:type="dxa"/>
            <w:vAlign w:val="bottom"/>
            <w:gridSpan w:val="2"/>
            <w:shd w:val="clear" w:color="auto" w:fill="CCEEFF"/>
          </w:tcPr>
          <w:p>
            <w:pPr>
              <w:jc w:val="center"/>
              <w:ind w:left="5930"/>
              <w:spacing w:after="0"/>
              <w:rPr>
                <w:sz w:val="20"/>
                <w:szCs w:val="20"/>
                <w:color w:val="auto"/>
              </w:rPr>
            </w:pPr>
            <w:r>
              <w:rPr>
                <w:rFonts w:ascii="Times New Roman" w:cs="Times New Roman" w:eastAsia="Times New Roman" w:hAnsi="Times New Roman"/>
                <w:sz w:val="18"/>
                <w:szCs w:val="18"/>
                <w:b w:val="1"/>
                <w:bCs w:val="1"/>
                <w:color w:val="auto"/>
                <w:w w:val="97"/>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7.3.6 </w:t>
      </w:r>
      <w:r>
        <w:rPr>
          <w:rFonts w:ascii="Times New Roman" w:cs="Times New Roman" w:eastAsia="Times New Roman" w:hAnsi="Times New Roman"/>
          <w:sz w:val="18"/>
          <w:szCs w:val="18"/>
          <w:u w:val="single" w:color="auto"/>
          <w:color w:val="auto"/>
        </w:rPr>
        <w:t>Third Party Payments</w:t>
      </w:r>
      <w:r>
        <w:rPr>
          <w:rFonts w:ascii="Times New Roman" w:cs="Times New Roman" w:eastAsia="Times New Roman" w:hAnsi="Times New Roman"/>
          <w:sz w:val="18"/>
          <w:szCs w:val="18"/>
          <w:color w:val="auto"/>
        </w:rPr>
        <w:t>. If Company or any of its Affiliates or Sublicensees obtains in an arms-length transaction a right or license under any Patent, Know-How or other intellectual property right of a Third Party after the Effective Date that Covers the Manufacture, use or sale of a Licensed Compound (“</w:t>
      </w:r>
      <w:r>
        <w:rPr>
          <w:rFonts w:ascii="Times New Roman" w:cs="Times New Roman" w:eastAsia="Times New Roman" w:hAnsi="Times New Roman"/>
          <w:sz w:val="18"/>
          <w:szCs w:val="18"/>
          <w:b w:val="1"/>
          <w:bCs w:val="1"/>
          <w:color w:val="auto"/>
        </w:rPr>
        <w:t>Third Party IP</w:t>
      </w:r>
      <w:r>
        <w:rPr>
          <w:rFonts w:ascii="Times New Roman" w:cs="Times New Roman" w:eastAsia="Times New Roman" w:hAnsi="Times New Roman"/>
          <w:sz w:val="18"/>
          <w:szCs w:val="18"/>
          <w:color w:val="auto"/>
        </w:rPr>
        <w:t>”), or is subject to a judgment or settlement with a Third Party as a result of infringement of Third Party IP, in each case that results in any royalty, upfront, milestone, or other license fee, or judgment or settlement, in each case, solely to the extent attributed to such past, present or future infringement or alleged or potential infringement, payment to such Third Party by Company, its Affiliates or its Sublicensees, as applicable, (“</w:t>
      </w:r>
      <w:r>
        <w:rPr>
          <w:rFonts w:ascii="Times New Roman" w:cs="Times New Roman" w:eastAsia="Times New Roman" w:hAnsi="Times New Roman"/>
          <w:sz w:val="18"/>
          <w:szCs w:val="18"/>
          <w:b w:val="1"/>
          <w:bCs w:val="1"/>
          <w:color w:val="auto"/>
        </w:rPr>
        <w:t>Third Party IP Payments</w:t>
      </w:r>
      <w:r>
        <w:rPr>
          <w:rFonts w:ascii="Times New Roman" w:cs="Times New Roman" w:eastAsia="Times New Roman" w:hAnsi="Times New Roman"/>
          <w:sz w:val="18"/>
          <w:szCs w:val="18"/>
          <w:color w:val="auto"/>
        </w:rPr>
        <w:t xml:space="preserve">”) then Company may deduct from any and all royalty payments and Sales Milestone Payments under this Agreement that would otherwise have been due to Maze an amount equal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amount of any Third Party IP Payments paid by Company or any of its Affiliates or Sublicensees to such Third Party for such right or license or the exercise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9" w:right="459" w:bottom="1440" w:gutter="0" w:footer="0" w:header="0"/>
        </w:sectPr>
      </w:pPr>
    </w:p>
    <w:bookmarkStart w:id="586" w:name="page587"/>
    <w:bookmarkEnd w:id="586"/>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7.3.7 </w:t>
      </w:r>
      <w:r>
        <w:rPr>
          <w:rFonts w:ascii="Times New Roman" w:cs="Times New Roman" w:eastAsia="Times New Roman" w:hAnsi="Times New Roman"/>
          <w:sz w:val="18"/>
          <w:szCs w:val="18"/>
          <w:u w:val="single" w:color="auto"/>
          <w:color w:val="auto"/>
        </w:rPr>
        <w:t>Cumulative Floor</w:t>
      </w:r>
      <w:r>
        <w:rPr>
          <w:rFonts w:ascii="Times New Roman" w:cs="Times New Roman" w:eastAsia="Times New Roman" w:hAnsi="Times New Roman"/>
          <w:sz w:val="18"/>
          <w:szCs w:val="18"/>
          <w:color w:val="auto"/>
        </w:rPr>
        <w:t xml:space="preserve">. Notwithstanding the reductions set forth in Section 7.3.5(a) (Absence of Valid Claims) and Section 7.3.6 (Third Party Payments), in no event shall the operation of such reductions, individually or in combination, reduce the royalty payments paid to Maze with respect to any Licensed Product in any country in the Territory in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under Section 7.3.5(a) (Absence of Valid Claims) and Section 7.3.6 (Third Party Payments) to less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royalty payments that would otherwise have been due pursuant to Section 7.3.1 (Royalty Rates). Company may carry forward any such reductions permitted under Section 7.3.5(a) (Absence of Valid Claims) and Section 7.3.6 (Third Party Payments) that are incurred or accrued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but are not applied against royalties due to Maze in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a result of the foregoing floor and apply such amounts against royalties due to Maze in any subsequent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the minimum floor set forth in this Section 7.3.7 (Cumulative Floor)) until the amount of such reduction has been fully applied against royalties due to Maze.</w:t>
      </w:r>
    </w:p>
    <w:p>
      <w:pPr>
        <w:spacing w:after="0" w:line="19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Royalty Payments and Reporting</w:t>
      </w:r>
      <w:r>
        <w:rPr>
          <w:rFonts w:ascii="Times New Roman" w:cs="Times New Roman" w:eastAsia="Times New Roman" w:hAnsi="Times New Roman"/>
          <w:sz w:val="18"/>
          <w:szCs w:val="18"/>
          <w:color w:val="auto"/>
        </w:rPr>
        <w:t xml:space="preserve">. Company will calculate all amounts payable to Maze pursuant to Section 7.3 (Royalties) at the end of each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Commencing as of the First Commercial Sale for a Licensed Product, Company will, with respect to each</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(or portion thereof), provide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report showing: (a) the amount of gross sales of the Licensed Products in the relevant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 the aggregate Net Sales of such Licensed Product that are royalty-bearing and the royalties due thereon for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(c) the withholding taxes, if any, required by law to be deducted in respect of such royalties and (d) the exchange rates used in determining the royalty amount expressed in any currency other than Dollars (each, a “</w:t>
      </w:r>
      <w:r>
        <w:rPr>
          <w:rFonts w:ascii="Times New Roman" w:cs="Times New Roman" w:eastAsia="Times New Roman" w:hAnsi="Times New Roman"/>
          <w:sz w:val="18"/>
          <w:szCs w:val="18"/>
          <w:b w:val="1"/>
          <w:bCs w:val="1"/>
          <w:color w:val="auto"/>
        </w:rPr>
        <w:t>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within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after the end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Company will provide such Royalty Reports for so long as any Royalty Term remains in effect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given Licensed Product. Each Royalty Report will be the Confidential Information of Company subject to Article 9 (Confidentiality). Following Maze’s receipt of each Royalty Report, Maze will invoice Company for the royalty amounts due for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Company will pay to Maze such amounts, less any applicable withholding tax that is required by Applicable Law pursuant to Section 7.5.3 (Taxes; Withholding), in accordance with Section 7.5.2 (Invoices).</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Additional Payment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7.5.1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payments hereunder will be made in Dollars by wire transfer to a bank account designated in writing by the Payee in accordance with wire instructions provided by the Payee. Conversion of sales recorded in local currencies to Dollars will be performed in a manner consistent with the Accounting Standard and the Payor’s normal practices used to prepare its audited financial statements.</w:t>
      </w:r>
    </w:p>
    <w:p>
      <w:pPr>
        <w:spacing w:after="0" w:line="68" w:lineRule="exact"/>
        <w:rPr>
          <w:sz w:val="20"/>
          <w:szCs w:val="20"/>
          <w:color w:val="auto"/>
        </w:rPr>
      </w:pPr>
    </w:p>
    <w:p>
      <w:pPr>
        <w:ind w:right="60" w:firstLine="991"/>
        <w:spacing w:after="0" w:line="277" w:lineRule="auto"/>
        <w:rPr>
          <w:sz w:val="20"/>
          <w:szCs w:val="20"/>
          <w:color w:val="auto"/>
        </w:rPr>
      </w:pPr>
      <w:r>
        <w:rPr>
          <w:rFonts w:ascii="Times New Roman" w:cs="Times New Roman" w:eastAsia="Times New Roman" w:hAnsi="Times New Roman"/>
          <w:sz w:val="17"/>
          <w:szCs w:val="17"/>
          <w:color w:val="auto"/>
        </w:rPr>
        <w:t xml:space="preserve">7.5.2 </w:t>
      </w:r>
      <w:r>
        <w:rPr>
          <w:rFonts w:ascii="Times New Roman" w:cs="Times New Roman" w:eastAsia="Times New Roman" w:hAnsi="Times New Roman"/>
          <w:sz w:val="17"/>
          <w:szCs w:val="17"/>
          <w:u w:val="single" w:color="auto"/>
          <w:color w:val="auto"/>
        </w:rPr>
        <w:t>Invoices</w:t>
      </w:r>
      <w:r>
        <w:rPr>
          <w:rFonts w:ascii="Times New Roman" w:cs="Times New Roman" w:eastAsia="Times New Roman" w:hAnsi="Times New Roman"/>
          <w:sz w:val="17"/>
          <w:szCs w:val="17"/>
          <w:color w:val="auto"/>
        </w:rPr>
        <w:t xml:space="preserve">. With respect to any amounts owed under this Agreement by a Party to the other Party, the Party owing such payment obligation will provide to the other Party an invoice, together with reasonable supporting documentation and directions for payment, for such amounts owed and such other Party will pay any undisputed amounts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(or in the case of Section 7.1 (Upfront Payment),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after receipt of such an undisputed invoice, and will pay any disputed amounts owed by such other Party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of final resolution of the Dispute, in each case, in immediately available funds by wire transfer and in accordance with the wire instructions to be provided by the owing Party to the paying Party.</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9" w:right="459" w:bottom="1440" w:gutter="0" w:footer="0" w:header="0"/>
        </w:sectPr>
      </w:pPr>
    </w:p>
    <w:bookmarkStart w:id="587" w:name="page588"/>
    <w:bookmarkEnd w:id="58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7.5.3 </w:t>
      </w:r>
      <w:r>
        <w:rPr>
          <w:rFonts w:ascii="Times New Roman" w:cs="Times New Roman" w:eastAsia="Times New Roman" w:hAnsi="Times New Roman"/>
          <w:sz w:val="18"/>
          <w:szCs w:val="18"/>
          <w:u w:val="single" w:color="auto"/>
          <w:color w:val="auto"/>
        </w:rPr>
        <w:t>Taxes; Withholding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540" w:firstLine="1428"/>
        <w:spacing w:after="0" w:line="312" w:lineRule="auto"/>
        <w:tabs>
          <w:tab w:leader="none" w:pos="1677" w:val="left"/>
        </w:tabs>
        <w:numPr>
          <w:ilvl w:val="0"/>
          <w:numId w:val="4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 Each Party will be liable for all taxes legally assessable against it arising from any payment received under this Agreement, including income, applicable sales or use, goods and services, value added and consumption or other similar fees or taxes (“</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right="20" w:firstLine="1428"/>
        <w:spacing w:after="0" w:line="255" w:lineRule="auto"/>
        <w:tabs>
          <w:tab w:leader="none" w:pos="1687"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If Applicable Law requires the withholding of Taxes, the Payor will subtract the amount thereof from the Agreement Payments and remit such withheld amount to the relevant Governmental Authority in a timely manner. For the avoidance of doubt, the Payor’s remittance of such withheld Taxes, together with payment to the Payee of the remaining Agreement Payments, will constitute the Payor’s full satisfaction of Agreement Payments under this Agreement. The Payor will promptly (as available) submit to the Payee appropriate proof of payment of the withheld Taxes as well as the official receipts within a reasonable period of time. The Parties agree to cooperate with one another and use reasonable efforts to reduce or eliminate such withholding of Taxes under Applicable Law, including under the benefit of any present or future treaty against double taxation.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Records; Audit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7.6.1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Each Party will keep, and will cause its Affiliates and, as applicable, Sublicensees, to keep complete, true and accurate books and records in accordance with its Accounting Standard in relation to this Agreement and Net Sales, royalties, Milestone Payments and any other payments required hereunder, as applicable. Each Party will keep such books and records for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Calendar Year to which they pertain or for such longer period of time as required under any Applicable Law.</w:t>
      </w:r>
    </w:p>
    <w:p>
      <w:pPr>
        <w:spacing w:after="0" w:line="6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7.6.2 </w:t>
      </w:r>
      <w:r>
        <w:rPr>
          <w:rFonts w:ascii="Times New Roman" w:cs="Times New Roman" w:eastAsia="Times New Roman" w:hAnsi="Times New Roman"/>
          <w:sz w:val="18"/>
          <w:szCs w:val="18"/>
          <w:u w:val="single" w:color="auto"/>
          <w:color w:val="auto"/>
        </w:rPr>
        <w:t>Audit Rights</w:t>
      </w:r>
      <w:r>
        <w:rPr>
          <w:rFonts w:ascii="Times New Roman" w:cs="Times New Roman" w:eastAsia="Times New Roman" w:hAnsi="Times New Roman"/>
          <w:sz w:val="18"/>
          <w:szCs w:val="18"/>
          <w:color w:val="auto"/>
        </w:rPr>
        <w:t>. Subject to the other terms of this Section 7.6.2 (Audit Rights), during the Term, at the request of a Party (the “</w:t>
      </w:r>
      <w:r>
        <w:rPr>
          <w:rFonts w:ascii="Times New Roman" w:cs="Times New Roman" w:eastAsia="Times New Roman" w:hAnsi="Times New Roman"/>
          <w:sz w:val="18"/>
          <w:szCs w:val="18"/>
          <w:b w:val="1"/>
          <w:bCs w:val="1"/>
          <w:color w:val="auto"/>
        </w:rPr>
        <w:t>Auditing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which will not be made more frequently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upon at least</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prior written notice from the Auditing Party, and at the expense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Auditing Party, the other Party (the “</w:t>
      </w:r>
      <w:r>
        <w:rPr>
          <w:rFonts w:ascii="Times New Roman" w:cs="Times New Roman" w:eastAsia="Times New Roman" w:hAnsi="Times New Roman"/>
          <w:sz w:val="18"/>
          <w:szCs w:val="18"/>
          <w:b w:val="1"/>
          <w:bCs w:val="1"/>
          <w:color w:val="auto"/>
        </w:rPr>
        <w:t>Audited Party</w:t>
      </w:r>
      <w:r>
        <w:rPr>
          <w:rFonts w:ascii="Times New Roman" w:cs="Times New Roman" w:eastAsia="Times New Roman" w:hAnsi="Times New Roman"/>
          <w:sz w:val="18"/>
          <w:szCs w:val="18"/>
          <w:color w:val="auto"/>
        </w:rPr>
        <w:t>”) will permit an independent, nationally-recognized certified public accountant selected by the Auditing Party and reasonably acceptable to the Audited Party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xml:space="preserve">”) to inspect, during regular business hours, the relevant records required to be maintained by the Audited Party under Section 7.6.1 (Records);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audit right will not apply to records beyond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end of the Calendar Year to which they pertain and (b) records for a particular period may only be audited once. Prior to its inspection, the Auditor will enter into a confidentiality agreement with both Parties having obligations of confidentiality and non-use no less restrictive than those set forth in Article 9 (Confidentiality) and limiting the disclosure and use of such information by such accountant to authorized representatives of the Parties and the purposes germane to Section 7.6.1 (Records). The Auditor will report to the Auditing Party only whether the particular amount being audited was accurate and, if not, the amount of any discrepancy and a reasonable summary of the reason for such discrepancy, and the Auditor will not report any other information to the Auditing Party. The Auditing Party will treat the results of the Auditor’s review of the Audited Party’s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9" w:right="459" w:bottom="1440" w:gutter="0" w:footer="0" w:header="0"/>
        </w:sectPr>
      </w:pPr>
    </w:p>
    <w:bookmarkStart w:id="588" w:name="page589"/>
    <w:bookmarkEnd w:id="58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records as Confidential Information of the Audited Party subject to the terms of Article 9 (Confidentiality). In the event such audit leads to the discovery of a discrepancy to the Auditing Party’s detriment, the Audited Party will,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receipt of such report from the Auditor, pay any undisputed amount of the discrepancy. The Auditing Party will pay the full cost of the audit unless the underpayment of amounts due to the Auditing Party is greater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amount due for the entire period being examined, in which case the Audited Party will pay the reasonable cost charged by the Auditor for such review. Any undisputed overpayments by the Audited Party revealed by an examination will be paid by the Auditing Party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Auditing Party’s receipt of the applicable report. Company will include substantially similar rights as set forth in this Section 7.6.2 (Audit Rights) in any sublicense agreement with its Sublicensee.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INTELLECTUAL PROPERTY MATTERS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Background IP</w:t>
      </w:r>
      <w:r>
        <w:rPr>
          <w:rFonts w:ascii="Times New Roman" w:cs="Times New Roman" w:eastAsia="Times New Roman" w:hAnsi="Times New Roman"/>
          <w:sz w:val="18"/>
          <w:szCs w:val="18"/>
          <w:color w:val="auto"/>
        </w:rPr>
        <w:t>. As between the Parties, each Party will retain all of its rights, title and interests to all Patents, Know-How and other intellectual property rights that are Controlled by such Party or its Affiliates prior to the Effective Date or are otherwise conceived, discovered, developed, invented, created or otherwise made or acquired by such Party or its Affiliates outside the performance of activities under this Agreement (such Patents with respect to a Party, “</w:t>
      </w:r>
      <w:r>
        <w:rPr>
          <w:rFonts w:ascii="Times New Roman" w:cs="Times New Roman" w:eastAsia="Times New Roman" w:hAnsi="Times New Roman"/>
          <w:sz w:val="18"/>
          <w:szCs w:val="18"/>
          <w:b w:val="1"/>
          <w:bCs w:val="1"/>
          <w:color w:val="auto"/>
        </w:rPr>
        <w:t>Background Patents</w:t>
      </w:r>
      <w:r>
        <w:rPr>
          <w:rFonts w:ascii="Times New Roman" w:cs="Times New Roman" w:eastAsia="Times New Roman" w:hAnsi="Times New Roman"/>
          <w:sz w:val="18"/>
          <w:szCs w:val="18"/>
          <w:color w:val="auto"/>
        </w:rPr>
        <w:t>,” such Know-How with respect to a Party, “</w:t>
      </w:r>
      <w:r>
        <w:rPr>
          <w:rFonts w:ascii="Times New Roman" w:cs="Times New Roman" w:eastAsia="Times New Roman" w:hAnsi="Times New Roman"/>
          <w:sz w:val="18"/>
          <w:szCs w:val="18"/>
          <w:b w:val="1"/>
          <w:bCs w:val="1"/>
          <w:color w:val="auto"/>
        </w:rPr>
        <w:t>Background Know- How</w:t>
      </w:r>
      <w:r>
        <w:rPr>
          <w:rFonts w:ascii="Times New Roman" w:cs="Times New Roman" w:eastAsia="Times New Roman" w:hAnsi="Times New Roman"/>
          <w:sz w:val="18"/>
          <w:szCs w:val="18"/>
          <w:color w:val="auto"/>
        </w:rPr>
        <w:t>,” and the Background Patents and Background Know-How collectively, “</w:t>
      </w:r>
      <w:r>
        <w:rPr>
          <w:rFonts w:ascii="Times New Roman" w:cs="Times New Roman" w:eastAsia="Times New Roman" w:hAnsi="Times New Roman"/>
          <w:sz w:val="18"/>
          <w:szCs w:val="18"/>
          <w:b w:val="1"/>
          <w:bCs w:val="1"/>
          <w:color w:val="auto"/>
        </w:rPr>
        <w:t>Background IP</w:t>
      </w:r>
      <w:r>
        <w:rPr>
          <w:rFonts w:ascii="Times New Roman" w:cs="Times New Roman" w:eastAsia="Times New Roman" w:hAnsi="Times New Roman"/>
          <w:sz w:val="18"/>
          <w:szCs w:val="18"/>
          <w:color w:val="auto"/>
        </w:rPr>
        <w:t>”), subject to any rights or licenses expressly granted by such Party to the other Party under this Agreement.</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Foreground IP</w:t>
      </w:r>
      <w:r>
        <w:rPr>
          <w:rFonts w:ascii="Times New Roman" w:cs="Times New Roman" w:eastAsia="Times New Roman" w:hAnsi="Times New Roman"/>
          <w:sz w:val="18"/>
          <w:szCs w:val="18"/>
          <w:color w:val="auto"/>
        </w:rPr>
        <w:t>. As between the Parties, subject to any rights or licenses expressly granted by one Party to the other Party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right="60" w:firstLine="1428"/>
        <w:spacing w:after="0" w:line="266" w:lineRule="auto"/>
        <w:tabs>
          <w:tab w:leader="none" w:pos="1677"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is and will be the sole owner of all Program Foreground IP and will retain all of its rights, title and interests thereto. Maze (and its Affiliates) will and does hereby assign to Company all of its rights, title and interests in and to any Program Foreground IP, and Company will and does hereby accept such assignment.</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is and will be the sole owner of all Company Other Foreground IP and will retain all of its rights, title and interests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98"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Maze is and will be the sole owner of all Maze Other Foreground IP and will retain all of its rights, title and interests thereto.</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Maze will jointly own all Joint Other Foreground IP on an equal and undivided basis, including all rights, title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thereto.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Without limiting the generality of the foregoing, all determinations of inventorship under this Agreement will be made in accordance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law.</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69" w:right="459" w:bottom="1440" w:gutter="0" w:footer="0" w:header="0"/>
        </w:sectPr>
      </w:pPr>
    </w:p>
    <w:bookmarkStart w:id="589" w:name="page590"/>
    <w:bookmarkEnd w:id="589"/>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8.1.3 </w:t>
      </w:r>
      <w:r>
        <w:rPr>
          <w:rFonts w:ascii="Times New Roman" w:cs="Times New Roman" w:eastAsia="Times New Roman" w:hAnsi="Times New Roman"/>
          <w:sz w:val="18"/>
          <w:szCs w:val="18"/>
          <w:u w:val="single" w:color="auto"/>
          <w:color w:val="auto"/>
        </w:rPr>
        <w:t>Treatment of Joint Other Foreground IP</w:t>
      </w:r>
      <w:r>
        <w:rPr>
          <w:rFonts w:ascii="Times New Roman" w:cs="Times New Roman" w:eastAsia="Times New Roman" w:hAnsi="Times New Roman"/>
          <w:sz w:val="18"/>
          <w:szCs w:val="18"/>
          <w:color w:val="auto"/>
        </w:rPr>
        <w:t>. Except as expressly provided otherwise in this Agreement, (a) neither Party will have any obligation to obtain any consent of the other Party to license or exploit, and (b) except with respect to any Foreground IP that is exclusively licensed to Company under the Company License, neither Party will have any obligation to account to the other Party for profits with respect to, any Joint Other Foreground IP by reason of joint ownership thereof, and each Party hereby waives any right it may have under the laws of any jurisdiction to require any such consent or accounting.</w:t>
      </w:r>
    </w:p>
    <w:p>
      <w:pPr>
        <w:spacing w:after="0" w:line="7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8.1.4 Each Party will promptly disclose to the other Party in writing, and will cause its Affiliates to so disclose, the conception, discovery, development, invention, creation or other making of any Joint Other Foreground IP.</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Invention Assignments; Covenants in Support of Assignment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5" w:lineRule="auto"/>
        <w:tabs>
          <w:tab w:leader="none" w:pos="167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 Assignments</w:t>
      </w:r>
      <w:r>
        <w:rPr>
          <w:rFonts w:ascii="Times New Roman" w:cs="Times New Roman" w:eastAsia="Times New Roman" w:hAnsi="Times New Roman"/>
          <w:sz w:val="18"/>
          <w:szCs w:val="18"/>
          <w:color w:val="auto"/>
        </w:rPr>
        <w:t>. Each Party will cause all employees and contractors who perform activities for or on behalf of such Party or its Affiliate under this Agreement to be under a written obligation to assign their rights in any Know-How and other intellectual property rights resulting therefrom to such Party or its Affiliate. At the request of the Party controlling the relevant Prosecution and Maintenance or enforcement or defense activities, with respect to a Patent under this Agreement in accordance with this Article 8 (Intellectual Property Matters), the other Party will require its employees and contractors who are inventors on any such Patent to cooperate and provide assistance to its employer or its Affiliate in relevant intellectual property-related matters, including by executing all appropriate documents, cooperating in discovery and, if legally required to continue any such enforcement activities, joining as a party to any action or providing a power of attorney solely for such purpose.</w:t>
      </w:r>
    </w:p>
    <w:p>
      <w:pPr>
        <w:spacing w:after="0" w:line="80"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in Support of Assignment</w:t>
      </w:r>
      <w:r>
        <w:rPr>
          <w:rFonts w:ascii="Times New Roman" w:cs="Times New Roman" w:eastAsia="Times New Roman" w:hAnsi="Times New Roman"/>
          <w:sz w:val="18"/>
          <w:szCs w:val="18"/>
          <w:color w:val="auto"/>
        </w:rPr>
        <w:t>. Without limiting the generality of Section 8.1.5(a) (Invention Assignments), in connection with Maze’s obligation to assign to Company its rights in any Program Foreground IP pursuant to the foregoing Section 8.1.2 (Foreground IP), Maze will take (and cause its Affiliates, and their respective employees, agents and contractors to take) such further actions reasonably requested by Company to evidence such assignment and to assist Company in obtaining Patent and other intellectual property protection for such Program Foreground IP, including executing further assignments, consents, releases and other commercially reasonable documentation and providing good faith testimony by affidavit, declaration, in-person or other proper means in support of any effort by Company to establish, perfect, defend or enforce its rights in any such Program Foreground IP through prosecution of governmental filings, regulatory proceedings, litigation and other means, including through the Prosecution and Maintenance and enforcement and defense of such Program Foreground IP. Without limitation, Maze will cooperate with Company if Company applies for U.S. or foreign patent protection for such Program Foreground IP and will obtain the cooperation of the individual inventors of any such Program Foreground IP. If Maze is unable to assign any Program Foreground IP, then Maze hereby grants and agrees to grant to Company a royalty-free, fully paid- up, exclusive (even as to the Maze, subject to the terms of this Agreement, including the licenses granted to Company pursuant to Article 2 (Licenses)), perpetual, irrevocable license (with the right to grant sublicenses through multiple tiers) under such Program Foreground IP for any and all purposes.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9" w:right="459" w:bottom="1440" w:gutter="0" w:footer="0" w:header="0"/>
        </w:sectPr>
      </w:pPr>
    </w:p>
    <w:bookmarkStart w:id="590" w:name="page591"/>
    <w:bookmarkEnd w:id="59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Prosecution and Maintenance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Company First Right Patents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1428"/>
        <w:spacing w:after="0" w:line="255" w:lineRule="auto"/>
        <w:tabs>
          <w:tab w:leader="none" w:pos="1677"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Right</w:t>
      </w:r>
      <w:r>
        <w:rPr>
          <w:rFonts w:ascii="Times New Roman" w:cs="Times New Roman" w:eastAsia="Times New Roman" w:hAnsi="Times New Roman"/>
          <w:sz w:val="18"/>
          <w:szCs w:val="18"/>
          <w:color w:val="auto"/>
        </w:rPr>
        <w:t>. As between the Parties, Company will have the first right, but not the obligation, to control the Prosecution and Maintenance of the Licensed Patents, Program Foreground Patents, and Joint Other Foreground Patents (the “</w:t>
      </w:r>
      <w:r>
        <w:rPr>
          <w:rFonts w:ascii="Times New Roman" w:cs="Times New Roman" w:eastAsia="Times New Roman" w:hAnsi="Times New Roman"/>
          <w:sz w:val="18"/>
          <w:szCs w:val="18"/>
          <w:b w:val="1"/>
          <w:bCs w:val="1"/>
          <w:color w:val="auto"/>
        </w:rPr>
        <w:t>Company First Right Patents</w:t>
      </w:r>
      <w:r>
        <w:rPr>
          <w:rFonts w:ascii="Times New Roman" w:cs="Times New Roman" w:eastAsia="Times New Roman" w:hAnsi="Times New Roman"/>
          <w:sz w:val="18"/>
          <w:szCs w:val="18"/>
          <w:color w:val="auto"/>
        </w:rPr>
        <w:t>”), at Company’s sole cost and expense. Maze will have the review and comment rights set forth in Section 8.2.4 (Review and Comment) with respect to the Company’s Prosecution and Maintenance of any Licensed Patents, Program Foreground Patents, or Joint Other Foreground Patents. To the extent it becomes necessary or desirable to file a terminal disclaimer over any Licensed Patent to support a Company First Right Patent, the Parties shall discuss in good faith the appropriate actions, which may include Maze assigning all right, title, and interest in and to such Licensed Patent to Company or its Affiliate(s), as the Parties may mutually agree.</w:t>
      </w:r>
    </w:p>
    <w:p>
      <w:pPr>
        <w:spacing w:after="0" w:line="80" w:lineRule="exact"/>
        <w:rPr>
          <w:rFonts w:ascii="Times New Roman" w:cs="Times New Roman" w:eastAsia="Times New Roman" w:hAnsi="Times New Roman"/>
          <w:sz w:val="18"/>
          <w:szCs w:val="18"/>
          <w:color w:val="auto"/>
        </w:rPr>
      </w:pPr>
    </w:p>
    <w:p>
      <w:pPr>
        <w:ind w:right="40" w:firstLine="1428"/>
        <w:spacing w:after="0" w:line="256" w:lineRule="auto"/>
        <w:tabs>
          <w:tab w:leader="none" w:pos="1687"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Maze Back-Up Right</w:t>
      </w:r>
      <w:r>
        <w:rPr>
          <w:rFonts w:ascii="Times New Roman" w:cs="Times New Roman" w:eastAsia="Times New Roman" w:hAnsi="Times New Roman"/>
          <w:sz w:val="18"/>
          <w:szCs w:val="18"/>
          <w:color w:val="auto"/>
        </w:rPr>
        <w:t xml:space="preserve">. If, during the Term, Company decides that it is not interested in the Prosecution and Maintenance of a particular Company First Right Patent, then it will promptly provide written notice to Maze of such decision and in any case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 next deadline, and in any event 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the final deadline, for any action that may be taken with respect to such Patent. Maze may, upon written notice to Company, assume the Prosecution and Maintenance of such Patent at Maze’s sole cost and expense. In such event, Company will have the review and comment rights set forth in Section 8.2.4 (Review and Comment) with respect to Maze’s Prosecution and Maintenance of such Company First Right Patents.</w:t>
      </w:r>
    </w:p>
    <w:p>
      <w:pPr>
        <w:spacing w:after="0" w:line="79"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Maze Other Foreground Patents</w:t>
      </w:r>
      <w:r>
        <w:rPr>
          <w:rFonts w:ascii="Times New Roman" w:cs="Times New Roman" w:eastAsia="Times New Roman" w:hAnsi="Times New Roman"/>
          <w:sz w:val="18"/>
          <w:szCs w:val="18"/>
          <w:color w:val="auto"/>
        </w:rPr>
        <w:t>. As between the Parties, Maze will have the sole and exclusive right, but not the obligation, to control the Prosecution and Maintenance of the Maze Other Foreground Patents, at Maze’s sole cost and expense.</w:t>
      </w:r>
    </w:p>
    <w:p>
      <w:pPr>
        <w:spacing w:after="0" w:line="54"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Company Other Foreground Patents</w:t>
      </w:r>
      <w:r>
        <w:rPr>
          <w:rFonts w:ascii="Times New Roman" w:cs="Times New Roman" w:eastAsia="Times New Roman" w:hAnsi="Times New Roman"/>
          <w:sz w:val="18"/>
          <w:szCs w:val="18"/>
          <w:color w:val="auto"/>
        </w:rPr>
        <w:t>. As between the Parties, Company will have the sole and exclusive right, but not the obligation, to control the Prosecution and Maintenance of the Company Other Foreground Patents, at Company’s sole cost and expense.</w:t>
      </w:r>
    </w:p>
    <w:p>
      <w:pPr>
        <w:spacing w:after="0" w:line="5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8.2.4 </w:t>
      </w:r>
      <w:r>
        <w:rPr>
          <w:rFonts w:ascii="Times New Roman" w:cs="Times New Roman" w:eastAsia="Times New Roman" w:hAnsi="Times New Roman"/>
          <w:sz w:val="18"/>
          <w:szCs w:val="18"/>
          <w:u w:val="single" w:color="auto"/>
          <w:color w:val="auto"/>
        </w:rPr>
        <w:t>Review and Comment</w:t>
      </w:r>
      <w:r>
        <w:rPr>
          <w:rFonts w:ascii="Times New Roman" w:cs="Times New Roman" w:eastAsia="Times New Roman" w:hAnsi="Times New Roman"/>
          <w:sz w:val="18"/>
          <w:szCs w:val="18"/>
          <w:color w:val="auto"/>
        </w:rPr>
        <w:t>. Subject to Section 8.2.1 (Company First Right Patents) and Section 8.2.2 (Maze Other Foreground Patents), the Party that is responsible for the Prosecution and Maintenance of a given Patent in accordance with such Sections (the “</w:t>
      </w:r>
      <w:r>
        <w:rPr>
          <w:rFonts w:ascii="Times New Roman" w:cs="Times New Roman" w:eastAsia="Times New Roman" w:hAnsi="Times New Roman"/>
          <w:sz w:val="18"/>
          <w:szCs w:val="18"/>
          <w:b w:val="1"/>
          <w:bCs w:val="1"/>
          <w:color w:val="auto"/>
        </w:rPr>
        <w:t>Prosecuting Party</w:t>
      </w:r>
      <w:r>
        <w:rPr>
          <w:rFonts w:ascii="Times New Roman" w:cs="Times New Roman" w:eastAsia="Times New Roman" w:hAnsi="Times New Roman"/>
          <w:sz w:val="18"/>
          <w:szCs w:val="18"/>
          <w:color w:val="auto"/>
        </w:rPr>
        <w:t>”) will timely provide the other Party (the “</w:t>
      </w:r>
      <w:r>
        <w:rPr>
          <w:rFonts w:ascii="Times New Roman" w:cs="Times New Roman" w:eastAsia="Times New Roman" w:hAnsi="Times New Roman"/>
          <w:sz w:val="18"/>
          <w:szCs w:val="18"/>
          <w:b w:val="1"/>
          <w:bCs w:val="1"/>
          <w:color w:val="auto"/>
        </w:rPr>
        <w:t>Non-Prosecuting Party</w:t>
      </w:r>
      <w:r>
        <w:rPr>
          <w:rFonts w:ascii="Times New Roman" w:cs="Times New Roman" w:eastAsia="Times New Roman" w:hAnsi="Times New Roman"/>
          <w:sz w:val="18"/>
          <w:szCs w:val="18"/>
          <w:color w:val="auto"/>
        </w:rPr>
        <w:t>”) with drafts of all proposed substantive filings to any Patent authority in the United States, Japan, United Kingdom or the EU in connection with the Prosecution and Maintenance of the applicable Patents for the Non-Prosecuting Party’s review and comment. The Prosecuting Party will consider in good faith the Non-Prosecuting Party’s timely and reasonable comments on the Prosecution and Maintenance of such Patents.</w:t>
      </w:r>
    </w:p>
    <w:p>
      <w:pPr>
        <w:spacing w:after="0" w:line="79"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8.2.5 </w:t>
      </w:r>
      <w:r>
        <w:rPr>
          <w:rFonts w:ascii="Times New Roman" w:cs="Times New Roman" w:eastAsia="Times New Roman" w:hAnsi="Times New Roman"/>
          <w:sz w:val="18"/>
          <w:szCs w:val="18"/>
          <w:u w:val="single" w:color="auto"/>
          <w:color w:val="auto"/>
        </w:rPr>
        <w:t>Patent Extensions and Listing</w:t>
      </w:r>
      <w:r>
        <w:rPr>
          <w:rFonts w:ascii="Times New Roman" w:cs="Times New Roman" w:eastAsia="Times New Roman" w:hAnsi="Times New Roman"/>
          <w:sz w:val="18"/>
          <w:szCs w:val="18"/>
          <w:color w:val="auto"/>
        </w:rPr>
        <w:t>. Company will have the sole and exclusive right, but not the obligation, to make decisions regarding, and to apply for, patent term extensions, supplemental protection certificates, and the like for any Licensed Patents and Foreground Patents that Cover any Licensed Compound or Licensed Product in each country and jurisdiction where it is possible to do so and shall control all listing decisions and actions with respect to the FDA publication titled “Approved Drug Products with Therapeutic Equivalence” (also known as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9" w:right="459" w:bottom="1440" w:gutter="0" w:footer="0" w:header="0"/>
        </w:sectPr>
      </w:pPr>
    </w:p>
    <w:bookmarkStart w:id="591" w:name="page592"/>
    <w:bookmarkEnd w:id="591"/>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“Orange Book”), and any replacement thereof established or approved by the FDA, as well as any ex-U.S. similar or equivalents filings and actions with respect to all Licensed Patents and Foreground Patents with regard to Licensed Products. If requested by Company, Maze will reasonably cooperate with Company in obtaining said patent term extensions, or supplemental protection certificates, and the like, and patent listings.</w:t>
      </w:r>
    </w:p>
    <w:p>
      <w:pPr>
        <w:spacing w:after="0" w:line="68"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8.2.6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Non-Prosecuting Party will fully cooperate with the Prosecuting Party in connection with the Prosecution and Maintenance of such Patents, including as set forth in Section 8.1.5 (Invention Assignments; Covenants in Support of Assignment) above. Each Party will promptly notify the other Party of any opposition by a Third Party or similar adverse proceeding by a Third Party with respect to a Licensed Patent or Foreground Patent of which it becomes aware.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160" w:firstLine="991"/>
        <w:spacing w:after="0" w:line="259"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xml:space="preserve">. Each Party will as soon as possible (but in any event,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notify the other Party in writing of any infringement, misappropriation or other violation by a Third Party of any Licensed Technology, Program Foreground IP, or Other Foreground IP in the Territory of which it becomes aware, including any declaratory judgment or similar action or notice alleging invalidity, unenforceability or non-infringement with respect to any such Patent, and further including receipt of notice of the filing of an abbreviated NDA in the U.S., the notice of allegation in Canada, or similar notice in other countries relating to the Licensed Technology in the Territory (collectively, “</w:t>
      </w:r>
      <w:r>
        <w:rPr>
          <w:rFonts w:ascii="Times New Roman" w:cs="Times New Roman" w:eastAsia="Times New Roman" w:hAnsi="Times New Roman"/>
          <w:sz w:val="18"/>
          <w:szCs w:val="18"/>
          <w:b w:val="1"/>
          <w:bCs w:val="1"/>
          <w:color w:val="auto"/>
        </w:rPr>
        <w:t>Infringement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Right to Enforce; Recoveries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1428"/>
        <w:spacing w:after="0" w:line="252" w:lineRule="auto"/>
        <w:tabs>
          <w:tab w:leader="none" w:pos="1677"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First Right Patents</w:t>
      </w:r>
      <w:r>
        <w:rPr>
          <w:rFonts w:ascii="Times New Roman" w:cs="Times New Roman" w:eastAsia="Times New Roman" w:hAnsi="Times New Roman"/>
          <w:sz w:val="18"/>
          <w:szCs w:val="18"/>
          <w:color w:val="auto"/>
        </w:rPr>
        <w:t xml:space="preserve">. As between the Parties, Company will have the first right, but not the obligation, to bring and control any legal action (including settlements thereof) or take such other actions as it deems appropriate in connection with any Infringement with respect to any Company First Right Patents at Company’s sole discretion, cost and expense. If Company fails to initiate such action against any such Infringement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date of Company’s receipt of notice of such Infringement, then subject to Maze requesting through written notice to Company and Company providing its prior written consent (such consent not to be unreasonably withheld, conditioned or delayed), Maze will have the right to bring and control any legal action (including settlements thereof) or take such other actions as it deems appropriate in connection with any Infringement with respect to such Company First Right Patent at Maze’s sole cost and expense. Any recovery (including any settlement) received as a result of any action under this Section 8.3.2(a) (Company First Right Patents) will be allocated in the following order: (i) to reimburse the Enforcing Party for the costs and expenses (including attorneys’ and professional fees) that the Enforcing Party incurred in connection with such action, to the extent not previously reimbursed; (ii) to reimburse the Non-Enforcing Party, where it joins a legal action as provided under Section 8.3 (Enforcement), for the costs and expenses (including attorneys’ and professional fees) that the Non-Enforcing Party incurred in connection with such action, to the extent not previously reimbursed; and (iii) any recoveries in excess of such costs and expenses will (A) if the Company is the Enforcing Party, be retained by the Company except that such remainder shall be deemed Net Sales and subject to the royalty payable to Maze pursuant to Section 7.3 (Royalties), and (B) if Maze is the Enforcing Party, a payment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Maze’s aggregate costs and expenses incurred in connection with such action will be retained by Maze as a risk premium for taking on such action and the remainder shall be retained by the Company except such remainder shall be deemed Net Sales in the U.S. and subject to the royalty payable to Maze pursuant to Section 7.3.1 (U.S. Royalty Rates).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69" w:right="459" w:bottom="1440" w:gutter="0" w:footer="0" w:header="0"/>
        </w:sectPr>
      </w:pPr>
    </w:p>
    <w:bookmarkStart w:id="592" w:name="page593"/>
    <w:bookmarkEnd w:id="592"/>
    <w:p>
      <w:pPr>
        <w:ind w:right="160" w:firstLine="1428"/>
        <w:spacing w:after="0" w:line="266" w:lineRule="auto"/>
        <w:tabs>
          <w:tab w:leader="none" w:pos="1687"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Maze Other Foreground Patents</w:t>
      </w:r>
      <w:r>
        <w:rPr>
          <w:rFonts w:ascii="Times New Roman" w:cs="Times New Roman" w:eastAsia="Times New Roman" w:hAnsi="Times New Roman"/>
          <w:sz w:val="18"/>
          <w:szCs w:val="18"/>
          <w:color w:val="auto"/>
        </w:rPr>
        <w:t>. Maze will retain all rights to bring and control any legal action (including settlements thereof) or take such other actions as it deems appropriate in connection with any Infringement of any Maze Other Foreground Patents at its sole cost and expense and will retain all recoveries with respect thereto.</w:t>
      </w:r>
    </w:p>
    <w:p>
      <w:pPr>
        <w:spacing w:after="0" w:line="67" w:lineRule="exact"/>
        <w:rPr>
          <w:rFonts w:ascii="Times New Roman" w:cs="Times New Roman" w:eastAsia="Times New Roman" w:hAnsi="Times New Roman"/>
          <w:sz w:val="18"/>
          <w:szCs w:val="18"/>
          <w:color w:val="auto"/>
        </w:rPr>
      </w:pPr>
    </w:p>
    <w:p>
      <w:pPr>
        <w:ind w:right="180" w:firstLine="1428"/>
        <w:spacing w:after="0" w:line="266" w:lineRule="auto"/>
        <w:tabs>
          <w:tab w:leader="none" w:pos="1677"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Other Foreground Patents.</w:t>
      </w:r>
      <w:r>
        <w:rPr>
          <w:rFonts w:ascii="Times New Roman" w:cs="Times New Roman" w:eastAsia="Times New Roman" w:hAnsi="Times New Roman"/>
          <w:sz w:val="18"/>
          <w:szCs w:val="18"/>
          <w:color w:val="auto"/>
        </w:rPr>
        <w:t xml:space="preserve"> Company will retain all rights to bring and control any legal action (including settlements thereof) or take such other actions as it deems appropriate in connection with any Infringement of any Company Other Foreground Patents at its sole cost and expense and will retain all recoveries with respect thereto.</w:t>
      </w:r>
    </w:p>
    <w:p>
      <w:pPr>
        <w:spacing w:after="0" w:line="68"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8.3.3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Non-Enforcing Party will provide reasonable assistance in connection with such enforcement actions, including by executing reasonably appropriate documents, cooperating in discovery and joining as a party to the action if required or helpful.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Defense of Third Party Claims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Each Party will promptly notify the other Party of any claim alleging that the Research, Development, Manufacture, Commercialization or other Exploitation of the Licensed Compounds or Licensed Products in the Territory infringes, misappropriates or otherwise violates any Patents, Know-How or other intellectual property rights of any Third Party (“</w:t>
      </w:r>
      <w:r>
        <w:rPr>
          <w:rFonts w:ascii="Times New Roman" w:cs="Times New Roman" w:eastAsia="Times New Roman" w:hAnsi="Times New Roman"/>
          <w:sz w:val="18"/>
          <w:szCs w:val="18"/>
          <w:b w:val="1"/>
          <w:bCs w:val="1"/>
          <w:color w:val="auto"/>
        </w:rPr>
        <w:t>Third Party Infringement</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991"/>
        <w:spacing w:after="0" w:line="289" w:lineRule="auto"/>
        <w:rPr>
          <w:sz w:val="20"/>
          <w:szCs w:val="20"/>
          <w:color w:val="auto"/>
        </w:rPr>
      </w:pPr>
      <w:r>
        <w:rPr>
          <w:rFonts w:ascii="Times New Roman" w:cs="Times New Roman" w:eastAsia="Times New Roman" w:hAnsi="Times New Roman"/>
          <w:sz w:val="17"/>
          <w:szCs w:val="17"/>
          <w:color w:val="auto"/>
        </w:rPr>
        <w:t xml:space="preserve">8.4.2 </w:t>
      </w:r>
      <w:r>
        <w:rPr>
          <w:rFonts w:ascii="Times New Roman" w:cs="Times New Roman" w:eastAsia="Times New Roman" w:hAnsi="Times New Roman"/>
          <w:sz w:val="17"/>
          <w:szCs w:val="17"/>
          <w:u w:val="single" w:color="auto"/>
          <w:color w:val="auto"/>
        </w:rPr>
        <w:t>Right to Defend</w:t>
      </w:r>
      <w:r>
        <w:rPr>
          <w:rFonts w:ascii="Times New Roman" w:cs="Times New Roman" w:eastAsia="Times New Roman" w:hAnsi="Times New Roman"/>
          <w:sz w:val="17"/>
          <w:szCs w:val="17"/>
          <w:color w:val="auto"/>
        </w:rPr>
        <w:t>. Except as otherwise provided in Article 11 (Indemnification; Insurance), as between the Parties, Company will have the sole right, but not the obligation, to defend, and take other actions (including to settle), with respect to any such claim of Third Party Infringement, at Company’s sole discretion, and Maze will have the right to be represented in any such action by counsel of its own choice at its own cost and expense.</w:t>
      </w:r>
    </w:p>
    <w:p>
      <w:pPr>
        <w:spacing w:after="0" w:line="50"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8.4.3 </w:t>
      </w:r>
      <w:r>
        <w:rPr>
          <w:rFonts w:ascii="Times New Roman" w:cs="Times New Roman" w:eastAsia="Times New Roman" w:hAnsi="Times New Roman"/>
          <w:sz w:val="18"/>
          <w:szCs w:val="18"/>
          <w:u w:val="single" w:color="auto"/>
          <w:color w:val="auto"/>
        </w:rPr>
        <w:t>Recovery</w:t>
      </w:r>
      <w:r>
        <w:rPr>
          <w:rFonts w:ascii="Times New Roman" w:cs="Times New Roman" w:eastAsia="Times New Roman" w:hAnsi="Times New Roman"/>
          <w:sz w:val="18"/>
          <w:szCs w:val="18"/>
          <w:color w:val="auto"/>
        </w:rPr>
        <w:t>. Any recovery (including any settlement) received by the Parties (and not paid out to a Third Party claimant) as a result of any action under Section 8.4.2 (Right to Defend) will be allocated in the following order: (a) to reimburse Company for the costs and expenses (including attorneys’ and professional fees) that Company incurred in connection with such action, to the extent not previously reimbursed; (b) to reimburse Maze where it joins a legal action as provided under Section 8.4.2 (Right to Defend), for the costs and expenses (including attorneys’ and professional fees) that Maze incurred in connection with such action, to the extent not previously reimbursed; and (c) any recoveries in excess of such costs and expenses will be retained by Company, except in the case that settlement involves a counter-assertion of a Company First Right Patent, in which case the recoveries attributed to such counter-assertion of such Company First Right Patent shall be allocated in accordance with Section 8.3.2 (Right to Enforce; Recoveries).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9" w:right="459" w:bottom="1440" w:gutter="0" w:footer="0" w:header="0"/>
        </w:sectPr>
      </w:pPr>
    </w:p>
    <w:bookmarkStart w:id="593" w:name="page594"/>
    <w:bookmarkEnd w:id="593"/>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8.5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Company will have the sole and exclusive right, but not the obligation, to brand and promote the Licensed Products using trademarks, designs, copyrights, domain names, trade dress and trade names it determines appropriate in its sole discretion for the Licensed Products, which may vary within the Territory (each, together with any goodwill associated therewith, a “</w:t>
      </w:r>
      <w:r>
        <w:rPr>
          <w:rFonts w:ascii="Times New Roman" w:cs="Times New Roman" w:eastAsia="Times New Roman" w:hAnsi="Times New Roman"/>
          <w:sz w:val="18"/>
          <w:szCs w:val="18"/>
          <w:b w:val="1"/>
          <w:bCs w:val="1"/>
          <w:color w:val="auto"/>
        </w:rPr>
        <w:t>Licensed Product Mark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Company shall not select a trademark, service mark, name or logo for the branding of Licensed Products that, at the time of such selection, Maze (a) is already actually using in good faith to brand or promote a product that is not a Licensed Product, and (b) has, in good faith, filed such trademark, service mark, name, or logo for registration with the respective Territory’s trademark authority (each, together with any goodwill associated therewith, a “</w:t>
      </w:r>
      <w:r>
        <w:rPr>
          <w:rFonts w:ascii="Times New Roman" w:cs="Times New Roman" w:eastAsia="Times New Roman" w:hAnsi="Times New Roman"/>
          <w:sz w:val="18"/>
          <w:szCs w:val="18"/>
          <w:b w:val="1"/>
          <w:bCs w:val="1"/>
          <w:color w:val="auto"/>
        </w:rPr>
        <w:t>Maze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Existing Mark</w:t>
      </w:r>
      <w:r>
        <w:rPr>
          <w:rFonts w:ascii="Times New Roman" w:cs="Times New Roman" w:eastAsia="Times New Roman" w:hAnsi="Times New Roman"/>
          <w:sz w:val="18"/>
          <w:szCs w:val="18"/>
          <w:color w:val="auto"/>
        </w:rPr>
        <w:t>”). Any Maze Existing Mark will not be deemed a Licensed Product Mark for purposes of this Agreement (including for purposes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remainder of this Section 8.5 (Trademarks)). Company will own all rights, title and interests in and to the Licensed Product Marks, and all goodwill in the Licensed Product Marks will inure to the benefit of Company. Company will have the sole and exclusive right and responsibility to register, maintain, defend and enforce the Licensed Product Marks to the extent it determines reasonably necessary. Except as otherwise agreed in writing by both Parties, Company does not grant to Maze, by implication, estoppel or otherwise, any license to any Licensed Product Mark. In any event, any trademarks, service marks, names or logos that include any corporate name or logo of the Parties or their Affiliates will not be a Licensed Product Mark and will remain the property of each respective Party. After the termination or expiration of this Agreement, the Licensed Product Marks will remain sole property of Company.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Each Party agrees that a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which receives the Confidential Information of the other Party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pursuant to this Agreement will: (a) maintain in confidence such Confidential Information using not less than the efforts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Party uses to maintain in confidence its own proprietary information of similar kind and value, but in no event less than a reasonable degree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efforts; (b) not disclose such Confidential Information to any Third Party without first obtaining the prior written consent of the Disclosing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disclosures expressly permitted pursuant to this Article 9 (Confidentiality); and (c) not use such Confidential Information for any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those expressly permitted under this Agreement, including, in the case of Company, the exercise of the rights and licenses granted to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hereunder. The obligations of confidentiality, non- disclosure and non-use under this Section 9.1 (Nondisclosure) will be in full force and effect from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Date until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Term.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9.2.1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Section 9.1 (Nondisclosure) will not apply with respect to any portion of the Confidential Information of the Disclosing Party to the extent that such Confidential Information:</w:t>
      </w:r>
    </w:p>
    <w:p>
      <w:pPr>
        <w:spacing w:after="0" w:line="54" w:lineRule="exact"/>
        <w:rPr>
          <w:sz w:val="20"/>
          <w:szCs w:val="20"/>
          <w:color w:val="auto"/>
        </w:rPr>
      </w:pPr>
    </w:p>
    <w:p>
      <w:pPr>
        <w:ind w:right="680" w:firstLine="1428"/>
        <w:spacing w:after="0" w:line="282" w:lineRule="auto"/>
        <w:tabs>
          <w:tab w:leader="none" w:pos="1677"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known to the Receiving Party or any of its Affiliates, as evidenced by written records, without any obligation to the Disclosing Party to keep it confidential or to restrict its use, prior to disclosure by the Disclosing Party;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69" w:right="479" w:bottom="1440" w:gutter="0" w:footer="0" w:header="0"/>
        </w:sectPr>
      </w:pPr>
    </w:p>
    <w:bookmarkStart w:id="594" w:name="page595"/>
    <w:bookmarkEnd w:id="594"/>
    <w:p>
      <w:pPr>
        <w:ind w:left="4" w:right="500" w:firstLine="1428"/>
        <w:spacing w:after="0" w:line="282" w:lineRule="auto"/>
        <w:tabs>
          <w:tab w:leader="none" w:pos="1691"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subsequently disclosed to the Receiving Party or any of its Affiliates by a Third Party lawfully in possession thereof and without any obligation to the Disclosing Party to keep it confidential or to restrict its use;</w:t>
      </w:r>
    </w:p>
    <w:p>
      <w:pPr>
        <w:spacing w:after="0" w:line="53" w:lineRule="exact"/>
        <w:rPr>
          <w:rFonts w:ascii="Times New Roman" w:cs="Times New Roman" w:eastAsia="Times New Roman" w:hAnsi="Times New Roman"/>
          <w:sz w:val="18"/>
          <w:szCs w:val="18"/>
          <w:color w:val="auto"/>
        </w:rPr>
      </w:pPr>
    </w:p>
    <w:p>
      <w:pPr>
        <w:ind w:left="4" w:right="400" w:firstLine="1428"/>
        <w:spacing w:after="0" w:line="282" w:lineRule="auto"/>
        <w:tabs>
          <w:tab w:leader="none" w:pos="1681"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published by a Third Party or otherwise becomes publicly available or enters the public domain, either before or after it is disclosed to the Receiving Party, without any breach by the Receiving Party of its obligations hereunder; or</w:t>
      </w:r>
    </w:p>
    <w:p>
      <w:pPr>
        <w:spacing w:after="0" w:line="53" w:lineRule="exact"/>
        <w:rPr>
          <w:rFonts w:ascii="Times New Roman" w:cs="Times New Roman" w:eastAsia="Times New Roman" w:hAnsi="Times New Roman"/>
          <w:sz w:val="18"/>
          <w:szCs w:val="18"/>
          <w:color w:val="auto"/>
        </w:rPr>
      </w:pPr>
    </w:p>
    <w:p>
      <w:pPr>
        <w:ind w:left="4" w:right="580" w:firstLine="1428"/>
        <w:spacing w:after="0" w:line="282" w:lineRule="auto"/>
        <w:tabs>
          <w:tab w:leader="none" w:pos="1691"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or for the Receiving Party or any of its Affiliates, as evidenced by written records, without reference to or reliance upon the Disclosing Party’s Confidential Information.</w:t>
      </w:r>
    </w:p>
    <w:p>
      <w:pPr>
        <w:spacing w:after="0" w:line="162"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Any combination of features or disclosures will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Authorized Disclosure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9.3.1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Notwithstanding Section 9.1 (Nondisclosure), the Receiving Party may disclose Confidential Information belonging to the Disclosing Party in the following instances:</w:t>
      </w:r>
    </w:p>
    <w:p>
      <w:pPr>
        <w:spacing w:after="0" w:line="54" w:lineRule="exact"/>
        <w:rPr>
          <w:sz w:val="20"/>
          <w:szCs w:val="20"/>
          <w:color w:val="auto"/>
        </w:rPr>
      </w:pPr>
    </w:p>
    <w:p>
      <w:pPr>
        <w:ind w:left="4" w:right="100" w:firstLine="1428"/>
        <w:spacing w:after="0" w:line="282" w:lineRule="auto"/>
        <w:tabs>
          <w:tab w:leader="none" w:pos="1681"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and in accordance with Section 9.5 (Securities Filings; Disclosure under Applicable Law), to the U.S. Securities and Exchange Commission or any national securities exchange in any jurisdiction in the Territory (each, a “</w:t>
      </w:r>
      <w:r>
        <w:rPr>
          <w:rFonts w:ascii="Times New Roman" w:cs="Times New Roman" w:eastAsia="Times New Roman" w:hAnsi="Times New Roman"/>
          <w:sz w:val="18"/>
          <w:szCs w:val="18"/>
          <w:b w:val="1"/>
          <w:bCs w:val="1"/>
          <w:color w:val="auto"/>
        </w:rPr>
        <w:t>Securities Regulator</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firstLine="1428"/>
        <w:spacing w:after="0" w:line="254" w:lineRule="auto"/>
        <w:tabs>
          <w:tab w:leader="none" w:pos="1691"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response to a valid order of a court of competent jurisdiction or other Governmental Authority or Regulatory Authority or, if in the reasonable opinion of the Receiving Party’s legal counsel, such disclosure is otherwise required by Applicable Law (other than to a Securities Regulator);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legally permissible the Receiving Party will first give written notice to the Disclosing Party and give the Disclosing Party a reasonable opportunity to quash such order or to obtain a protective order or confidential treatment requiring that the Confidential Information and documents that are the subject of such order or requirement be held in confidence by such court or agency or, if disclosed, be used only for the purposes for which the order was issued and redacted in accordance with the Disclosing Party’s instruction;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Confidential Information disclosed in response to such court or governmental order or Applicable Law will be limited to that information which is legally required to be disclosed in response to such court or governmental order or Applicable Law;</w:t>
      </w:r>
    </w:p>
    <w:p>
      <w:pPr>
        <w:spacing w:after="0" w:line="83" w:lineRule="exact"/>
        <w:rPr>
          <w:rFonts w:ascii="Times New Roman" w:cs="Times New Roman" w:eastAsia="Times New Roman" w:hAnsi="Times New Roman"/>
          <w:sz w:val="18"/>
          <w:szCs w:val="18"/>
          <w:color w:val="auto"/>
        </w:rPr>
      </w:pPr>
    </w:p>
    <w:p>
      <w:pPr>
        <w:ind w:left="4" w:right="140" w:firstLine="1428"/>
        <w:spacing w:after="0" w:line="261" w:lineRule="auto"/>
        <w:tabs>
          <w:tab w:leader="none" w:pos="1681"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to the extent reasonably necessary for the Receiving Party to exercise its rights to Prosecute and Maintain any Patents for which it has a right under Article 8 (Intellectual Property Matters);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Receiving Party will provide the Disclosing Party with at least</w:t>
      </w:r>
    </w:p>
    <w:p>
      <w:pPr>
        <w:ind w:left="444" w:hanging="444"/>
        <w:spacing w:after="0"/>
        <w:tabs>
          <w:tab w:leader="none" w:pos="444"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written notice of any such disclosure and take reasonable and lawful actions to avoid or minimize the degree of disclosure;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69" w:right="459" w:bottom="1440" w:gutter="0" w:footer="0" w:header="0"/>
        </w:sectPr>
      </w:pPr>
    </w:p>
    <w:bookmarkStart w:id="595" w:name="page596"/>
    <w:bookmarkEnd w:id="595"/>
    <w:p>
      <w:pPr>
        <w:ind w:right="20" w:firstLine="1428"/>
        <w:spacing w:after="0" w:line="266" w:lineRule="auto"/>
        <w:tabs>
          <w:tab w:leader="none" w:pos="168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Company, to a Regulatory Authority, as reasonably required in connection with any filing, submission or communication with respect to any Licensed Product;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Company will take reasonable measures to obtain confidential treatment of such information, to the extent such protection is available;</w:t>
      </w:r>
    </w:p>
    <w:p>
      <w:pPr>
        <w:spacing w:after="0" w:line="67" w:lineRule="exact"/>
        <w:rPr>
          <w:rFonts w:ascii="Times New Roman" w:cs="Times New Roman" w:eastAsia="Times New Roman" w:hAnsi="Times New Roman"/>
          <w:sz w:val="18"/>
          <w:szCs w:val="18"/>
          <w:color w:val="auto"/>
        </w:rPr>
      </w:pPr>
    </w:p>
    <w:p>
      <w:pPr>
        <w:ind w:firstLine="1428"/>
        <w:spacing w:after="0" w:line="254" w:lineRule="auto"/>
        <w:tabs>
          <w:tab w:leader="none" w:pos="167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disclosure: (i) to any of its officers, employees, consultants, agents, advisors or Affiliates who need to know such Confidential Information to perform on behalf of such Party under this Agreement; or (ii) solely to the extent reasonably necessary for the Receiving Party to exercise its rights and perform its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any such disclosure ((i)-(ii)) each such disclosee is bound by written obligations of confidentiality, non- disclosure and non-use no less restrictive than the obligations set forth in this Article 9 (Confidentiality) to maintain the confidentiality thereof and not to use such Confidential Information except as expressly permitted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each of the above situations in clauses (i)-(ii) of this Section 9.3.1(e) (Disclosure), the Receiving Party will remain responsible for any failure by any Person who receives Confidential Information from such Receiving Party pursuant to this Section 9.3.1(e) (Disclosure) to treat such Confidential Information as required under this Article 9 (Confidentiality); and</w:t>
      </w:r>
    </w:p>
    <w:p>
      <w:pPr>
        <w:spacing w:after="0" w:line="83" w:lineRule="exact"/>
        <w:rPr>
          <w:rFonts w:ascii="Times New Roman" w:cs="Times New Roman" w:eastAsia="Times New Roman" w:hAnsi="Times New Roman"/>
          <w:sz w:val="18"/>
          <w:szCs w:val="18"/>
          <w:color w:val="auto"/>
        </w:rPr>
      </w:pPr>
    </w:p>
    <w:p>
      <w:pPr>
        <w:ind w:right="20" w:firstLine="1428"/>
        <w:spacing w:after="0" w:line="254" w:lineRule="auto"/>
        <w:tabs>
          <w:tab w:leader="none" w:pos="165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disclosure of (i) Confidential Information or the existence and terms of this Agreement to its advisors (including insurance brokers, auditors, attorneys and accountants) in connection with activities under this Agreement, or (ii) the existence and terms of this Agreement to actual 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potential investors, lenders, acquirers and underwriters, solely for the purpose of evaluating or carrying out an actual or potential investment (for disclosure to investors), acquisition (in the case of disclosure to acquirers), loans (in the case of disclosure to lenders) or public offerings (in the case of disclosure to underwriters);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prior to any such disclosure, each such disclosee is bound by written obligations of confidentiality, non- disclosure and non-use no less restrictive than the obligations set forth in this Article 9 (Confidentiality) or by professional codes of conduct to maintain the confidentiality thereof to not use such Confidential Information except as expressly permitted by this Agreement; and (B) the Receiving Party will remain responsible for any failure by any Person who receives Confidential Information from such Receiving Party pursuant to this Section 9.3.1 (Disclosure) to treat such Confidential Information as required under this Article 9 (Confidentiality).</w:t>
      </w:r>
    </w:p>
    <w:p>
      <w:pPr>
        <w:spacing w:after="0" w:line="80" w:lineRule="exact"/>
        <w:rPr>
          <w:rFonts w:ascii="Times New Roman" w:cs="Times New Roman" w:eastAsia="Times New Roman" w:hAnsi="Times New Roman"/>
          <w:sz w:val="18"/>
          <w:szCs w:val="18"/>
          <w:color w:val="auto"/>
        </w:rPr>
      </w:pPr>
    </w:p>
    <w:p>
      <w:pPr>
        <w:ind w:right="20" w:firstLine="1428"/>
        <w:spacing w:after="0" w:line="266" w:lineRule="auto"/>
        <w:tabs>
          <w:tab w:leader="none" w:pos="1687"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Disclosure</w:t>
      </w:r>
      <w:r>
        <w:rPr>
          <w:rFonts w:ascii="Times New Roman" w:cs="Times New Roman" w:eastAsia="Times New Roman" w:hAnsi="Times New Roman"/>
          <w:sz w:val="18"/>
          <w:szCs w:val="18"/>
          <w:color w:val="auto"/>
        </w:rPr>
        <w:t>. If and whenever any Confidential Information is disclosed in accordance with this Section 9.3 (Authorized Disclosure), such disclosure will not cause any such information to cease to be Confidential Information, except to the extent that such disclosure results in a public disclosure of such information other than by breach of this Agreement.</w:t>
      </w:r>
    </w:p>
    <w:p>
      <w:pPr>
        <w:spacing w:after="0" w:line="68"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9.3.2 </w:t>
      </w:r>
      <w:r>
        <w:rPr>
          <w:rFonts w:ascii="Times New Roman" w:cs="Times New Roman" w:eastAsia="Times New Roman" w:hAnsi="Times New Roman"/>
          <w:sz w:val="18"/>
          <w:szCs w:val="18"/>
          <w:u w:val="single" w:color="auto"/>
          <w:color w:val="auto"/>
        </w:rPr>
        <w:t>Terms of this Agreement</w:t>
      </w:r>
      <w:r>
        <w:rPr>
          <w:rFonts w:ascii="Times New Roman" w:cs="Times New Roman" w:eastAsia="Times New Roman" w:hAnsi="Times New Roman"/>
          <w:sz w:val="18"/>
          <w:szCs w:val="18"/>
          <w:color w:val="auto"/>
        </w:rPr>
        <w:t xml:space="preserve">. The Parties agree that this Agreement and the terms hereof will be deemed to be Confidential Information of both Maze and Company, and each Party agrees not to disclose this Agreement or any terms hereof without obtaining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Party may disclose this Agreement or any terms hereof in accordance with the provisions of Section 9.3 (Authorized Disclosure), Section 9.5 (Securities Filings; Disclosure under Applicable Law) or Section 9.7 (Publicity), as applicable.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9" w:right="459" w:bottom="1440" w:gutter="0" w:footer="0" w:header="0"/>
        </w:sectPr>
      </w:pPr>
    </w:p>
    <w:bookmarkStart w:id="596" w:name="page597"/>
    <w:bookmarkEnd w:id="596"/>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9.4 </w:t>
      </w:r>
      <w:r>
        <w:rPr>
          <w:rFonts w:ascii="Times New Roman" w:cs="Times New Roman" w:eastAsia="Times New Roman" w:hAnsi="Times New Roman"/>
          <w:sz w:val="18"/>
          <w:szCs w:val="18"/>
          <w:u w:val="single" w:color="auto"/>
          <w:color w:val="auto"/>
        </w:rPr>
        <w:t>Securities Filings; Disclosure under Applicable Law</w:t>
      </w:r>
      <w:r>
        <w:rPr>
          <w:rFonts w:ascii="Times New Roman" w:cs="Times New Roman" w:eastAsia="Times New Roman" w:hAnsi="Times New Roman"/>
          <w:sz w:val="18"/>
          <w:szCs w:val="18"/>
          <w:color w:val="auto"/>
        </w:rPr>
        <w:t>. Each Party acknowledges and agrees that the other Party may submit this Agreement to, or file this Agreement with, the Securities Regulators or other Persons as may be required by Applicable Law, and if a Party submits this Agreement to, or files this Agreement with, any Securities Regulator or other Person as may be required by Applicable Law, such Party agrees to consult with the other Party with respect to the preparation and submission of a confidential treatment request for this Agreement. Notwithstanding the foregoing, if a Party is required by any Securities Regulator or other Person as may be required by Applicable Law to make a disclosure of the terms of this Agreement in a filing or other submission as required by such Securities Regulator or such other Person, and such Party has: (a) provided copies of the disclosure to the other Party reasonably in advance under the circumstances of such filing or other disclosure; (b) promptly notified the other Party in writing of such requirement and any respective timing constraints; and (c) given the other Party reasonable time under the circumstances from the date of provision of copies of such disclosure to comment upon and request confidential treatment for such disclosure, then such Party will have the right to make such disclosure at the time and in the manner reasonably determined by its counsel to be required by the Securities Regulator or the other Person. Notwithstanding the foregoing, if a Party seeks to make a disclosure as required by a Securities Regulator or other Person as may be required by Applicable Law as set forth in this Section 9.5 (Securities Filings; Disclosure under Applicable Law) and the other Party provides comments in accordance with this Section 9.5 (Securities Filings; Disclosure under Applicable Law), then the Party seeking to make such disclosure or its counsel, as the case may be, will incorporate such comments to the extent legally permissible.</w:t>
      </w:r>
    </w:p>
    <w:p>
      <w:pPr>
        <w:spacing w:after="0" w:line="19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Return or Destruction of Confidential Information</w:t>
      </w:r>
      <w:r>
        <w:rPr>
          <w:rFonts w:ascii="Times New Roman" w:cs="Times New Roman" w:eastAsia="Times New Roman" w:hAnsi="Times New Roman"/>
          <w:sz w:val="18"/>
          <w:szCs w:val="18"/>
          <w:color w:val="auto"/>
        </w:rPr>
        <w:t xml:space="preserve">. Following expiration or termination of this Agreement, the Receiving Party will destroy the Confidential Information of the Disclosing Party, promptly (but in any case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the expiration or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Receiving Party may retain: (i) Confidential Information of the Disclosing Party to exercise rights and licenses which expressly survive such termination or expiration pursuant to this Agreement; (ii) access to all other Confidential Information in archives solely for the purpose of establishing the contents thereof or in accordance with Applicable Law and (iii) any backup media copies made in the ordinary course of business.</w:t>
      </w:r>
    </w:p>
    <w:p>
      <w:pPr>
        <w:spacing w:after="0" w:line="183"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Each of the Parties may issue the press release in the form attached hereto as Schedule 9.7 (Form of Press Release) on or after the Effective Date. Except as otherwise permitted under this Article 9 (Confidentiality), neither Party will make any other press release or other public statement regarding this Agreement, or the activities hereunder or thereunder, or the transactions contemplated by this Agreement that go beyond the content of such pre-approved press release, without the other Party’s prior written consent. The contents of any press release or other public statement that has been reviewed and approved by the other Party may be re-released by a Party in materially the same language as previously approved by the other Party without first obtaining the other Party’s prior written consent in accordance with this Section 9.7 (Publicity).</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Publications</w:t>
      </w:r>
      <w:r>
        <w:rPr>
          <w:rFonts w:ascii="Times New Roman" w:cs="Times New Roman" w:eastAsia="Times New Roman" w:hAnsi="Times New Roman"/>
          <w:sz w:val="18"/>
          <w:szCs w:val="18"/>
          <w:color w:val="auto"/>
        </w:rPr>
        <w:t>. Company will have the sole right to make presentations or publications with respect to the Licensed Compounds and Licensed Products (including Clinical Trials or non-clinical studies) (each presentation or publication, a “</w:t>
      </w:r>
      <w:r>
        <w:rPr>
          <w:rFonts w:ascii="Times New Roman" w:cs="Times New Roman" w:eastAsia="Times New Roman" w:hAnsi="Times New Roman"/>
          <w:sz w:val="18"/>
          <w:szCs w:val="18"/>
          <w:b w:val="1"/>
          <w:bCs w:val="1"/>
          <w:color w:val="auto"/>
        </w:rPr>
        <w:t>Publication</w:t>
      </w:r>
      <w:r>
        <w:rPr>
          <w:rFonts w:ascii="Times New Roman" w:cs="Times New Roman" w:eastAsia="Times New Roman" w:hAnsi="Times New Roman"/>
          <w:sz w:val="18"/>
          <w:szCs w:val="18"/>
          <w:color w:val="auto"/>
        </w:rPr>
        <w:t xml:space="preserve">”) in accordance with the provisions of this Section 9.8 (Publications). Notwithstanding the foregoing, Company will not have the right to make Publications disclosing Maze’s Confidential Information (other than Confidential Information that is also Company’s Confidential Information, such as the Licensed Know-How) without Maze’s consent,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nothing in this Section 9.8 (Publications) will restrict Company from publishing any Clinical Trial results.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69" w:right="439" w:bottom="1440" w:gutter="0" w:footer="0" w:header="0"/>
        </w:sectPr>
      </w:pPr>
    </w:p>
    <w:bookmarkStart w:id="597" w:name="page598"/>
    <w:bookmarkEnd w:id="597"/>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9.8 </w:t>
      </w:r>
      <w:r>
        <w:rPr>
          <w:rFonts w:ascii="Times New Roman" w:cs="Times New Roman" w:eastAsia="Times New Roman" w:hAnsi="Times New Roman"/>
          <w:sz w:val="18"/>
          <w:szCs w:val="18"/>
          <w:u w:val="single" w:color="auto"/>
          <w:color w:val="auto"/>
        </w:rPr>
        <w:t>Use of Names</w:t>
      </w:r>
      <w:r>
        <w:rPr>
          <w:rFonts w:ascii="Times New Roman" w:cs="Times New Roman" w:eastAsia="Times New Roman" w:hAnsi="Times New Roman"/>
          <w:sz w:val="18"/>
          <w:szCs w:val="18"/>
          <w:color w:val="auto"/>
        </w:rPr>
        <w:t xml:space="preserve">. Except as otherwise expressly set forth herein, neither Party (or any of its respective Affiliates) will use any corporate name, trademark, trade name or logo of the other Party or any of its Affiliates, or its or their respective employees, in any publicity, promotion, news release or other public disclosure relating to this Agreement or its subject matter, without first obtaining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consent will not be required: (a) to the extent use thereof may be required by Applicable Law, including the rules of any securities exchange or market on which a Party’s or its Affiliate’s securities are listed or traded; and (b) for Maze’s use of Company’s name and company logo, in accordance with written specifications and standards to be provided by Company to Maze, solely to identify Company as a collaborator on Maze’s website and in public presentations. Each Party will retain all rights, title and interests in and to all such corporate names, trademarks, trade names and logos of such Party and its Affiliates.</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Clinical Trials Registry</w:t>
      </w:r>
      <w:r>
        <w:rPr>
          <w:rFonts w:ascii="Times New Roman" w:cs="Times New Roman" w:eastAsia="Times New Roman" w:hAnsi="Times New Roman"/>
          <w:sz w:val="18"/>
          <w:szCs w:val="18"/>
          <w:color w:val="auto"/>
        </w:rPr>
        <w:t>. For clarity, Company, its Affiliates and its designees will have the right to publish registry information and summaries of data and results from any Clinical Trials conducted in connection with Licensed Products, on its Clinical Trials registry or on a government-sponsored database such as www.clinicaltrials.gov, without first obtaining the prior consent of Maze. The Parties will reasonably cooperate if required or reasonably requested by Company in order to facilitate any such publication by Company, any of its Affiliates or any of its designees.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COVENANTS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Representations and Warranties of Each Party</w:t>
      </w:r>
      <w:r>
        <w:rPr>
          <w:rFonts w:ascii="Times New Roman" w:cs="Times New Roman" w:eastAsia="Times New Roman" w:hAnsi="Times New Roman"/>
          <w:sz w:val="18"/>
          <w:szCs w:val="18"/>
          <w:color w:val="auto"/>
        </w:rPr>
        <w:t>. Each Party hereby represents and warrants to the other Party, as of the Execution Date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that:</w:t>
      </w:r>
    </w:p>
    <w:p>
      <w:pPr>
        <w:spacing w:after="0" w:line="99"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Such Party is duly organized, validly existing and in good standing under the Applicable Law of the jurisdiction of its formation and has full corporate power and authority and the legal right to own and operate its property and assets and to carry on its business as it is now being conducted and as contemplated in this Agreement, including the full right to grant the licenses and sublicenses granted by it hereunder.</w:t>
      </w:r>
    </w:p>
    <w:p>
      <w:pPr>
        <w:spacing w:after="0" w:line="72" w:lineRule="exact"/>
        <w:rPr>
          <w:sz w:val="20"/>
          <w:szCs w:val="20"/>
          <w:color w:val="auto"/>
        </w:rPr>
      </w:pPr>
    </w:p>
    <w:p>
      <w:pPr>
        <w:jc w:val="both"/>
        <w:ind w:right="6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Such Party has the corporate power and authority and the legal right to enter into this Agreement and perform its obligations hereunder, and has taken all necessary corporate action on its part to authorize the execution and delivery of this Agreement and the performance of its obligations hereunder.</w:t>
      </w:r>
    </w:p>
    <w:p>
      <w:pPr>
        <w:spacing w:after="0" w:line="68"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Binding Agreement</w:t>
      </w:r>
      <w:r>
        <w:rPr>
          <w:rFonts w:ascii="Times New Roman" w:cs="Times New Roman" w:eastAsia="Times New Roman" w:hAnsi="Times New Roman"/>
          <w:sz w:val="18"/>
          <w:szCs w:val="18"/>
          <w:color w:val="auto"/>
        </w:rPr>
        <w:t>. This Agreement has been duly executed and delivered on behalf of such Party and constitutes a legal, valid and binding obligation, enforceable against it in accordance with its terms, except to the extent that enforcement of the rights and remedies created hereby is subject to: (a) bankruptcy, insolvency, reorganization, moratorium and other similar laws of general application affecting the rights and remedies of creditors; or (b) laws governing specific performance, injunctive relief and other equitable remedies.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69" w:right="439" w:bottom="1440" w:gutter="0" w:footer="0" w:header="0"/>
        </w:sectPr>
      </w:pPr>
    </w:p>
    <w:bookmarkStart w:id="598" w:name="page599"/>
    <w:bookmarkEnd w:id="598"/>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10.1.4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this Agreement by such Party does not breach, violate or conflict with any agreement or any provision thereof (including any confidentiality or non-competition obligation, any exclusivity obligation, or any provisions with respect to the ownership, prosecution, maintenance and enforcement of intellectual property rights), or any instrument or understanding, oral or written, to which such Party (or any of its Affiliates) is a party or by which such Party (or any of its Affiliates) is bound, nor violate any Applicable Law of any Governmental Authority having jurisdiction over such Party (or any of its Affiliates).</w:t>
      </w:r>
    </w:p>
    <w:p>
      <w:pPr>
        <w:spacing w:after="0" w:line="75"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Government Authorization</w:t>
      </w:r>
      <w:r>
        <w:rPr>
          <w:rFonts w:ascii="Times New Roman" w:cs="Times New Roman" w:eastAsia="Times New Roman" w:hAnsi="Times New Roman"/>
          <w:sz w:val="18"/>
          <w:szCs w:val="18"/>
          <w:color w:val="auto"/>
        </w:rPr>
        <w:t>. No government authorization, consent, approval, license, exemption of or filing or registration with, any court or governmental department, commission, board, bureau, agency or instrumentality, domestic or foreign, under any Applicable Law currently in effect, is or will be necessary for, or in connection with, the transactions contemplated by this Agreement, or for the performance by it of its obligations under this Agreement, except: (a) as may be required to Research, Develop (including to conduct Clinical Trials or to seek or obtain Regulatory Approvals or applicable Regulatory Materials), Manufacture, Commercialize or otherwise Exploit any Licensed Product(s); or (b) as set forth in Article 13 (Government Approvals).</w:t>
      </w:r>
    </w:p>
    <w:p>
      <w:pPr>
        <w:spacing w:after="0" w:line="79"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Third Party Consent</w:t>
      </w:r>
      <w:r>
        <w:rPr>
          <w:rFonts w:ascii="Times New Roman" w:cs="Times New Roman" w:eastAsia="Times New Roman" w:hAnsi="Times New Roman"/>
          <w:sz w:val="18"/>
          <w:szCs w:val="18"/>
          <w:color w:val="auto"/>
        </w:rPr>
        <w:t>. Such Party has obtained all necessary authorizations, consents and approvals of any Third Party that is required to be obtained by it for, or in connection with, the transactions contemplated by this Agreement, or for the performance by it of its obligations under this Agreement, except for such authorizations, consents and approvals from a Governmental Authority: (a) as may be required to Research, Develop (including to conduct Clinical Trials or to seek or obtain Regulatory Approvals or applicable Regulatory Materials), or to Manufacture, Commercialize or otherwise Exploit any Licensed Product(s); or (b) as set forth in Article 13 (Government Approvals).</w:t>
      </w:r>
    </w:p>
    <w:p>
      <w:pPr>
        <w:spacing w:after="0" w:line="7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No Debarment</w:t>
      </w:r>
      <w:r>
        <w:rPr>
          <w:rFonts w:ascii="Times New Roman" w:cs="Times New Roman" w:eastAsia="Times New Roman" w:hAnsi="Times New Roman"/>
          <w:sz w:val="18"/>
          <w:szCs w:val="18"/>
          <w:color w:val="auto"/>
        </w:rPr>
        <w:t>. (a) Neither such Party nor any of its Affiliates has been debarred or is subject to debarment pursuant to Section 306 of the FFDCA or analogous provisions of Applicable Law outside the United States or is listed on any excluded list; and (b) neither it nor any of its Affiliates has, to its knowledge, used in any capacity, in connection with the activities to be performed under this Agreement, any individual or entity that has been debarred pursuant to Section 306 of the FFDCA or analogous provisions of Applicable Law outside the United States, or that is the subject of a conviction described in such Section or analogous provisions of Applicable Law outside the United States, or listed on any excluded list.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Representations and Warranties of Maze</w:t>
      </w:r>
      <w:r>
        <w:rPr>
          <w:rFonts w:ascii="Times New Roman" w:cs="Times New Roman" w:eastAsia="Times New Roman" w:hAnsi="Times New Roman"/>
          <w:sz w:val="18"/>
          <w:szCs w:val="18"/>
          <w:color w:val="auto"/>
        </w:rPr>
        <w:t>. Maze hereby represents and warrants to Company as of the Execution Date that:</w:t>
      </w:r>
    </w:p>
    <w:p>
      <w:pPr>
        <w:spacing w:after="0" w:line="117"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Ownership and Full Disclosure and Validity of the Licensed Materials</w:t>
      </w:r>
      <w:r>
        <w:rPr>
          <w:rFonts w:ascii="Times New Roman" w:cs="Times New Roman" w:eastAsia="Times New Roman" w:hAnsi="Times New Roman"/>
          <w:sz w:val="18"/>
          <w:szCs w:val="18"/>
          <w:color w:val="auto"/>
        </w:rPr>
        <w:t>. Maze is the sole and exclusive owner of the Licensed Technology, free and clear of all liens, encumbrances and security interests, and Maze does not Control any Licensed Technology pursuant to any agreement with any Third Party. Schedule 1.113 (Licensed Patents) sets forth a complete and accurate list of all Licensed Patents existing as of the Execution Date, and Schedule 1.112 (Licensed Materials) sets forth a complete and accurate list of all Licensed Materials existing as of the Execution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69" w:right="479" w:bottom="1440" w:gutter="0" w:footer="0" w:header="0"/>
        </w:sectPr>
      </w:pPr>
    </w:p>
    <w:bookmarkStart w:id="599" w:name="page600"/>
    <w:bookmarkEnd w:id="599"/>
    <w:p>
      <w:pPr>
        <w:ind w:left="4" w:right="120" w:firstLine="99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10.2.2 </w:t>
      </w:r>
      <w:r>
        <w:rPr>
          <w:rFonts w:ascii="Times New Roman" w:cs="Times New Roman" w:eastAsia="Times New Roman" w:hAnsi="Times New Roman"/>
          <w:sz w:val="17"/>
          <w:szCs w:val="17"/>
          <w:u w:val="single" w:color="auto"/>
          <w:color w:val="auto"/>
        </w:rPr>
        <w:t>Disclosure of Material Information</w:t>
      </w:r>
      <w:r>
        <w:rPr>
          <w:rFonts w:ascii="Times New Roman" w:cs="Times New Roman" w:eastAsia="Times New Roman" w:hAnsi="Times New Roman"/>
          <w:sz w:val="17"/>
          <w:szCs w:val="17"/>
          <w:color w:val="auto"/>
        </w:rPr>
        <w:t>. Maze or its Affiliates has disclosed in writing to Company all (i) material information relating to quality, safety and efficacy of and relating to any and all of Licensed Compounds and/or Licensed Products, or the use or manufacture thereof, and</w:t>
      </w:r>
    </w:p>
    <w:p>
      <w:pPr>
        <w:spacing w:after="0" w:line="1" w:lineRule="exact"/>
        <w:rPr>
          <w:sz w:val="20"/>
          <w:szCs w:val="20"/>
          <w:color w:val="auto"/>
        </w:rPr>
      </w:pPr>
    </w:p>
    <w:p>
      <w:pPr>
        <w:ind w:left="4" w:right="740" w:hanging="4"/>
        <w:spacing w:after="0" w:line="260" w:lineRule="auto"/>
        <w:tabs>
          <w:tab w:leader="none" w:pos="269"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data and information, and all material correspondence to or from any Regulatory Authority, relating to any and all of the Licensed Compounds and/or Licensed Products, or the use or manufacture thereof.</w:t>
      </w:r>
    </w:p>
    <w:p>
      <w:pPr>
        <w:spacing w:after="0" w:line="73"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10.2.3 </w:t>
      </w:r>
      <w:r>
        <w:rPr>
          <w:rFonts w:ascii="Times New Roman" w:cs="Times New Roman" w:eastAsia="Times New Roman" w:hAnsi="Times New Roman"/>
          <w:sz w:val="18"/>
          <w:szCs w:val="18"/>
          <w:u w:val="single" w:color="auto"/>
          <w:color w:val="auto"/>
        </w:rPr>
        <w:t>No Conflicting Agreement</w:t>
      </w:r>
      <w:r>
        <w:rPr>
          <w:rFonts w:ascii="Times New Roman" w:cs="Times New Roman" w:eastAsia="Times New Roman" w:hAnsi="Times New Roman"/>
          <w:sz w:val="18"/>
          <w:szCs w:val="18"/>
          <w:color w:val="auto"/>
        </w:rPr>
        <w:t>. Maze has the full right, power and authority to grant all of the rights and licenses granted to Company under this Agreement. Neither Maze nor its Affiliates have assigned, transferred, conveyed or granted any right or license, or committed to assign, convey, transfer or grant any right or license, to any Third Party relating to any of the Licensed Technology that would conflict with or limit the scope of any of the rights or licenses granted to Company hereunder.</w:t>
      </w:r>
    </w:p>
    <w:p>
      <w:pPr>
        <w:spacing w:after="0" w:line="72" w:lineRule="exact"/>
        <w:rPr>
          <w:sz w:val="20"/>
          <w:szCs w:val="20"/>
          <w:color w:val="auto"/>
        </w:rPr>
      </w:pPr>
    </w:p>
    <w:p>
      <w:pPr>
        <w:ind w:left="4" w:right="8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10.2.4 </w:t>
      </w:r>
      <w:r>
        <w:rPr>
          <w:rFonts w:ascii="Times New Roman" w:cs="Times New Roman" w:eastAsia="Times New Roman" w:hAnsi="Times New Roman"/>
          <w:sz w:val="18"/>
          <w:szCs w:val="18"/>
          <w:u w:val="single" w:color="auto"/>
          <w:color w:val="auto"/>
        </w:rPr>
        <w:t>Validity and Enforceability</w:t>
      </w:r>
      <w:r>
        <w:rPr>
          <w:rFonts w:ascii="Times New Roman" w:cs="Times New Roman" w:eastAsia="Times New Roman" w:hAnsi="Times New Roman"/>
          <w:sz w:val="18"/>
          <w:szCs w:val="18"/>
          <w:color w:val="auto"/>
        </w:rPr>
        <w:t>. Maze has complied in all material respects with Applicable Law with respect to the Prosecution and Maintenance of the Licensed Patents. Neither Maze nor its Affiliates have received any notice, written or otherwise, of any claim or threat of a claim or litigation made by any Person against Maze or its Affiliates that alleges that any Licensed Patent is invalid or unenforceable and there is no pending adverse action, suit or proceeding against Maze in relation to any Licensed Patent. All Licensed Patents are: (a) in the case of issued patents, subsisting and, to Maze’s knowledge, are not invalid or unenforceable, in whole or in part; (b) in the case of pending applications, being diligently prosecuted in the respective patent offices in accordance with Applicable Law and Maze has presented all relevant references, documents and information of which it and the inventors are aware to the relevant patent examiner at the relevant patent office; and (c) Prosecuted and Maintained in accordance with the policies and procedures of the applicable patent office (including by identifying every inventor of the claims thereof as determined in accordance with the laws of the jurisdiction in which such Patent is issued or pending) and all applicable fees have been paid by the due date for payment. To Maze’s knowledge, there is no reference or prior art that would anticipate the issuance of any claim pending as of such date within any Licensed Patent.</w:t>
      </w:r>
    </w:p>
    <w:p>
      <w:pPr>
        <w:spacing w:after="0" w:line="86"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10.2.5 </w:t>
      </w:r>
      <w:r>
        <w:rPr>
          <w:rFonts w:ascii="Times New Roman" w:cs="Times New Roman" w:eastAsia="Times New Roman" w:hAnsi="Times New Roman"/>
          <w:sz w:val="18"/>
          <w:szCs w:val="18"/>
          <w:u w:val="single" w:color="auto"/>
          <w:color w:val="auto"/>
        </w:rPr>
        <w:t>Litigation and Disputes</w:t>
      </w:r>
      <w:r>
        <w:rPr>
          <w:rFonts w:ascii="Times New Roman" w:cs="Times New Roman" w:eastAsia="Times New Roman" w:hAnsi="Times New Roman"/>
          <w:sz w:val="18"/>
          <w:szCs w:val="18"/>
          <w:color w:val="auto"/>
        </w:rPr>
        <w:t>. There are no claims, judgments, settlements, litigations, suits, actions, disputes, arbitration, judicial or legal, administrative or other proceedings, or governmental investigations (collectively, “</w:t>
      </w:r>
      <w:r>
        <w:rPr>
          <w:rFonts w:ascii="Times New Roman" w:cs="Times New Roman" w:eastAsia="Times New Roman" w:hAnsi="Times New Roman"/>
          <w:sz w:val="18"/>
          <w:szCs w:val="18"/>
          <w:b w:val="1"/>
          <w:bCs w:val="1"/>
          <w:color w:val="auto"/>
        </w:rPr>
        <w:t>Actions</w:t>
      </w:r>
      <w:r>
        <w:rPr>
          <w:rFonts w:ascii="Times New Roman" w:cs="Times New Roman" w:eastAsia="Times New Roman" w:hAnsi="Times New Roman"/>
          <w:sz w:val="18"/>
          <w:szCs w:val="18"/>
          <w:color w:val="auto"/>
        </w:rPr>
        <w:t>”) pending or, to Maze’s knowledge, threatened against Maze or its Affiliates that relate to the Licensed Technology, MZE001 or the Research, Development or Manufacturing of MZE001, Licensed Compounds or Licensed Products, or which could otherwise reasonably be expected to adversely affect or restrict the ability of Maze to consummate or perform the transactions and obligations contemplated under this Agreement.</w:t>
      </w:r>
    </w:p>
    <w:p>
      <w:pPr>
        <w:spacing w:after="0" w:line="75"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10.2.6 </w:t>
      </w:r>
      <w:r>
        <w:rPr>
          <w:rFonts w:ascii="Times New Roman" w:cs="Times New Roman" w:eastAsia="Times New Roman" w:hAnsi="Times New Roman"/>
          <w:sz w:val="18"/>
          <w:szCs w:val="18"/>
          <w:u w:val="single" w:color="auto"/>
          <w:color w:val="auto"/>
        </w:rPr>
        <w:t>No Misappropriation/Infringement</w:t>
      </w:r>
      <w:r>
        <w:rPr>
          <w:rFonts w:ascii="Times New Roman" w:cs="Times New Roman" w:eastAsia="Times New Roman" w:hAnsi="Times New Roman"/>
          <w:sz w:val="18"/>
          <w:szCs w:val="18"/>
          <w:color w:val="auto"/>
        </w:rPr>
        <w:t>. Maze has not misappropriated any trade secret rights of a Third Party and, to Maze’s knowledge, Maze and its Affiliates, and any contractors or other Third Parties acting on behalf of or under license from Maze and/or its Affiliates, have not infringed any Patents or otherwise violated any other intellectual property of a Third Party, in each case of the foregoing in connection with developing the Licensed Technology or the Research, Development or Manufacturing of MZE001. Neither Maze nor its Affiliates have received any notice, written or otherwise, of any claim that any Patent or Know-How (including</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4"/>
          </w:cols>
          <w:pgMar w:left="436" w:top="269" w:right="479" w:bottom="1440" w:gutter="0" w:footer="0" w:header="0"/>
        </w:sectPr>
      </w:pPr>
    </w:p>
    <w:bookmarkStart w:id="600" w:name="page601"/>
    <w:bookmarkEnd w:id="600"/>
    <w:p>
      <w:pPr>
        <w:ind w:right="1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trade secret right) Controlled by a Third Party would be infringed, misappropriated or otherwise violated by the performance of the activities hereunder or by the Research, Development, Manufacture, Commercialization or other Exploitation of the Licensed Compounds or the Licensed Products in accordance with this Agreement. Maze has no knowledge of any Patent or Know-How Controlled by a Third Party that is necessary for the Research, Development, Manufacture, Commercialization or other Exploitation of the Licensed Compounds or the Licensed Products in accordance with the terms of this Agreement. To Maze’s knowledge, the use and practice of the Licensed Technology as contemplated by this Agreement does not and will not infringe, misappropriate or otherwise violate any intellectual property rights of any Third Party. To Maze’s knowledge, no Third Party is infringing, misappropriating or otherwise violating, or threatening to infringe, misappropriate or otherwise violate the Licensed Technology.</w:t>
      </w:r>
    </w:p>
    <w:p>
      <w:pPr>
        <w:spacing w:after="0" w:line="63" w:lineRule="exact"/>
        <w:rPr>
          <w:sz w:val="20"/>
          <w:szCs w:val="20"/>
          <w:color w:val="auto"/>
        </w:rPr>
      </w:pPr>
    </w:p>
    <w:p>
      <w:pPr>
        <w:ind w:right="6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10.2.7 </w:t>
      </w:r>
      <w:r>
        <w:rPr>
          <w:rFonts w:ascii="Times New Roman" w:cs="Times New Roman" w:eastAsia="Times New Roman" w:hAnsi="Times New Roman"/>
          <w:sz w:val="18"/>
          <w:szCs w:val="18"/>
          <w:u w:val="single" w:color="auto"/>
          <w:color w:val="auto"/>
        </w:rPr>
        <w:t>Third Party Agreements</w:t>
      </w:r>
      <w:r>
        <w:rPr>
          <w:rFonts w:ascii="Times New Roman" w:cs="Times New Roman" w:eastAsia="Times New Roman" w:hAnsi="Times New Roman"/>
          <w:sz w:val="18"/>
          <w:szCs w:val="18"/>
          <w:color w:val="auto"/>
        </w:rPr>
        <w:t>. There are no exclusivity provisions or any other restrictions in any agreement between Maze or its Affiliates, on the one hand, and any Third Party, on the other hand, that would limit either Party’s ability to Research, Develop, Manufacture, Commercialize or otherwise Exploit the Licensed Compounds or Licensed Products in the Field in the Territory.</w:t>
      </w:r>
    </w:p>
    <w:p>
      <w:pPr>
        <w:spacing w:after="0" w:line="68"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10.2.8 </w:t>
      </w:r>
      <w:r>
        <w:rPr>
          <w:rFonts w:ascii="Times New Roman" w:cs="Times New Roman" w:eastAsia="Times New Roman" w:hAnsi="Times New Roman"/>
          <w:sz w:val="18"/>
          <w:szCs w:val="18"/>
          <w:u w:val="single" w:color="auto"/>
          <w:color w:val="auto"/>
        </w:rPr>
        <w:t>Technology Assignment</w:t>
      </w:r>
      <w:r>
        <w:rPr>
          <w:rFonts w:ascii="Times New Roman" w:cs="Times New Roman" w:eastAsia="Times New Roman" w:hAnsi="Times New Roman"/>
          <w:sz w:val="18"/>
          <w:szCs w:val="18"/>
          <w:color w:val="auto"/>
        </w:rPr>
        <w:t>. Maze and its Affiliates have obtained from all individuals who participated in any respect in the invention, authorship or other creation of any Licensed Technology valid and enforceable written assignments of all rights of such individuals in such Licensed Technology. Nobody who (a) was involved in the conception of an Invention claimed in a Licensed Patent, or (b) claims or otherwise is or has asserted to be an inventor of any such Invention, is not identified as an inventor of such Invention in the filed patent documents for such Licensed Patent. No dispute regarding inventorship or ownership has been alleged or threatened with respect to any Licensed Technology.</w:t>
      </w:r>
    </w:p>
    <w:p>
      <w:pPr>
        <w:spacing w:after="0" w:line="7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10.2.9 </w:t>
      </w:r>
      <w:r>
        <w:rPr>
          <w:rFonts w:ascii="Times New Roman" w:cs="Times New Roman" w:eastAsia="Times New Roman" w:hAnsi="Times New Roman"/>
          <w:sz w:val="18"/>
          <w:szCs w:val="18"/>
          <w:u w:val="single" w:color="auto"/>
          <w:color w:val="auto"/>
        </w:rPr>
        <w:t>Government Funding and Rights</w:t>
      </w:r>
      <w:r>
        <w:rPr>
          <w:rFonts w:ascii="Times New Roman" w:cs="Times New Roman" w:eastAsia="Times New Roman" w:hAnsi="Times New Roman"/>
          <w:sz w:val="18"/>
          <w:szCs w:val="18"/>
          <w:color w:val="auto"/>
        </w:rPr>
        <w:t>. The Inventions claimed, covered or encompassed by the Licensed Technology: (a) were not conceived, discovered, developed or otherwise made in connection with any research activities funded, in whole or in part, by the federal government of the United States (or any agency thereof) or the government of any other country; (b) are not a “subject invention” as that term is described in 35 U.S.C. §201(e); (c) are not otherwise subject to the provisions of the Patent and Trademark Law Amendments Act of 1980, codified at 35 U.S.C. §§200-212, or any regulations promulgated pursuant thereto, including in 37 C.F.R. Part 401; (d) in the case of clauses (b) or (c), are not subject to similar obligations or restrictions under the Applicable Law of any other country; and (e) are not the subject of any licenses, options or other rights of any Governmental Authority, within or outside the United States.</w:t>
      </w:r>
    </w:p>
    <w:p>
      <w:pPr>
        <w:spacing w:after="0" w:line="81" w:lineRule="exact"/>
        <w:rPr>
          <w:sz w:val="20"/>
          <w:szCs w:val="20"/>
          <w:color w:val="auto"/>
        </w:rPr>
      </w:pPr>
    </w:p>
    <w:p>
      <w:pPr>
        <w:ind w:right="120" w:firstLine="991"/>
        <w:spacing w:after="0" w:line="277" w:lineRule="auto"/>
        <w:rPr>
          <w:sz w:val="20"/>
          <w:szCs w:val="20"/>
          <w:color w:val="auto"/>
        </w:rPr>
      </w:pPr>
      <w:r>
        <w:rPr>
          <w:rFonts w:ascii="Times New Roman" w:cs="Times New Roman" w:eastAsia="Times New Roman" w:hAnsi="Times New Roman"/>
          <w:sz w:val="17"/>
          <w:szCs w:val="17"/>
          <w:color w:val="auto"/>
        </w:rPr>
        <w:t xml:space="preserve">10.2.10 </w:t>
      </w:r>
      <w:r>
        <w:rPr>
          <w:rFonts w:ascii="Times New Roman" w:cs="Times New Roman" w:eastAsia="Times New Roman" w:hAnsi="Times New Roman"/>
          <w:sz w:val="17"/>
          <w:szCs w:val="17"/>
          <w:u w:val="single" w:color="auto"/>
          <w:color w:val="auto"/>
        </w:rPr>
        <w:t>Compliance with Applicable Law, GxP and Data Privacy</w:t>
      </w:r>
      <w:r>
        <w:rPr>
          <w:rFonts w:ascii="Times New Roman" w:cs="Times New Roman" w:eastAsia="Times New Roman" w:hAnsi="Times New Roman"/>
          <w:sz w:val="17"/>
          <w:szCs w:val="17"/>
          <w:color w:val="auto"/>
        </w:rPr>
        <w:t>. Maze and its Affiliates have conducted all Research, Development, Manufacture and other Exploitation of the Licensed Compounds and Licensed Products in accordance with all Applicable Law, including, to the extent applicable, FCPA, privacy laws, GCP, GLP and GMP, and otherwise in accordance with good scientific, clinical and manufacturing practices and applicable industry ethical codes. All uses of biological samples in the preclinical and clinical Research and Development of the Licensed Compounds and Licensed Products have been consistent with and permitted by the terms of the informed consent given by the donors of such biological samples.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69" w:right="459" w:bottom="1440" w:gutter="0" w:footer="0" w:header="0"/>
        </w:sectPr>
      </w:pPr>
    </w:p>
    <w:bookmarkStart w:id="601" w:name="page602"/>
    <w:bookmarkEnd w:id="601"/>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10.2.11 </w:t>
      </w:r>
      <w:r>
        <w:rPr>
          <w:rFonts w:ascii="Times New Roman" w:cs="Times New Roman" w:eastAsia="Times New Roman" w:hAnsi="Times New Roman"/>
          <w:sz w:val="18"/>
          <w:szCs w:val="18"/>
          <w:u w:val="single" w:color="auto"/>
          <w:color w:val="auto"/>
        </w:rPr>
        <w:t>Compliance with Global Trade Laws</w:t>
      </w:r>
      <w:r>
        <w:rPr>
          <w:rFonts w:ascii="Times New Roman" w:cs="Times New Roman" w:eastAsia="Times New Roman" w:hAnsi="Times New Roman"/>
          <w:sz w:val="18"/>
          <w:szCs w:val="18"/>
          <w:color w:val="auto"/>
        </w:rPr>
        <w:t>. Maze and its Affiliates, and all Third Party contractors engaged by Maze and its Affiliates in connection with its or their Research, Development and/or Manufacturing relating to the Licensed Compound or Licensed Product, have at all times been in compliance with all applicable Global Trade Control Laws.</w:t>
      </w:r>
    </w:p>
    <w:p>
      <w:pPr>
        <w:spacing w:after="0" w:line="176" w:lineRule="exact"/>
        <w:rPr>
          <w:sz w:val="20"/>
          <w:szCs w:val="20"/>
          <w:color w:val="auto"/>
        </w:rPr>
      </w:pPr>
    </w:p>
    <w:p>
      <w:pPr>
        <w:ind w:right="3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Covenants</w:t>
      </w:r>
      <w:r>
        <w:rPr>
          <w:rFonts w:ascii="Times New Roman" w:cs="Times New Roman" w:eastAsia="Times New Roman" w:hAnsi="Times New Roman"/>
          <w:sz w:val="17"/>
          <w:szCs w:val="17"/>
          <w:color w:val="auto"/>
        </w:rPr>
        <w:t>. Maze hereby covenants to Company during the Term and, except to the extent resulting from a breach by Maze of the representations made by Maze in Section 10.2 (Representations and Warranties of Maze), Company hereby covenants to Maze that during the Term:</w:t>
      </w:r>
    </w:p>
    <w:p>
      <w:pPr>
        <w:spacing w:after="0" w:line="32"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10.3.1 </w:t>
      </w:r>
      <w:r>
        <w:rPr>
          <w:rFonts w:ascii="Times New Roman" w:cs="Times New Roman" w:eastAsia="Times New Roman" w:hAnsi="Times New Roman"/>
          <w:sz w:val="17"/>
          <w:szCs w:val="17"/>
          <w:u w:val="single" w:color="auto"/>
          <w:color w:val="auto"/>
        </w:rPr>
        <w:t>Compliance with Applicable Law</w:t>
      </w:r>
      <w:r>
        <w:rPr>
          <w:rFonts w:ascii="Times New Roman" w:cs="Times New Roman" w:eastAsia="Times New Roman" w:hAnsi="Times New Roman"/>
          <w:sz w:val="17"/>
          <w:szCs w:val="17"/>
          <w:color w:val="auto"/>
        </w:rPr>
        <w:t>. Such Party and its Affiliates will perform its activities pursuant to this Agreement in compliance (and will ensure compliance by any of its Sublicensees or subcontractors) with all Applicable Law, including, to the extent applicable, FCPA, privacy laws, GCP, GLP and GMP, and otherwise in accordance with good scientific, clinical and manufacturing practices and applicable industry ethical codes.</w:t>
      </w:r>
    </w:p>
    <w:p>
      <w:pPr>
        <w:spacing w:after="0" w:line="50"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10.3.2 </w:t>
      </w:r>
      <w:r>
        <w:rPr>
          <w:rFonts w:ascii="Times New Roman" w:cs="Times New Roman" w:eastAsia="Times New Roman" w:hAnsi="Times New Roman"/>
          <w:sz w:val="18"/>
          <w:szCs w:val="18"/>
          <w:u w:val="single" w:color="auto"/>
          <w:color w:val="auto"/>
        </w:rPr>
        <w:t>No Debarment</w:t>
      </w:r>
      <w:r>
        <w:rPr>
          <w:rFonts w:ascii="Times New Roman" w:cs="Times New Roman" w:eastAsia="Times New Roman" w:hAnsi="Times New Roman"/>
          <w:sz w:val="18"/>
          <w:szCs w:val="18"/>
          <w:color w:val="auto"/>
        </w:rPr>
        <w:t>. Such Party and its Affiliates will not employ, or otherwise use in any capacity, the services of any Person suspended, proposed for debarment or debarred under United States law, including under 21 U.S.C. § 335a, or any foreign equivalent thereof, with respect to the performance of activities hereunder.</w:t>
      </w:r>
    </w:p>
    <w:p>
      <w:pPr>
        <w:spacing w:after="0" w:line="68"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10.3.3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Such Party will not enter into any agreement, contract, commitment or other arrangement, or otherwise take any action or fail to take any action, that could reasonably be expected to conflict with the rights granted to the other Party hereunder or otherwise prevent the other Party from exercising the rights granted to it hereunder.</w:t>
      </w:r>
    </w:p>
    <w:p>
      <w:pPr>
        <w:spacing w:after="0" w:line="68"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10.3.4 </w:t>
      </w:r>
      <w:r>
        <w:rPr>
          <w:rFonts w:ascii="Times New Roman" w:cs="Times New Roman" w:eastAsia="Times New Roman" w:hAnsi="Times New Roman"/>
          <w:sz w:val="18"/>
          <w:szCs w:val="18"/>
          <w:u w:val="single" w:color="auto"/>
          <w:color w:val="auto"/>
        </w:rPr>
        <w:t>No Misappropriation</w:t>
      </w:r>
      <w:r>
        <w:rPr>
          <w:rFonts w:ascii="Times New Roman" w:cs="Times New Roman" w:eastAsia="Times New Roman" w:hAnsi="Times New Roman"/>
          <w:sz w:val="18"/>
          <w:szCs w:val="18"/>
          <w:color w:val="auto"/>
        </w:rPr>
        <w:t>. Such Party will not misappropriate any trade secret of a Third Party in connection with the performance of its activities hereunder.</w:t>
      </w:r>
    </w:p>
    <w:p>
      <w:pPr>
        <w:spacing w:after="0" w:line="54"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10.3.5 </w:t>
      </w:r>
      <w:r>
        <w:rPr>
          <w:rFonts w:ascii="Times New Roman" w:cs="Times New Roman" w:eastAsia="Times New Roman" w:hAnsi="Times New Roman"/>
          <w:sz w:val="18"/>
          <w:szCs w:val="18"/>
          <w:u w:val="single" w:color="auto"/>
          <w:color w:val="auto"/>
        </w:rPr>
        <w:t>Government Authorization</w:t>
      </w:r>
      <w:r>
        <w:rPr>
          <w:rFonts w:ascii="Times New Roman" w:cs="Times New Roman" w:eastAsia="Times New Roman" w:hAnsi="Times New Roman"/>
          <w:sz w:val="18"/>
          <w:szCs w:val="18"/>
          <w:color w:val="auto"/>
        </w:rPr>
        <w:t>. Such Party will maintain all permits, licenses, registrations and other forms of authorizations and approvals from any Governmental Authority that are necessary or required to be obtained or maintained by such Party in order for such Party to execute and deliver this Agreement and to perform its obligations hereunder in a manner which complies with all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FCPA Matters</w:t>
      </w:r>
      <w:r>
        <w:rPr>
          <w:rFonts w:ascii="Times New Roman" w:cs="Times New Roman" w:eastAsia="Times New Roman" w:hAnsi="Times New Roman"/>
          <w:sz w:val="18"/>
          <w:szCs w:val="18"/>
          <w:color w:val="auto"/>
        </w:rPr>
        <w:t>. Each Party hereby covenants to the other Party that during the Term:</w:t>
      </w:r>
    </w:p>
    <w:p>
      <w:pPr>
        <w:spacing w:after="0" w:line="11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10.4.1 it is familiar with the provisions and restrictions contained in the OECD Convention and FCPA and it has adopted and maintains an FCPA policy; and</w:t>
      </w:r>
    </w:p>
    <w:p>
      <w:pPr>
        <w:spacing w:after="0" w:line="54"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10.4.2 its and its Affiliates’ employees will not, and it will use reasonable efforts to cause its contractors to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improperly obtaining or retaining business for or with, or directing business to, any Person, including either Party (it being understood that such Party, and to its knowledge, its and its Affiliates’ employees and contractors, has not directly or indirectly promised, offered or provided any corrupt payment, gratuity, emolument, bribe, kickback, illicit gift or hospitality or other illegal or unethical benefit to a Public Official or Entity or any other person in connection with the performance of such Party’s obligations under this Agreement, and will not, directly or indirectly, engage in any of the foregoing).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69" w:right="479" w:bottom="1440" w:gutter="0" w:footer="0" w:header="0"/>
        </w:sectPr>
      </w:pPr>
    </w:p>
    <w:bookmarkStart w:id="602" w:name="page603"/>
    <w:bookmarkEnd w:id="602"/>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10.5 </w:t>
      </w:r>
      <w:r>
        <w:rPr>
          <w:rFonts w:ascii="Times New Roman" w:cs="Times New Roman" w:eastAsia="Times New Roman" w:hAnsi="Times New Roman"/>
          <w:sz w:val="18"/>
          <w:szCs w:val="18"/>
          <w:u w:val="single" w:color="auto"/>
          <w:color w:val="auto"/>
        </w:rPr>
        <w:t>Disclaimer</w:t>
      </w:r>
      <w:r>
        <w:rPr>
          <w:rFonts w:ascii="Times New Roman" w:cs="Times New Roman" w:eastAsia="Times New Roman" w:hAnsi="Times New Roman"/>
          <w:sz w:val="18"/>
          <w:szCs w:val="18"/>
          <w:color w:val="auto"/>
        </w:rPr>
        <w:t>. EXCEPT AS OTHERWISE EXPRESSLY PROVIDED IN THIS AGREEMENT, NEITHER PARTY MAKES ANY REPRESENTATIONS OR EXTENDS ANY WARRANTY OF ANY KIND, EITHER EXPRESS OR IMPLIED (AND EACH PARTY HEREBY EXPRESSLY DISCLAIMS ANY AND ALL REPRESENTATIONS AND WARRANTIES NOT EXPRESSLY PROVIDED IN THIS AGREEMENT), INCLUDING WITH RESPECT TO ANY PATENTS OR KNOW-HOW, INCLUDING WARRANTIES OF VALIDITY OR ENFORCEABILITY, MERCHANTABILITY, FITNESS FOR A PARTICULAR USE OR PURPOSE, PERFORMANCE AND NON-INFRINGEMENT OF ANY THIRD PARTY PATENT OR OTHER INTELLECTUAL PROPERTY RIGHT.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INDEMNIFICATION; INSURANCE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Indemnification by Company</w:t>
      </w:r>
      <w:r>
        <w:rPr>
          <w:rFonts w:ascii="Times New Roman" w:cs="Times New Roman" w:eastAsia="Times New Roman" w:hAnsi="Times New Roman"/>
          <w:sz w:val="18"/>
          <w:szCs w:val="18"/>
          <w:color w:val="auto"/>
        </w:rPr>
        <w:t>. Company will indemnify, defend and hold harmless Maze, its Affiliates and its and their respective directors, officers, employees, agents, successors and assigns (each, a “</w:t>
      </w:r>
      <w:r>
        <w:rPr>
          <w:rFonts w:ascii="Times New Roman" w:cs="Times New Roman" w:eastAsia="Times New Roman" w:hAnsi="Times New Roman"/>
          <w:sz w:val="18"/>
          <w:szCs w:val="18"/>
          <w:b w:val="1"/>
          <w:bCs w:val="1"/>
          <w:color w:val="auto"/>
        </w:rPr>
        <w:t>Maze Indemnitee</w:t>
      </w:r>
      <w:r>
        <w:rPr>
          <w:rFonts w:ascii="Times New Roman" w:cs="Times New Roman" w:eastAsia="Times New Roman" w:hAnsi="Times New Roman"/>
          <w:sz w:val="18"/>
          <w:szCs w:val="18"/>
          <w:color w:val="auto"/>
        </w:rPr>
        <w:t>”) from and against any and all Damages to the extent arising out of or relating to, directly or indirectly, any Third Party Claim based upon:</w:t>
      </w:r>
    </w:p>
    <w:p>
      <w:pPr>
        <w:spacing w:after="0" w:line="68" w:lineRule="exact"/>
        <w:rPr>
          <w:sz w:val="20"/>
          <w:szCs w:val="20"/>
          <w:color w:val="auto"/>
        </w:rPr>
      </w:pPr>
    </w:p>
    <w:p>
      <w:pPr>
        <w:ind w:right="80" w:firstLine="1428"/>
        <w:spacing w:after="0" w:line="282" w:lineRule="auto"/>
        <w:tabs>
          <w:tab w:leader="none" w:pos="1677"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Manufacture, Commercialization or other Exploitation of Licensed Products in the Field in the Territory by or on behalf of Company, its Affiliates or its Sublicensees;</w:t>
      </w:r>
    </w:p>
    <w:p>
      <w:pPr>
        <w:spacing w:after="0" w:line="53" w:lineRule="exact"/>
        <w:rPr>
          <w:rFonts w:ascii="Times New Roman" w:cs="Times New Roman" w:eastAsia="Times New Roman" w:hAnsi="Times New Roman"/>
          <w:sz w:val="18"/>
          <w:szCs w:val="18"/>
          <w:color w:val="auto"/>
        </w:rPr>
      </w:pPr>
    </w:p>
    <w:p>
      <w:pPr>
        <w:ind w:right="80" w:firstLine="1428"/>
        <w:spacing w:after="0" w:line="282" w:lineRule="auto"/>
        <w:tabs>
          <w:tab w:leader="none" w:pos="1687"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negligence, recklessness or willful misconduct of Company or its Affiliates or its or their respective directors, officers, employees or agents, in connection with Company’s performance of its obligations under this Agreement;</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Company of any of its representations, warranties, covenants, agreements or obligations under this Agreement; or</w:t>
      </w:r>
    </w:p>
    <w:p>
      <w:pPr>
        <w:spacing w:after="0" w:line="117"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Applicable Law by Company, its Affiliates, Sublicensees or subcontractors in connection with the performance of its obligations or exercise of its rights under this Agreement;</w:t>
      </w:r>
    </w:p>
    <w:p>
      <w:pPr>
        <w:spacing w:after="0" w:line="160"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each case ((a)-(d)), such indemnity will not apply to the extent Maze has an indemnification obligation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11.1.2 (Indemnification by Maze) for such Damages.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69" w:right="479" w:bottom="1440" w:gutter="0" w:footer="0" w:header="0"/>
        </w:sectPr>
      </w:pPr>
    </w:p>
    <w:bookmarkStart w:id="603" w:name="page604"/>
    <w:bookmarkEnd w:id="603"/>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11.1.2 </w:t>
      </w:r>
      <w:r>
        <w:rPr>
          <w:rFonts w:ascii="Times New Roman" w:cs="Times New Roman" w:eastAsia="Times New Roman" w:hAnsi="Times New Roman"/>
          <w:sz w:val="18"/>
          <w:szCs w:val="18"/>
          <w:u w:val="single" w:color="auto"/>
          <w:color w:val="auto"/>
        </w:rPr>
        <w:t>Indemnification by Maze</w:t>
      </w:r>
      <w:r>
        <w:rPr>
          <w:rFonts w:ascii="Times New Roman" w:cs="Times New Roman" w:eastAsia="Times New Roman" w:hAnsi="Times New Roman"/>
          <w:sz w:val="18"/>
          <w:szCs w:val="18"/>
          <w:color w:val="auto"/>
        </w:rPr>
        <w:t>. Maze will indemnify, defend and hold harmless Company, its Affiliates and its and their respective directors, officers, employees, agents, successors, assigns and Sublicensees (each, a “</w:t>
      </w:r>
      <w:r>
        <w:rPr>
          <w:rFonts w:ascii="Times New Roman" w:cs="Times New Roman" w:eastAsia="Times New Roman" w:hAnsi="Times New Roman"/>
          <w:sz w:val="18"/>
          <w:szCs w:val="18"/>
          <w:b w:val="1"/>
          <w:bCs w:val="1"/>
          <w:color w:val="auto"/>
        </w:rPr>
        <w:t>Company Indemnitee</w:t>
      </w:r>
      <w:r>
        <w:rPr>
          <w:rFonts w:ascii="Times New Roman" w:cs="Times New Roman" w:eastAsia="Times New Roman" w:hAnsi="Times New Roman"/>
          <w:sz w:val="18"/>
          <w:szCs w:val="18"/>
          <w:color w:val="auto"/>
        </w:rPr>
        <w:t>”), from and against any and all Damages to the extent arising out of or relating to, directly or indirectly, any Third Party Claim based upon:</w:t>
      </w:r>
    </w:p>
    <w:p>
      <w:pPr>
        <w:spacing w:after="0" w:line="68" w:lineRule="exact"/>
        <w:rPr>
          <w:sz w:val="20"/>
          <w:szCs w:val="20"/>
          <w:color w:val="auto"/>
        </w:rPr>
      </w:pPr>
    </w:p>
    <w:p>
      <w:pPr>
        <w:ind w:right="380" w:firstLine="1428"/>
        <w:spacing w:after="0" w:line="282" w:lineRule="auto"/>
        <w:tabs>
          <w:tab w:leader="none" w:pos="1677"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negligence, recklessness or willful misconduct of Maze or its Affiliates or its or their respective directors, officers, employees or agents, in connection with Maze’s performance of its obligations under this Agreement;</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Maze of any of its representations, warranties, covenants, agreements or obligations under this Agreement; or</w:t>
      </w:r>
    </w:p>
    <w:p>
      <w:pPr>
        <w:spacing w:after="0" w:line="117" w:lineRule="exact"/>
        <w:rPr>
          <w:rFonts w:ascii="Times New Roman" w:cs="Times New Roman" w:eastAsia="Times New Roman" w:hAnsi="Times New Roman"/>
          <w:sz w:val="18"/>
          <w:szCs w:val="18"/>
          <w:color w:val="auto"/>
        </w:rPr>
      </w:pPr>
    </w:p>
    <w:p>
      <w:pPr>
        <w:ind w:right="320" w:firstLine="1428"/>
        <w:spacing w:after="0" w:line="282" w:lineRule="auto"/>
        <w:tabs>
          <w:tab w:leader="none" w:pos="1677"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Applicable Law by Maze, its Affiliates or (sub)licensees in connection with the performance of its obligations or exercise of its rights under this Agreement;</w:t>
      </w:r>
    </w:p>
    <w:p>
      <w:pPr>
        <w:spacing w:after="0" w:line="160"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each case ((a)-(c)), such indemnity will not apply to the extent Company has an indemnification obligation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11.1.1 (Indemnification by Company) for such Damages.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11.2.1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If a Maze Indemnitee or Company Indemnitee is seeking indemnification under Section 11.1.1 (Indemnification by Company) or Section 11.1.2 (Indemnification by Maze), as applicable (the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it will inform the other Party (the “</w:t>
      </w:r>
      <w:r>
        <w:rPr>
          <w:rFonts w:ascii="Times New Roman" w:cs="Times New Roman" w:eastAsia="Times New Roman" w:hAnsi="Times New Roman"/>
          <w:sz w:val="18"/>
          <w:szCs w:val="18"/>
          <w:b w:val="1"/>
          <w:bCs w:val="1"/>
          <w:color w:val="auto"/>
        </w:rPr>
        <w:t>Indemnitor</w:t>
      </w:r>
      <w:r>
        <w:rPr>
          <w:rFonts w:ascii="Times New Roman" w:cs="Times New Roman" w:eastAsia="Times New Roman" w:hAnsi="Times New Roman"/>
          <w:sz w:val="18"/>
          <w:szCs w:val="18"/>
          <w:color w:val="auto"/>
        </w:rPr>
        <w:t>”) of the claim giving rise to the obligation to indemnify pursuant to Section 11.1.1 (Indemnification by Company) or Section 11.1.2 (Indemnification by Maze), as applicable, as soon as reasonably practicable after receiving notice of the claim (an “</w:t>
      </w:r>
      <w:r>
        <w:rPr>
          <w:rFonts w:ascii="Times New Roman" w:cs="Times New Roman" w:eastAsia="Times New Roman" w:hAnsi="Times New Roman"/>
          <w:sz w:val="18"/>
          <w:szCs w:val="18"/>
          <w:b w:val="1"/>
          <w:bCs w:val="1"/>
          <w:color w:val="auto"/>
        </w:rPr>
        <w:t>Indemnification Claim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delay or failure to provide such notice will not constitute a waiver or release of, or otherwise limit, the Indemnitee’s rights to indemnification under</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Section 11.1.1 (Indemnification by Company) or Section 11.1.2 (Indemnification by Maze), as applicable, except to the extent that such delay or failure materially prejudices the Indemnitor’s ability to defend against the relevant claims.</w:t>
      </w:r>
    </w:p>
    <w:p>
      <w:pPr>
        <w:spacing w:after="0" w:line="69"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 xml:space="preserve">11.2.2 </w:t>
      </w:r>
      <w:r>
        <w:rPr>
          <w:rFonts w:ascii="Times New Roman" w:cs="Times New Roman" w:eastAsia="Times New Roman" w:hAnsi="Times New Roman"/>
          <w:sz w:val="18"/>
          <w:szCs w:val="18"/>
          <w:u w:val="single" w:color="auto"/>
          <w:color w:val="auto"/>
        </w:rPr>
        <w:t>Control of Defense</w:t>
      </w:r>
      <w:r>
        <w:rPr>
          <w:rFonts w:ascii="Times New Roman" w:cs="Times New Roman" w:eastAsia="Times New Roman" w:hAnsi="Times New Roman"/>
          <w:sz w:val="18"/>
          <w:szCs w:val="18"/>
          <w:color w:val="auto"/>
        </w:rPr>
        <w:t xml:space="preserve">. The Indemnitor will have the right, upon written notice given to the Indemnitee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receipt of the Indemnification Claim Notice, to assume the defense of any such claim for which the Indemnitee is seeking indemnification pursuant to Section 11.1.1 (Indemnification by Company) or Section 11.1.2 (Indemnification by Maze), as applicable. The Indemnitee will cooperate with the Indemnitor and the Indemnitor’s insurer as the Indemnitor may reasonably request, and at the Indemnitor’s cost and expense. The Indemnitee will have the right to participate, at its own expense and with counsel of its choice, in the defense of any claim or suit that has been assumed by the Indemnitor.</w:t>
      </w:r>
    </w:p>
    <w:p>
      <w:pPr>
        <w:spacing w:after="0" w:line="7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11.2.3 </w:t>
      </w:r>
      <w:r>
        <w:rPr>
          <w:rFonts w:ascii="Times New Roman" w:cs="Times New Roman" w:eastAsia="Times New Roman" w:hAnsi="Times New Roman"/>
          <w:sz w:val="18"/>
          <w:szCs w:val="18"/>
          <w:u w:val="single" w:color="auto"/>
          <w:color w:val="auto"/>
        </w:rPr>
        <w:t>Settlements; No Presumption of Liability</w:t>
      </w:r>
      <w:r>
        <w:rPr>
          <w:rFonts w:ascii="Times New Roman" w:cs="Times New Roman" w:eastAsia="Times New Roman" w:hAnsi="Times New Roman"/>
          <w:sz w:val="18"/>
          <w:szCs w:val="18"/>
          <w:color w:val="auto"/>
        </w:rPr>
        <w:t>. The Indemnitor will not settle any claim without first obtaining the prior written consent of the Indemnitee, not to be unreasonably withheld, conditioned or delayed. The assumption of the defense of a claim by the Indemnitor will not be construed as an acknowledgment that the Indemnitor is liable to indemnify the Indemnitee in respect of the claim, nor will it constitute a waiver by the Indemnitor of any defenses it may assert against the Indemnitee’s claim for indemnification. In the event that it is ultimately determined that the Indemnitor is not obligated to indemnify, defend or hold harmless the Indemnitee from and against the claim, the Indemnitee will reimburse the Indemnitor for any and all costs and expenses (including attorneys’ fees and costs of suit) and any Damages incurred by the Indemnitor in its defense of the claim.</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69" w:right="479" w:bottom="1440" w:gutter="0" w:footer="0" w:header="0"/>
        </w:sectPr>
      </w:pPr>
    </w:p>
    <w:bookmarkStart w:id="604" w:name="page605"/>
    <w:bookmarkEnd w:id="604"/>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11.2.4 </w:t>
      </w:r>
      <w:r>
        <w:rPr>
          <w:rFonts w:ascii="Times New Roman" w:cs="Times New Roman" w:eastAsia="Times New Roman" w:hAnsi="Times New Roman"/>
          <w:sz w:val="18"/>
          <w:szCs w:val="18"/>
          <w:u w:val="single" w:color="auto"/>
          <w:color w:val="auto"/>
        </w:rPr>
        <w:t>Separate Defenses; Cooperation</w:t>
      </w:r>
      <w:r>
        <w:rPr>
          <w:rFonts w:ascii="Times New Roman" w:cs="Times New Roman" w:eastAsia="Times New Roman" w:hAnsi="Times New Roman"/>
          <w:sz w:val="18"/>
          <w:szCs w:val="18"/>
          <w:color w:val="auto"/>
        </w:rPr>
        <w:t>. If the Parties cannot agree as to the application of Section 11.1.1 (Indemnification by Company) or Section 11.1.2 (Indemnification by Maze), as applicable, to any claim, pending the resolution of the Dispute pursuant to Section 14.6 (Choice of Law; Dispute Resolution), then the Parties may conduct separate defenses of such claims, with each Party retaining the right to claim indemnification from the other Party in accordance with Section 11.1.1 (Indemnification by Company) or Section 11.1.2 (Indemnification by Maze), as applicable, upon resolution of the underlying claim. In each case, the Indemnitee will reasonably cooperate with the Indemnitor and will make available to the Indemnitor all pertinent information under the control of the Indemnitee, which information will be subject to Article 9 (Confidentiality).</w:t>
      </w:r>
    </w:p>
    <w:p>
      <w:pPr>
        <w:spacing w:after="0" w:line="187"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Party shall maintain insurance coverages (including in the case of Company product liability insurance), in such amount as reasonably reflect such Party’s obligations and liabilities under this Agreement, with a Third Party insurance company with a current AM Best rating of A- or equivalent or higher, or through a program of self-insurance where a Party has annual worldwide revenue sufficient to support adequate retention for such coverage.</w:t>
      </w:r>
    </w:p>
    <w:p>
      <w:pPr>
        <w:spacing w:after="0" w:line="180"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NEITHER MAZE NOR COMPANY, NOR ANY OF THEIR RESPECTIVE AFFILIATES, WILL BE LIABLE TO THE OTHER PARTY OR ITS AFFILIATES UNDER OR IN CONNECTION WITH THIS AGREEMENT FOR ANY INDIRECT, INCIDENTAL, CONSEQUENTIAL, SPECIAL, PUNITIVE OR EXEMPLARY DAMAGES (INCLUDING LOST PROFITS OR LOST REVENUES), WHETHER LIABILITY IS ASSERTED IN CONTRACT, TORT (INCLUDING NEGLIGENCE AND STRICT PRODUCT LIABILITY), INDEMNITY, CONTRIBUTION OR OTHERWISE, AND IRRESPECTIVE OF WHETHER THAT PARTY OR ANY REPRESENTATIVE OF THAT PARTY HAS BEEN ADVISED OF, OR OTHERWISE MIGHT HAVE ANTICIPATED THE POSSIBILITY OF, ANY SUCH LOSS OR DAMAGE. NOTWITHSTANDING THE FOREGOING, NOTHING IN THIS SECTION 11.4 (LIMITATION OF LIABILITY) IS INTENDED TO OR WILL LIMIT OR RESTRICT: (A) THE INDEMNIFICATION RIGHTS OR OBLIGATIONS OF ANY PARTY UNDER SECTION 11.1.1 (INDEMNIFICATION BY COMPANY) OR SECTION 11.1.2 (INDEMNIFICATION BY MAZE), AS APPLICABLE, IN CONNECTION WITH ANY THIRD PARTY CLAIMS; (B) DAMAGES AVAILABLE FOR A PARTY’S INTENTIONAL MISCONDUCT OR FRAUD; OR (C) LIABILITY OF EITHER PARTY FOR BREACH OF ARTICLE 9 (CONFIDENTIALITY).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3"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Term; Expiration</w:t>
      </w:r>
      <w:r>
        <w:rPr>
          <w:rFonts w:ascii="Times New Roman" w:cs="Times New Roman" w:eastAsia="Times New Roman" w:hAnsi="Times New Roman"/>
          <w:sz w:val="18"/>
          <w:szCs w:val="18"/>
          <w:color w:val="auto"/>
        </w:rPr>
        <w:t>. The term of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will commence on the Effective Date and (subject to earlier termination in accordance with this Article 12 (Term and Termination)) will expire, on a Licensed Product-by-Licensed Product and country-by-country basis, on the expiration of the Royalty Term for such Licensed Product in such country and will finally expire in its entirety upon the expiration of the last Royalty Term for the last Licensed Product in the Territory.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69" w:right="459" w:bottom="1440" w:gutter="0" w:footer="0" w:header="0"/>
        </w:sectPr>
      </w:pPr>
    </w:p>
    <w:bookmarkStart w:id="605" w:name="page606"/>
    <w:bookmarkEnd w:id="60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12.2 </w:t>
      </w:r>
      <w:r>
        <w:rPr>
          <w:rFonts w:ascii="Times New Roman" w:cs="Times New Roman" w:eastAsia="Times New Roman" w:hAnsi="Times New Roman"/>
          <w:sz w:val="18"/>
          <w:szCs w:val="18"/>
          <w:u w:val="single" w:color="auto"/>
          <w:color w:val="auto"/>
        </w:rPr>
        <w:t>Termination for Material Breach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12.2.1 </w:t>
      </w:r>
      <w:r>
        <w:rPr>
          <w:rFonts w:ascii="Times New Roman" w:cs="Times New Roman" w:eastAsia="Times New Roman" w:hAnsi="Times New Roman"/>
          <w:sz w:val="18"/>
          <w:szCs w:val="18"/>
          <w:u w:val="single" w:color="auto"/>
          <w:color w:val="auto"/>
        </w:rPr>
        <w:t>Termination Right</w:t>
      </w:r>
      <w:r>
        <w:rPr>
          <w:rFonts w:ascii="Times New Roman" w:cs="Times New Roman" w:eastAsia="Times New Roman" w:hAnsi="Times New Roman"/>
          <w:sz w:val="18"/>
          <w:szCs w:val="18"/>
          <w:color w:val="auto"/>
        </w:rPr>
        <w:t xml:space="preserve">. This Agreement may be terminated by a Party upon written notice to the allegedly breaching Party if the allegedly breaching Party has not cured such material breach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date of written notice to the allegedly breaching Party of such breach (which notice will describe such material breach in reasonable detail)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the “</w:t>
      </w:r>
      <w:r>
        <w:rPr>
          <w:rFonts w:ascii="Times New Roman" w:cs="Times New Roman" w:eastAsia="Times New Roman" w:hAnsi="Times New Roman"/>
          <w:sz w:val="18"/>
          <w:szCs w:val="18"/>
          <w:b w:val="1"/>
          <w:bCs w:val="1"/>
          <w:color w:val="auto"/>
        </w:rPr>
        <w:t>Cure Period</w:t>
      </w:r>
      <w:r>
        <w:rPr>
          <w:rFonts w:ascii="Times New Roman" w:cs="Times New Roman" w:eastAsia="Times New Roman" w:hAnsi="Times New Roman"/>
          <w:sz w:val="18"/>
          <w:szCs w:val="18"/>
          <w:color w:val="auto"/>
        </w:rPr>
        <w:t xml:space="preserve">”). In the event that a material breach is curable but the allegedly breaching Party demonstrates that it cannot be reasonably cured within the Cure Period despite its diligent efforts to cure within such period, then the allegedly breaching Party will be allowed to continue to cure such material breach using diligent efforts for another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a longer period mutually agreed upon by the Parties.</w:t>
      </w:r>
    </w:p>
    <w:p>
      <w:pPr>
        <w:spacing w:after="0" w:line="79" w:lineRule="exact"/>
        <w:rPr>
          <w:sz w:val="20"/>
          <w:szCs w:val="20"/>
          <w:color w:val="auto"/>
        </w:rPr>
      </w:pPr>
    </w:p>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12.2.2 </w:t>
      </w:r>
      <w:r>
        <w:rPr>
          <w:rFonts w:ascii="Times New Roman" w:cs="Times New Roman" w:eastAsia="Times New Roman" w:hAnsi="Times New Roman"/>
          <w:sz w:val="18"/>
          <w:szCs w:val="18"/>
          <w:u w:val="single" w:color="auto"/>
          <w:color w:val="auto"/>
        </w:rPr>
        <w:t>Disagreement as to Material Breach</w:t>
      </w:r>
      <w:r>
        <w:rPr>
          <w:rFonts w:ascii="Times New Roman" w:cs="Times New Roman" w:eastAsia="Times New Roman" w:hAnsi="Times New Roman"/>
          <w:sz w:val="18"/>
          <w:szCs w:val="18"/>
          <w:color w:val="auto"/>
        </w:rPr>
        <w:t xml:space="preserve">. Notwithstanding Section 12.2.1 (Termination Right), if the Parties in good faith disagree as to whether there has been a material breach of this Agreement, then: (a) the Party that disputes whether there has been a material breach may contest the allegation by referring such matter,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its receipt of notice of the alleged material breach, for resolution in accordance with Section 14.6 (Choice of Law; Dispute Resolution); (b) the relevant Cure Period with respect to such alleged material breach will be tolled from the date on which the Party that disputes whether there has been a material breach notifies the other Party of such Dispute through the resolution of such Dispute in accordance with the applicable provisions of this Agreement; and (c) subject to Section 12.5.7 (Survival) and Section 14.3 (Force Majeure), during the pendency of such Dispute, all of the terms and conditions of this Agreement will remain in effect and the Parties will continue to perform all of their respective obligations hereunder.</w:t>
      </w:r>
    </w:p>
    <w:p>
      <w:pPr>
        <w:spacing w:after="0" w:line="188"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Termination at Will</w:t>
      </w:r>
      <w:r>
        <w:rPr>
          <w:rFonts w:ascii="Times New Roman" w:cs="Times New Roman" w:eastAsia="Times New Roman" w:hAnsi="Times New Roman"/>
          <w:sz w:val="18"/>
          <w:szCs w:val="18"/>
          <w:color w:val="auto"/>
        </w:rPr>
        <w:t xml:space="preserve">. Company may terminate this Agreement at will, in its sole discretion, in its entirety upon delivery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written notice to Maze.</w:t>
      </w:r>
    </w:p>
    <w:p>
      <w:pPr>
        <w:spacing w:after="0" w:line="15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Termination for Bankruptcy</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12.4.1 </w:t>
      </w:r>
      <w:r>
        <w:rPr>
          <w:rFonts w:ascii="Times New Roman" w:cs="Times New Roman" w:eastAsia="Times New Roman" w:hAnsi="Times New Roman"/>
          <w:sz w:val="18"/>
          <w:szCs w:val="18"/>
          <w:u w:val="single" w:color="auto"/>
          <w:color w:val="auto"/>
        </w:rPr>
        <w:t>Termination Right</w:t>
      </w:r>
      <w:r>
        <w:rPr>
          <w:rFonts w:ascii="Times New Roman" w:cs="Times New Roman" w:eastAsia="Times New Roman" w:hAnsi="Times New Roman"/>
          <w:sz w:val="18"/>
          <w:szCs w:val="18"/>
          <w:color w:val="auto"/>
        </w:rPr>
        <w:t>. In the event that either Party: (a) files for protection under the United States Bankruptcy Code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xml:space="preserve">”) or any similar bankruptcy or insolvency law, foreign or domestic; (b) makes an assignment for the benefit of, or an arrangement or composition generally with, its creditors; (c) appoints an examiner of or a receiver or trustee over all or substantially all of its property or suffers the appointment of such party that is not discharged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such filing or appointment; (d) proposes a written agreement of composition or extension of its debts;</w:t>
      </w:r>
    </w:p>
    <w:p>
      <w:pPr>
        <w:spacing w:after="0" w:line="3" w:lineRule="exact"/>
        <w:rPr>
          <w:sz w:val="20"/>
          <w:szCs w:val="20"/>
          <w:color w:val="auto"/>
        </w:rPr>
      </w:pPr>
    </w:p>
    <w:p>
      <w:pPr>
        <w:ind w:left="4" w:right="40" w:hanging="4"/>
        <w:spacing w:after="0" w:line="253" w:lineRule="auto"/>
        <w:tabs>
          <w:tab w:leader="none" w:pos="249"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proposes or is a party to any dissolution, liquidation or winding up; (f) has a petition filed against it under the Code or any similar bankruptcy or insolvency law that is not discharged or dismissed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filing thereof; or (g) admits in writing its inability generally to meet its obligations as they fall due in the ordinary course, then the other Party may terminate this Agreement in its entirety effective immediately upon written notice to such Party.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4"/>
          </w:cols>
          <w:pgMar w:left="436" w:top="269" w:right="439" w:bottom="1440" w:gutter="0" w:footer="0" w:header="0"/>
        </w:sectPr>
      </w:pPr>
    </w:p>
    <w:bookmarkStart w:id="606" w:name="page607"/>
    <w:bookmarkEnd w:id="606"/>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12.4.2 </w:t>
      </w:r>
      <w:r>
        <w:rPr>
          <w:rFonts w:ascii="Times New Roman" w:cs="Times New Roman" w:eastAsia="Times New Roman" w:hAnsi="Times New Roman"/>
          <w:sz w:val="18"/>
          <w:szCs w:val="18"/>
          <w:u w:val="single" w:color="auto"/>
          <w:color w:val="auto"/>
        </w:rPr>
        <w:t>Section 365(n) Rights</w:t>
      </w:r>
      <w:r>
        <w:rPr>
          <w:rFonts w:ascii="Times New Roman" w:cs="Times New Roman" w:eastAsia="Times New Roman" w:hAnsi="Times New Roman"/>
          <w:sz w:val="18"/>
          <w:szCs w:val="18"/>
          <w:color w:val="auto"/>
        </w:rPr>
        <w:t>. For purposes of Section 365(n) of the Code and any similar law, foreign or domestic, all rights and licenses granted under or pursuant to any Section of this Agreement are rights to “intellectual property” (as defined in Section 101(35A) of the Code). The Parties agree that the licensee of such rights under this Agreement will retain and may fully exercise all of its protections, rights and elections under the Code and any similar laws in any other country. Without limiting the generality of the foregoing, the Parties intend and agree that any sale of the licensor’s assets under Section 363 of the Code will be subject to the licensee’s rights under Section 365(n) of the Code, that the licensee cannot be compelled to accept a money satisfaction of its interests in the intellectual property licensed pursuant to this Agreement and that any such sale therefore may not be made to a purchaser “free and clear” of the licensee’s rights under this Agreement and Section 365(n) of the Code without the express, contemporaneous consent of the licensee. Further, each Party agrees and acknowledges that all payments by the licensee to the licensor hereunder, other than the royalty payments pursuant to Section 7.3 (Royalties) and Section 12.5.5(b) (Reversion Royalties), do not constitute royalties within the meaning of Section 365(n) of the Bankruptcy Code or relate to licenses of intellectual property hereunder. The licensor will, during the Term of this Agreement, create and maintain current copies or, if not amenable to copying, detailed descriptions or other appropriate embodiments, to the extent feasible, of all such intellectual property. Each Party hereby acknowledges and agrees that “embodiments” of intellectual property within the meaning of</w:t>
      </w:r>
    </w:p>
    <w:p>
      <w:pPr>
        <w:spacing w:after="0" w:line="2"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Section 365(n) of the Code include copies of research data, laboratory samples, product samples and inventory, formulas, laboratory notes and notebooks, pre-clinical research data and results, tangible Know-How and rights of access or reference, in each case, that relate to such intellectual property. If (a) a case under the Code is commenced by or against the licensor, (b) this Agreement is rejected as provided in the Code and (c) the licensee elects to retain its rights hereunder as provided in Section 365(n) of the Code, then the licensor (in any capacity, including debtor-in-possession) and its successors and assigns (including a trustee) will: (i) provide to the licensee all such intellectual property (including all embodiments thereof) held by the licensor and such successors and assigns, or otherwise available to them, immediately upon the licensee’s written request; and (ii) not interfere with the licensee’s rights under this Agreement, or any agreement supplemental hereto, to such intellectual property (including such embodiments), including any right to obtain such intellectual property (or such embodiments) from another entity, to the extent provided in Section 365(n) of the Code. Whenever the licensor or any of its successors or assigns provides to the licensee any of the intellectual property licensed hereunder (or any embodiment thereof) pursuant to this Section 12.4.2 (Section 365(n) Rights), the licensee will have the right to perform the licensor’s obligations hereunder with respect to such intellectual property, but neither such provision nor such performance by the licensee will release the licensor from liability resulting from rejection of the license or the failure to perform such obligations. The provisions of this Section 12.4.2 (Section 365(n) Rights) are without prejudice to any rights the licensee may have arising under the Code, the laws of other jurisdictions governing insolvency and bankruptcy or other Applicable Law. The Parties agree that they intend the rights, powers and remedies set forth in this Section 12.4.2 (Section 365(n) Rights), including:</w:t>
      </w:r>
    </w:p>
    <w:p>
      <w:pPr>
        <w:spacing w:after="0" w:line="2" w:lineRule="exact"/>
        <w:rPr>
          <w:sz w:val="20"/>
          <w:szCs w:val="20"/>
          <w:color w:val="auto"/>
        </w:rPr>
      </w:pPr>
    </w:p>
    <w:p>
      <w:pPr>
        <w:ind w:left="4" w:right="20" w:hanging="4"/>
        <w:spacing w:after="0" w:line="251" w:lineRule="auto"/>
        <w:tabs>
          <w:tab w:leader="none" w:pos="249"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licensee’s right of access to any intellectual property (including all embodiments thereof) of the licensor, or any Third Party with whom the licensor contracts to perform an obligation of such licensor under this Agreement which is necessary for the Research, Development, Manufacture, Commercialization or other Exploitation of a Licensed Product; (b) the right to contract directly with any Third Party described in clause (a) of this Section 12.4.2 (Section 365(n) Rights) to complete the contracted work; and (c) the right to cure any breach of or default under any such agreement with a Third Party and set off the costs thereof against amounts payable to the licensor under this Agreement, in each case ((a) through (c)): (i) to extend to the maximum extent permitted by Applicable Law, including for purposes of the Code and any similar laws in any other country; (ii) to be enforceable; and (iii) to be additional to and not in substitution for any and all other rights, powers and remedies now or hereafter existing at law or in equity (including pursuant to the Code and any similar laws in any other country).</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69" w:right="459" w:bottom="1440" w:gutter="0" w:footer="0" w:header="0"/>
        </w:sectPr>
      </w:pPr>
    </w:p>
    <w:bookmarkStart w:id="607" w:name="page608"/>
    <w:bookmarkEnd w:id="60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12.5 </w:t>
      </w:r>
      <w:r>
        <w:rPr>
          <w:rFonts w:ascii="Times New Roman" w:cs="Times New Roman" w:eastAsia="Times New Roman" w:hAnsi="Times New Roman"/>
          <w:sz w:val="18"/>
          <w:szCs w:val="18"/>
          <w:u w:val="single" w:color="auto"/>
          <w:color w:val="auto"/>
        </w:rPr>
        <w:t>Effects of Expiration and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12.5.1 </w:t>
      </w:r>
      <w:r>
        <w:rPr>
          <w:rFonts w:ascii="Times New Roman" w:cs="Times New Roman" w:eastAsia="Times New Roman" w:hAnsi="Times New Roman"/>
          <w:sz w:val="18"/>
          <w:szCs w:val="18"/>
          <w:u w:val="single" w:color="auto"/>
          <w:color w:val="auto"/>
        </w:rPr>
        <w:t>Effects of Expiration</w:t>
      </w:r>
      <w:r>
        <w:rPr>
          <w:rFonts w:ascii="Times New Roman" w:cs="Times New Roman" w:eastAsia="Times New Roman" w:hAnsi="Times New Roman"/>
          <w:sz w:val="18"/>
          <w:szCs w:val="18"/>
          <w:color w:val="auto"/>
        </w:rPr>
        <w:t>. Upon the expiration of the Royalty Term with respect to a Licensed Product in a country, the Company License for such Licensed Product as set forth in Section 2.1.1 (License to Company) will become fully paid-up, irrevocable, perpetual and royalty-free in such country.</w:t>
      </w:r>
    </w:p>
    <w:p>
      <w:pPr>
        <w:spacing w:after="0" w:line="68"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12.5.2 </w:t>
      </w:r>
      <w:r>
        <w:rPr>
          <w:rFonts w:ascii="Times New Roman" w:cs="Times New Roman" w:eastAsia="Times New Roman" w:hAnsi="Times New Roman"/>
          <w:sz w:val="18"/>
          <w:szCs w:val="18"/>
          <w:u w:val="single" w:color="auto"/>
          <w:color w:val="auto"/>
        </w:rPr>
        <w:t>Termination of Rights</w:t>
      </w:r>
      <w:r>
        <w:rPr>
          <w:rFonts w:ascii="Times New Roman" w:cs="Times New Roman" w:eastAsia="Times New Roman" w:hAnsi="Times New Roman"/>
          <w:sz w:val="18"/>
          <w:szCs w:val="18"/>
          <w:color w:val="auto"/>
        </w:rPr>
        <w:t>. Upon any termination of this Agreement, all rights and obligations of the Parties under this Agreement will cease except as otherwise set forth in this Section 12.5 (Effects of Expiration and Termination) (including Section 12.5.3 (Sublicense Survival)) or elsewhere in this Agreement. Company will, commencing with the date such termination becomes effective, have no further obligations under this Agreement except as expressly set forth in this Section 12.5 (Effects of Expiration and Termination).</w:t>
      </w:r>
    </w:p>
    <w:p>
      <w:pPr>
        <w:spacing w:after="0" w:line="7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12.5.3 </w:t>
      </w:r>
      <w:r>
        <w:rPr>
          <w:rFonts w:ascii="Times New Roman" w:cs="Times New Roman" w:eastAsia="Times New Roman" w:hAnsi="Times New Roman"/>
          <w:sz w:val="18"/>
          <w:szCs w:val="18"/>
          <w:u w:val="single" w:color="auto"/>
          <w:color w:val="auto"/>
        </w:rPr>
        <w:t>Sublicense Survival</w:t>
      </w:r>
      <w:r>
        <w:rPr>
          <w:rFonts w:ascii="Times New Roman" w:cs="Times New Roman" w:eastAsia="Times New Roman" w:hAnsi="Times New Roman"/>
          <w:sz w:val="18"/>
          <w:szCs w:val="18"/>
          <w:color w:val="auto"/>
        </w:rPr>
        <w:t>. Upon termination of this Agreement, upon the request of any Sublicensee, Maze will enter into a direct license from Maze to such Sublicensee on the same terms as this Agreement, taking into account any difference in license scope, territory and duration of sublicense grant (each a “</w:t>
      </w:r>
      <w:r>
        <w:rPr>
          <w:rFonts w:ascii="Times New Roman" w:cs="Times New Roman" w:eastAsia="Times New Roman" w:hAnsi="Times New Roman"/>
          <w:sz w:val="18"/>
          <w:szCs w:val="18"/>
          <w:b w:val="1"/>
          <w:bCs w:val="1"/>
          <w:color w:val="auto"/>
        </w:rPr>
        <w:t>New License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Sublicensee is not at the time of such termination in breach of its sublicense agreement. Under any such New License Agreement between Maze and such former Sublicensee, such Sublicensee will be required to pay to Maze the same amounts in consideration for such direct grant as Maze would have received from Company pursuant to this Agreement on account of such Sublicensee’s Research, Development, Commercialization or other Exploitation of Licensed Compounds or Licensed Products had this Agreement not been terminated. Under such New License Agreement, Maze will not be bound by any grant of rights broader than, and will not be required to perform any obligation other than those rights and obligations contained in this Agreement and all applicable rights of Maze set forth in this Agreement will be included in such New License Agreement. Notwithstanding the foregoing, Maze will not be obligated to enter into a New License Agreement with a Sublicensee unless such Sublicensee notifies Maze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termination of this Agreement that it wishes to enter into a New License Agreement.</w:t>
      </w:r>
    </w:p>
    <w:p>
      <w:pPr>
        <w:spacing w:after="0" w:line="84"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12.5.4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Upon any termination of this Agreement, each Party will comply with Section 9.6 (Return or Destruction of Confidential Information) with regard to the return or destruction of each Party’s Confidential Information.</w:t>
      </w:r>
    </w:p>
    <w:p>
      <w:pPr>
        <w:spacing w:after="0" w:line="54" w:lineRule="exact"/>
        <w:rPr>
          <w:sz w:val="20"/>
          <w:szCs w:val="20"/>
          <w:color w:val="auto"/>
        </w:rPr>
      </w:pPr>
    </w:p>
    <w:p>
      <w:pPr>
        <w:jc w:val="both"/>
        <w:ind w:right="4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12.5.5 </w:t>
      </w:r>
      <w:r>
        <w:rPr>
          <w:rFonts w:ascii="Times New Roman" w:cs="Times New Roman" w:eastAsia="Times New Roman" w:hAnsi="Times New Roman"/>
          <w:sz w:val="18"/>
          <w:szCs w:val="18"/>
          <w:u w:val="single" w:color="auto"/>
          <w:color w:val="auto"/>
        </w:rPr>
        <w:t>Effects of Termination by Company at Will or Termination by Maze for Company’s Material Breach or Insolvency</w:t>
      </w:r>
      <w:r>
        <w:rPr>
          <w:rFonts w:ascii="Times New Roman" w:cs="Times New Roman" w:eastAsia="Times New Roman" w:hAnsi="Times New Roman"/>
          <w:sz w:val="18"/>
          <w:szCs w:val="18"/>
          <w:color w:val="auto"/>
        </w:rPr>
        <w:t>. Upon the termination of this Agreement by Company pursuant to Section 12.3 (Termination at Will), or by Maze pursuant to Section 12.2 (Termination for Material Breach) or Section 12.4 (Termination for Bankruptcy), the following provisions will apply: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69" w:right="479" w:bottom="1440" w:gutter="0" w:footer="0" w:header="0"/>
        </w:sectPr>
      </w:pPr>
    </w:p>
    <w:bookmarkStart w:id="608" w:name="page609"/>
    <w:bookmarkEnd w:id="608"/>
    <w:p>
      <w:pPr>
        <w:ind w:right="40" w:firstLine="1428"/>
        <w:spacing w:after="0" w:line="266" w:lineRule="auto"/>
        <w:tabs>
          <w:tab w:leader="none" w:pos="1677"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License to Maze</w:t>
      </w:r>
      <w:r>
        <w:rPr>
          <w:rFonts w:ascii="Times New Roman" w:cs="Times New Roman" w:eastAsia="Times New Roman" w:hAnsi="Times New Roman"/>
          <w:sz w:val="18"/>
          <w:szCs w:val="18"/>
          <w:color w:val="auto"/>
        </w:rPr>
        <w:t>. Effective as of the effective date of termination, Company hereby grants to Maze a non-exclusive, transferrable (pursuant to Section 14.4 (Assignment)) and sublicensable (through multiple tiers) license under the Company Reversion IP solely as necessary to Research, Develop, Manufacture, Commercialize or otherwise Exploit the Licensed Product(s) in the Field in the Territory.</w:t>
      </w:r>
    </w:p>
    <w:p>
      <w:pPr>
        <w:spacing w:after="0" w:line="67" w:lineRule="exact"/>
        <w:rPr>
          <w:rFonts w:ascii="Times New Roman" w:cs="Times New Roman" w:eastAsia="Times New Roman" w:hAnsi="Times New Roman"/>
          <w:sz w:val="18"/>
          <w:szCs w:val="18"/>
          <w:color w:val="auto"/>
        </w:rPr>
      </w:pPr>
    </w:p>
    <w:p>
      <w:pPr>
        <w:ind w:firstLine="1428"/>
        <w:spacing w:after="0" w:line="277" w:lineRule="auto"/>
        <w:tabs>
          <w:tab w:leader="none" w:pos="1687" w:val="left"/>
        </w:tabs>
        <w:numPr>
          <w:ilvl w:val="0"/>
          <w:numId w:val="4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Reversion Royalties</w:t>
      </w:r>
      <w:r>
        <w:rPr>
          <w:rFonts w:ascii="Times New Roman" w:cs="Times New Roman" w:eastAsia="Times New Roman" w:hAnsi="Times New Roman"/>
          <w:sz w:val="17"/>
          <w:szCs w:val="17"/>
          <w:color w:val="auto"/>
        </w:rPr>
        <w:t>. In consideration for the license grant to Maze under Section 12.5.5(a) (License to Maze), Maze will pay to Company on a Licensed Product-by- Licensed Product basis royalties on sales of Licensed Products until the expiration of the applicable Post-Termination Royalty Term (such royalties, “</w:t>
      </w:r>
      <w:r>
        <w:rPr>
          <w:rFonts w:ascii="Times New Roman" w:cs="Times New Roman" w:eastAsia="Times New Roman" w:hAnsi="Times New Roman"/>
          <w:sz w:val="17"/>
          <w:szCs w:val="17"/>
          <w:b w:val="1"/>
          <w:bCs w:val="1"/>
          <w:color w:val="auto"/>
        </w:rPr>
        <w:t>Reversion Royalties</w:t>
      </w:r>
      <w:r>
        <w:rPr>
          <w:rFonts w:ascii="Times New Roman" w:cs="Times New Roman" w:eastAsia="Times New Roman" w:hAnsi="Times New Roman"/>
          <w:sz w:val="17"/>
          <w:szCs w:val="17"/>
          <w:color w:val="auto"/>
        </w:rPr>
        <w:t xml:space="preserve">”). Such Reversion Royalties will be calculated based on Annual Net Sales (as such term is applied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to Maze and its Affiliates and sublicensees) by Maze and its Affiliates and sublicensees of such Licensed Product at the percentage set forth in the table below in this Section 12.5.5(b) (Reversion Royalties) of the applicable royalty rates pursuant to Section 7.3 (Royalties):</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Royalty Rates</w:t>
            </w:r>
          </w:p>
        </w:tc>
        <w:tc>
          <w:tcPr>
            <w:tcW w:w="0" w:type="dxa"/>
            <w:vAlign w:val="bottom"/>
          </w:tcPr>
          <w:p>
            <w:pPr>
              <w:spacing w:after="0"/>
              <w:rPr>
                <w:sz w:val="1"/>
                <w:szCs w:val="1"/>
                <w:color w:val="auto"/>
              </w:rPr>
            </w:pPr>
          </w:p>
        </w:tc>
      </w:tr>
      <w:tr>
        <w:trPr>
          <w:trHeight w:val="148"/>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Stage of Development</w:t>
            </w:r>
          </w:p>
        </w:tc>
        <w:tc>
          <w:tcPr>
            <w:tcW w:w="5820" w:type="dxa"/>
            <w:vAlign w:val="bottom"/>
            <w:vMerge w:val="restart"/>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Section</w:t>
            </w:r>
          </w:p>
        </w:tc>
        <w:tc>
          <w:tcPr>
            <w:tcW w:w="0" w:type="dxa"/>
            <w:vAlign w:val="bottom"/>
          </w:tcPr>
          <w:p>
            <w:pPr>
              <w:spacing w:after="0"/>
              <w:rPr>
                <w:sz w:val="1"/>
                <w:szCs w:val="1"/>
                <w:color w:val="auto"/>
              </w:rPr>
            </w:pPr>
          </w:p>
        </w:tc>
      </w:tr>
      <w:tr>
        <w:trPr>
          <w:trHeight w:val="180"/>
        </w:trPr>
        <w:tc>
          <w:tcPr>
            <w:tcW w:w="1340" w:type="dxa"/>
            <w:vAlign w:val="bottom"/>
            <w:tcBorders>
              <w:bottom w:val="single" w:sz="8" w:color="auto"/>
            </w:tcBorders>
            <w:gridSpan w:val="2"/>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7.3 (Royalties)</w:t>
            </w:r>
          </w:p>
        </w:tc>
        <w:tc>
          <w:tcPr>
            <w:tcW w:w="0" w:type="dxa"/>
            <w:vAlign w:val="bottom"/>
          </w:tcPr>
          <w:p>
            <w:pPr>
              <w:spacing w:after="0"/>
              <w:rPr>
                <w:sz w:val="1"/>
                <w:szCs w:val="1"/>
                <w:color w:val="auto"/>
              </w:rPr>
            </w:pPr>
          </w:p>
        </w:tc>
      </w:tr>
      <w:tr>
        <w:trPr>
          <w:trHeight w:val="203"/>
        </w:trPr>
        <w:tc>
          <w:tcPr>
            <w:tcW w:w="5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w:t>
            </w:r>
          </w:p>
        </w:tc>
        <w:tc>
          <w:tcPr>
            <w:tcW w:w="6580" w:type="dxa"/>
            <w:vAlign w:val="bottom"/>
            <w:tcBorders>
              <w:top w:val="single" w:sz="8" w:color="CCEEFF"/>
            </w:tcBorders>
            <w:gridSpan w:val="2"/>
            <w:shd w:val="clear" w:color="auto" w:fill="CCEEFF"/>
          </w:tcPr>
          <w:p>
            <w:pPr>
              <w:jc w:val="right"/>
              <w:ind w:right="58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580" w:type="dxa"/>
            <w:vAlign w:val="bottom"/>
            <w:gridSpan w:val="2"/>
          </w:tcPr>
          <w:p>
            <w:pPr>
              <w:jc w:val="right"/>
              <w:ind w:right="58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 xml:space="preserve">For the purpose of the Reversion Royalties, the provisions in Section 7.3.5 (Royalty Reductions), Section 7.4 (Royalty Payments and Reporting), Section 7.5 (Additional Payment Terms) and Section 7.6 (Records; Audit Rights) will apply to Maze and its Affiliates and sublicensees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20" w:firstLine="1428"/>
        <w:spacing w:after="0" w:line="254" w:lineRule="auto"/>
        <w:tabs>
          <w:tab w:leader="none" w:pos="1677"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Program Foreground Patents and Maze Program Foreground Patents</w:t>
      </w:r>
      <w:r>
        <w:rPr>
          <w:rFonts w:ascii="Times New Roman" w:cs="Times New Roman" w:eastAsia="Times New Roman" w:hAnsi="Times New Roman"/>
          <w:sz w:val="18"/>
          <w:szCs w:val="18"/>
          <w:color w:val="auto"/>
        </w:rPr>
        <w:t>. Effective as of the effective date of termination, in the event that this Agreement is terminated by Company pursuant to Section 12.3 (Termination at Will), or by Maze pursuant to Section 12.2 (Termination for Material Breach) or Section 12.4 (Termination for Bankruptcy), Company will and does hereby (A) assign to Maze (I) all of its rights, title and interests in and to any Maze Program Foreground Patents, and (II) Company’s interest in and to any Joint Program Foreground Patents, and in each case ((I) and (II)) Maze will and does hereby accept such assignment, and (B) grant to Maze an exclusive, perpetual, irrevocable, transferrable (pursuant to Section 14.4 (Assignment)) and sublicensable (through multiple tiers) license under the Joint Program Foreground Know-How and Maze Program Foreground Know-How solely as necessary to Research, Develop, Manufacture, Commercialize or otherwise Exploit the Licensed Product(s) in the Field in the Territory.</w:t>
      </w:r>
    </w:p>
    <w:p>
      <w:pPr>
        <w:spacing w:after="0" w:line="8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Licensed Product Marks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60" w:firstLine="1979"/>
        <w:spacing w:after="0" w:line="261" w:lineRule="auto"/>
        <w:tabs>
          <w:tab w:leader="none" w:pos="2198" w:val="left"/>
        </w:tabs>
        <w:numPr>
          <w:ilvl w:val="1"/>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 Grant</w:t>
      </w:r>
      <w:r>
        <w:rPr>
          <w:rFonts w:ascii="Times New Roman" w:cs="Times New Roman" w:eastAsia="Times New Roman" w:hAnsi="Times New Roman"/>
          <w:sz w:val="18"/>
          <w:szCs w:val="18"/>
          <w:color w:val="auto"/>
        </w:rPr>
        <w:t>. Effective as of the effective date of termination, Company hereby grants to Maze a non-exclusive, transferrable (pursuant to Section 14.4 (Assignment)) and sublicensable (through multiple tiers) license under any Licensed Product Marks that are actually used in, and solely related to, the Commercialization of Licensed Products in the Field in the Territory as of the effective date of termination, solely as necessary to Commercialize the Licensed Product(s) in the Field in the Territory.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1" w:right="459" w:bottom="1440" w:gutter="0" w:footer="0" w:header="0"/>
        </w:sectPr>
      </w:pPr>
    </w:p>
    <w:bookmarkStart w:id="609" w:name="page610"/>
    <w:bookmarkEnd w:id="609"/>
    <w:p>
      <w:pPr>
        <w:ind w:left="4" w:right="60" w:firstLine="1979"/>
        <w:spacing w:after="0" w:line="268" w:lineRule="auto"/>
        <w:tabs>
          <w:tab w:leader="none" w:pos="2252" w:val="left"/>
        </w:tabs>
        <w:numPr>
          <w:ilvl w:val="2"/>
          <w:numId w:val="4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Quality Control</w:t>
      </w:r>
      <w:r>
        <w:rPr>
          <w:rFonts w:ascii="Times New Roman" w:cs="Times New Roman" w:eastAsia="Times New Roman" w:hAnsi="Times New Roman"/>
          <w:sz w:val="17"/>
          <w:szCs w:val="17"/>
          <w:color w:val="auto"/>
        </w:rPr>
        <w:t>. In connection with the license grant to the Licensed Product Marks described in Section 12.5.5(d)(i) (License Grant), Maze covenants that all uses of the Licensed Product Marks, and the Licensed Products offered in connection therewith, by or on behalf of Maze, its Affiliates or sublicensees, shall be consistent with (A) the high quality of the Licensed Products being offered under the Licensed Product Marks as of the effective date of termination, and (B) any quality standards or practices required under Applicable Law. Upon Company’s or its designee’s reasonable request, Maze shall provide samples of any Licensed Products or related goods and services bearing the Licensed Product Marks to Company or its designee for the purpose of inspecting and evaluating Company’s compliance with the requirements set forth in this Section 12.5.5(d)</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w:t>
      </w:r>
    </w:p>
    <w:p>
      <w:pPr>
        <w:spacing w:after="0" w:line="98" w:lineRule="exact"/>
        <w:rPr>
          <w:rFonts w:ascii="Times New Roman" w:cs="Times New Roman" w:eastAsia="Times New Roman" w:hAnsi="Times New Roman"/>
          <w:sz w:val="18"/>
          <w:szCs w:val="18"/>
          <w:color w:val="auto"/>
        </w:rPr>
      </w:pPr>
    </w:p>
    <w:p>
      <w:pPr>
        <w:ind w:left="4" w:firstLine="1428"/>
        <w:spacing w:after="0" w:line="255" w:lineRule="auto"/>
        <w:tabs>
          <w:tab w:leader="none" w:pos="1681"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Regulatory Approvals and Regulatory Materials</w:t>
      </w:r>
      <w:r>
        <w:rPr>
          <w:rFonts w:ascii="Times New Roman" w:cs="Times New Roman" w:eastAsia="Times New Roman" w:hAnsi="Times New Roman"/>
          <w:sz w:val="18"/>
          <w:szCs w:val="18"/>
          <w:color w:val="auto"/>
        </w:rPr>
        <w:t>. Company will, within a reasonable period of time after the effective date of termination of this Agreement, provide to Maze all Regulatory Materials, Regulatory Approvals relating to the Licensed Products in the Territory, and will, and hereby does, to the extent allowed under Applicable Law, assign to Maze all rights, title, and interests in such Regulatory Materials and Regulatory Approvals. To the extent that any Regulatory Approvals or Regulatory Materials cannot be assigned to Maze due to restrictions under Applicable Law, Company will grant Maze a right of reference to such Regulatory Approvals or Regulatory Materials solely in connection with the Research, Development, Manufacture, Commercialization or other Exploitation of the Licensed Products in the Field in the Territory.</w:t>
      </w:r>
    </w:p>
    <w:p>
      <w:pPr>
        <w:spacing w:after="0" w:line="76" w:lineRule="exact"/>
        <w:rPr>
          <w:rFonts w:ascii="Times New Roman" w:cs="Times New Roman" w:eastAsia="Times New Roman" w:hAnsi="Times New Roman"/>
          <w:sz w:val="18"/>
          <w:szCs w:val="18"/>
          <w:color w:val="auto"/>
        </w:rPr>
      </w:pPr>
    </w:p>
    <w:p>
      <w:pPr>
        <w:ind w:left="4" w:right="40" w:firstLine="1428"/>
        <w:spacing w:after="0" w:line="256" w:lineRule="auto"/>
        <w:tabs>
          <w:tab w:leader="none" w:pos="1661"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Inventory Sell-Off Period</w:t>
      </w:r>
      <w:r>
        <w:rPr>
          <w:rFonts w:ascii="Times New Roman" w:cs="Times New Roman" w:eastAsia="Times New Roman" w:hAnsi="Times New Roman"/>
          <w:sz w:val="18"/>
          <w:szCs w:val="18"/>
          <w:color w:val="auto"/>
        </w:rPr>
        <w:t xml:space="preserve">. Company will be entitled, for a period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effective date of termination, to (i) complete Manufacture of work- in-progress Licensed Products and (ii) continue conducting Commercialization activities with respect to any Licensed Products in Company’s inventory as of such effective date of termination (or added to such inventory as a result of the completion of Manufacturing activities described in clause (i)). During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inventory sell-off period, the terms of Article 7 (Financial Terms) will continue to apply to any Commercialization activities conducted by or on behalf of Company pursuant to the foregoing clause (ii). At the end of such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inventory sell-off period, at Maze’s request, Company will transfer to Maze any remaining inventory of Licensed Products, at a price that is equal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Company’s fully burdened Manufacturing costs.</w:t>
      </w:r>
    </w:p>
    <w:p>
      <w:pPr>
        <w:spacing w:after="0" w:line="78" w:lineRule="exact"/>
        <w:rPr>
          <w:rFonts w:ascii="Times New Roman" w:cs="Times New Roman" w:eastAsia="Times New Roman" w:hAnsi="Times New Roman"/>
          <w:sz w:val="18"/>
          <w:szCs w:val="18"/>
          <w:color w:val="auto"/>
        </w:rPr>
      </w:pPr>
    </w:p>
    <w:p>
      <w:pPr>
        <w:ind w:left="4" w:right="60" w:firstLine="1428"/>
        <w:spacing w:after="0" w:line="270" w:lineRule="auto"/>
        <w:tabs>
          <w:tab w:leader="none" w:pos="1691" w:val="left"/>
        </w:tabs>
        <w:numPr>
          <w:ilvl w:val="1"/>
          <w:numId w:val="4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Clinical Trials</w:t>
      </w:r>
      <w:r>
        <w:rPr>
          <w:rFonts w:ascii="Times New Roman" w:cs="Times New Roman" w:eastAsia="Times New Roman" w:hAnsi="Times New Roman"/>
          <w:sz w:val="17"/>
          <w:szCs w:val="17"/>
          <w:color w:val="auto"/>
        </w:rPr>
        <w:t>. If as of the effective date of termination of this Agreement, any Clinical Trials of any Licensed Product are being conducted by or on behalf of Company or its Affiliates in the Territory, then, upon Company’s election, within a reasonable period after such effective date of termination, Company and its Affiliates will wind down any such ongoing Clinical Trials pursuant to Applicable Law or any requirements from the applicable Regulatory Authorities unless Maze elects to assume such ongoing Clinical Trials after such effective date of termination, in which case:</w:t>
      </w:r>
    </w:p>
    <w:p>
      <w:pPr>
        <w:spacing w:after="0" w:line="2" w:lineRule="exact"/>
        <w:rPr>
          <w:rFonts w:ascii="Times New Roman" w:cs="Times New Roman" w:eastAsia="Times New Roman" w:hAnsi="Times New Roman"/>
          <w:sz w:val="17"/>
          <w:szCs w:val="17"/>
          <w:color w:val="auto"/>
        </w:rPr>
      </w:pPr>
    </w:p>
    <w:p>
      <w:pPr>
        <w:ind w:left="4" w:right="60" w:hanging="4"/>
        <w:spacing w:after="0" w:line="255" w:lineRule="auto"/>
        <w:tabs>
          <w:tab w:leader="none" w:pos="219"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any requirements from the applicable Regulatory Authorities, Company and its Affiliates will transfer such Clinical Trials to Maze at Maze’s sole cost and expense; and (ii) Maze will assume any and all liabilities for the conduct of such transferred Clinical Trials for the Licensed Products as of the effective date of such transfer.</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610" w:name="page611"/>
    <w:bookmarkEnd w:id="610"/>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12.5.6 </w:t>
      </w:r>
      <w:r>
        <w:rPr>
          <w:rFonts w:ascii="Times New Roman" w:cs="Times New Roman" w:eastAsia="Times New Roman" w:hAnsi="Times New Roman"/>
          <w:sz w:val="18"/>
          <w:szCs w:val="18"/>
          <w:u w:val="single" w:color="auto"/>
          <w:color w:val="auto"/>
        </w:rPr>
        <w:t>Accrued Rights; Remedies</w:t>
      </w:r>
      <w:r>
        <w:rPr>
          <w:rFonts w:ascii="Times New Roman" w:cs="Times New Roman" w:eastAsia="Times New Roman" w:hAnsi="Times New Roman"/>
          <w:sz w:val="18"/>
          <w:szCs w:val="18"/>
          <w:color w:val="auto"/>
        </w:rPr>
        <w:t>. Except as otherwise expressly set forth in this Agreement, the expiration or termination of this Agreement for any reason will be without prejudice to any rights that will have accrued to the benefit of any Party prior to such expiration or termination, and any and all damages or remedies (whether at law or in equity) arising from any breach hereunder, each of which will survive expiration or termination of this Agreement. Such expiration or termination will not relieve any Party from obligations that are expressly indicated to survive expiration or termination of this Agreement. Except as otherwise expressly set forth in this Agreement, the termination provisions of this Article are in addition to any other relief and remedies available to either Party under this Agreement, at law or in equity.</w:t>
      </w:r>
    </w:p>
    <w:p>
      <w:pPr>
        <w:spacing w:after="0" w:line="79"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12.5.7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Without limiting the provisions of Section 12.5.6 (Accrued Rights; Remedies), the rights and obligations of the Parties set forth in the following Sections and Articles of this Agreement will survive the expiration or termination of this Agreement, in addition to those other terms and conditions that are expressly stated to survive termination or expiration of this Agreement: Article 1 (Definitions) (solely to the extent such definitions are used in other surviving provisions); Section 2.3 (Residual Knowledge); Section 2.4 (No Implied Licenses); Article 7 (solely to the extent that any payment accrued prior to the effective date of expiration or termination of this Agreement and with respect to Section 7.6 (Records; Audit Rights), solely for the time period set forth therein); Section 8.1 (Ownership); Section 8.5 (Trademarks); Article 9 (Confidentiality) (solely for the time period set forth therein); Section 11.1 (Indemnification); Section 11.2 (Procedure); Section 11.3 (solely for the time period set forth therein);</w:t>
      </w:r>
    </w:p>
    <w:p>
      <w:pPr>
        <w:spacing w:after="0" w:line="3" w:lineRule="exact"/>
        <w:rPr>
          <w:sz w:val="20"/>
          <w:szCs w:val="20"/>
          <w:color w:val="auto"/>
        </w:rPr>
      </w:pPr>
    </w:p>
    <w:p>
      <w:pPr>
        <w:ind w:left="4" w:right="140"/>
        <w:spacing w:after="0" w:line="260" w:lineRule="auto"/>
        <w:rPr>
          <w:sz w:val="20"/>
          <w:szCs w:val="20"/>
          <w:color w:val="auto"/>
        </w:rPr>
      </w:pPr>
      <w:r>
        <w:rPr>
          <w:rFonts w:ascii="Times New Roman" w:cs="Times New Roman" w:eastAsia="Times New Roman" w:hAnsi="Times New Roman"/>
          <w:sz w:val="18"/>
          <w:szCs w:val="18"/>
          <w:color w:val="auto"/>
        </w:rPr>
        <w:t>Section 11.4 (Limitation of Liability); Section 12.4.2 (Section 365(n) Rights); this Section 12.5 (Effects of Expiration and Termination); and Article 14 (Miscellaneous).</w:t>
      </w:r>
    </w:p>
    <w:p>
      <w:pPr>
        <w:spacing w:after="0" w:line="39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GOVERNMENT APPROVALS</w:t>
      </w:r>
    </w:p>
    <w:p>
      <w:pPr>
        <w:spacing w:after="0" w:line="207"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Efforts</w:t>
      </w:r>
      <w:r>
        <w:rPr>
          <w:rFonts w:ascii="Times New Roman" w:cs="Times New Roman" w:eastAsia="Times New Roman" w:hAnsi="Times New Roman"/>
          <w:sz w:val="17"/>
          <w:szCs w:val="17"/>
          <w:color w:val="auto"/>
        </w:rPr>
        <w:t>. Each of Maze and Company will use its commercially reasonable efforts to remove promptly any and all impediments so as to enable the consummation of this Agreement and the transactions contemplated hereby to occur as promptly as practicable after the Execution Date, including by: (a) obtaining government antitrust clearance, (b) cooperating in good faith with any Governmental Authority investigation, and (c) if requested by a Governmental Authority, promptly producing any documents and information and providing witness testimony. Notwithstanding anything to the contrary in this Agreement, this Section 13.1 (Efforts) and the term “commercially reasonable efforts” as used in this Article 13 (Government Approvals) do not require that either Party: (i) offer, negotiate, commit to or effect, by consent decree, hold separate order, trust or otherwise, the sale, divestiture, license or other disposition of any capital stock, assets, rights, products or businesses of Maze or Company or any of their Affiliates;</w:t>
      </w:r>
    </w:p>
    <w:p>
      <w:pPr>
        <w:spacing w:after="0" w:line="2" w:lineRule="exact"/>
        <w:rPr>
          <w:sz w:val="20"/>
          <w:szCs w:val="20"/>
          <w:color w:val="auto"/>
        </w:rPr>
      </w:pPr>
    </w:p>
    <w:p>
      <w:pPr>
        <w:ind w:left="4" w:right="100" w:hanging="4"/>
        <w:spacing w:after="0" w:line="253" w:lineRule="auto"/>
        <w:tabs>
          <w:tab w:leader="none" w:pos="269"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any restrictions on any capital stock, assets, rights, products or businesses of Maze or Company or any of their Affiliates or (iii) pay any amount or take any other action to prevent, effect the dissolution of, vacate, or lift any decree, order, judgment, injunction, temporary restraining order or other order in any suit or proceeding that would otherwise have the effect of preventing or delaying the transactions contemplated by this Agreement (collectively, an “</w:t>
      </w:r>
      <w:r>
        <w:rPr>
          <w:rFonts w:ascii="Times New Roman" w:cs="Times New Roman" w:eastAsia="Times New Roman" w:hAnsi="Times New Roman"/>
          <w:sz w:val="18"/>
          <w:szCs w:val="18"/>
          <w:b w:val="1"/>
          <w:bCs w:val="1"/>
          <w:color w:val="auto"/>
        </w:rPr>
        <w:t>Antitrust Remedy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1" w:right="459" w:bottom="1440" w:gutter="0" w:footer="0" w:header="0"/>
        </w:sectPr>
      </w:pPr>
    </w:p>
    <w:bookmarkStart w:id="611" w:name="page612"/>
    <w:bookmarkEnd w:id="611"/>
    <w:p>
      <w:pPr>
        <w:ind w:left="4" w:right="60" w:firstLine="44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13.2 </w:t>
      </w:r>
      <w:r>
        <w:rPr>
          <w:rFonts w:ascii="Times New Roman" w:cs="Times New Roman" w:eastAsia="Times New Roman" w:hAnsi="Times New Roman"/>
          <w:sz w:val="17"/>
          <w:szCs w:val="17"/>
          <w:u w:val="single" w:color="auto"/>
          <w:color w:val="auto"/>
        </w:rPr>
        <w:t>Filings</w:t>
      </w:r>
      <w:r>
        <w:rPr>
          <w:rFonts w:ascii="Times New Roman" w:cs="Times New Roman" w:eastAsia="Times New Roman" w:hAnsi="Times New Roman"/>
          <w:sz w:val="17"/>
          <w:szCs w:val="17"/>
          <w:color w:val="auto"/>
        </w:rPr>
        <w:t xml:space="preserve">. As soon as reasonably practicable following the Execution Date (but no later than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following the Execution Date unless otherwise agreed to in writing by the Parties), each of Maze and Company will prepare and submit to the United States Federal Trade Commission (the “</w:t>
      </w:r>
      <w:r>
        <w:rPr>
          <w:rFonts w:ascii="Times New Roman" w:cs="Times New Roman" w:eastAsia="Times New Roman" w:hAnsi="Times New Roman"/>
          <w:sz w:val="17"/>
          <w:szCs w:val="17"/>
          <w:b w:val="1"/>
          <w:bCs w:val="1"/>
          <w:color w:val="auto"/>
        </w:rPr>
        <w:t>FTC</w:t>
      </w:r>
      <w:r>
        <w:rPr>
          <w:rFonts w:ascii="Times New Roman" w:cs="Times New Roman" w:eastAsia="Times New Roman" w:hAnsi="Times New Roman"/>
          <w:sz w:val="17"/>
          <w:szCs w:val="17"/>
          <w:color w:val="auto"/>
        </w:rPr>
        <w:t>”) and the Antitrust Division of the United States Department of Justice (the “</w:t>
      </w:r>
      <w:r>
        <w:rPr>
          <w:rFonts w:ascii="Times New Roman" w:cs="Times New Roman" w:eastAsia="Times New Roman" w:hAnsi="Times New Roman"/>
          <w:sz w:val="17"/>
          <w:szCs w:val="17"/>
          <w:b w:val="1"/>
          <w:bCs w:val="1"/>
          <w:color w:val="auto"/>
        </w:rPr>
        <w:t>DOJ</w:t>
      </w:r>
      <w:r>
        <w:rPr>
          <w:rFonts w:ascii="Times New Roman" w:cs="Times New Roman" w:eastAsia="Times New Roman" w:hAnsi="Times New Roman"/>
          <w:sz w:val="17"/>
          <w:szCs w:val="17"/>
          <w:color w:val="auto"/>
        </w:rPr>
        <w:t xml:space="preserve">”) any HSR/Antitrust Filing required of it under the HSR Act and use commercially reasonable efforts (as set forth in Section 13.1 (Efforts) above), to cause the expiration or termination of any applicable waiting periods under the HSR Act as soon as practicable after the Execution Date and, as soon as practicable after the Execution Date, file with the appropriate Governmental Authority any other HSR/Antitrust Filing required of it under any other Antitrust Law, as set forth in Schedule 13.2), with respect to the transactions contemplated by this Agreement, and use commercially reasonable efforts (as defined in Section 13.1 (Efforts) above) to obtain clearances or approvals or cause the expiration or termination of any applicable waiting periods under applicable Antitrust Laws as soon as practicable after the Execution Date. The Parties will cooperate with one another in the preparation of any such HSR/Antitrust Filing. The Parties shall promptly make an appropriate response to any request by a Governmental Authority for any additional information or documents pursuant to any Antitrust Law. In the event that any information in the filings submitted pursuant to this Section 13.2 (Filings) or any such supplemental information furnished in connection therewith is deemed confidential by either Party, the Parties shall maintain the confidentiality of the same, and the Parties shall seek authorization from the applicable Governmental Authority to withhold such information from public view. Each Party will be responsible for and bear its own costs and expenses associated with any HSR/Antitrust Filing;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Company will be responsible for paying the filing fees to be paid to the United States Federal Government in connection with any HSR/Antitrust Filing required under the HSR Act that made under this Section 13.2. In the event that the Parties make an HSR/Antitrust Filing under this Section 13.2 (Filings), this Agreement will terminate, at the election of either Party: (i) immediately upon notice to the other Party, in the event that the FTC, DOJ or other Governmental Authority (A) obtains a preliminary injunction or final order under Antitrust Law enjoining the transactions contemplated by this Agreement or (B) requests or requires an Antitrust Remedy as a condition of approval; or</w:t>
      </w:r>
    </w:p>
    <w:p>
      <w:pPr>
        <w:spacing w:after="0" w:line="10" w:lineRule="exact"/>
        <w:rPr>
          <w:sz w:val="20"/>
          <w:szCs w:val="20"/>
          <w:color w:val="auto"/>
        </w:rPr>
      </w:pPr>
    </w:p>
    <w:p>
      <w:pPr>
        <w:ind w:left="264" w:hanging="264"/>
        <w:spacing w:after="0"/>
        <w:tabs>
          <w:tab w:leader="none" w:pos="264"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upon notice to the other Party, any time after the occurrence of the Outside Date if the Effective Date has not occurred;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Company desires to extend the Outside Date in order to respond to a request by the FTC, DOJ or other Governmental Authority (e.g.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 second request for additional review), then upon Company’s written request during the period leading up to the Outside Date the Parties will negotiate in good faith the terms of an extension to the Outside Date such terms to include a break-up fee to be payable to Maze in the case the extended Outside Date occurs and the Effective Date has not occurred. Notwithstanding any provision to the contrary in this Agreement, except for the terms and conditions of Section 9.7 (Publicity) and this Article 13 (Government Approvals), which will each become effective as of the Execution Date of this Agreement, none of the terms and conditions contained in this Agreement will be effective until the Effective Date.</w:t>
      </w:r>
    </w:p>
    <w:p>
      <w:pPr>
        <w:spacing w:after="0" w:line="190"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HSR/Antitrust Filing Information Exchange</w:t>
      </w:r>
      <w:r>
        <w:rPr>
          <w:rFonts w:ascii="Times New Roman" w:cs="Times New Roman" w:eastAsia="Times New Roman" w:hAnsi="Times New Roman"/>
          <w:sz w:val="18"/>
          <w:szCs w:val="18"/>
          <w:color w:val="auto"/>
        </w:rPr>
        <w:t>. Each of Maze and Company will, in connection with any HSR/Antitrust Filing and subject to applicable legal limitations and the instructions of any Governmental Authority: (a) reasonably cooperate with each other in connection with any communication, filing, notification or submission and in connection with any investigation or other inquiry, including any proceeding initiated by a private party; (b) keep the other Party or its counsel informed of and promptly furnish the other with copies of any communication received by such Party from, or given by such Party to, the FTC, the DOJ or any other U.S. or other Governmental Authority and of any communication received or given in connection with any proceeding by a private party, in each case, regarding the transactions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66" w:right="459" w:bottom="1440" w:gutter="0" w:footer="0" w:header="0"/>
        </w:sectPr>
      </w:pPr>
    </w:p>
    <w:bookmarkStart w:id="612" w:name="page613"/>
    <w:bookmarkEnd w:id="612"/>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contemplated by this Agreement; (c) subject to applicable Antitrust Law relating to the exchange of information, Maze, on the one hand, and Company, on the other hand, shall jointly cooperate on and direct the antitrust defense strategy, and consult with each other in advance of any meeting or conference with the FTC, the DOJ or any other Governmental Authority or, in connection with any proceeding by a private party, with any other Person, and to the extent permitted by the FTC, the DOJ or such other Governmental Authority or other Person, give the Parties or their counsel the opportunity to attend and participate in such meetings and conferences and in the event one such Party is prohibited by the applicable Governmental Authority from participating or attending any such meeting or discussion, agrees to keep such non-participating party reasonably apprised with respect thereto; and</w:t>
      </w:r>
    </w:p>
    <w:p>
      <w:pPr>
        <w:spacing w:after="0" w:line="5" w:lineRule="exact"/>
        <w:rPr>
          <w:sz w:val="20"/>
          <w:szCs w:val="20"/>
          <w:color w:val="auto"/>
        </w:rPr>
      </w:pPr>
    </w:p>
    <w:p>
      <w:pPr>
        <w:ind w:left="4" w:hanging="4"/>
        <w:spacing w:after="0" w:line="251" w:lineRule="auto"/>
        <w:tabs>
          <w:tab w:leader="none" w:pos="259"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practicable, permit the other Party or its counsel to review in advance with reasonable notice, and consider in good faith the views of the other Party in connection with, any notification, submission, filing or communication (and documents submitted therewith) intended to be given by it to the FTC, the DOJ or any other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materials may be redacted to remove references concerning the valuation of the business of the disclosing Party or other sensitive information in the judgment of such disclosing Party,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subject to the cooperation and consultation obligations set forth in this Section 13.3 (HSR/Antitrust Filing Information Exchange), Company will control the strategy for HSR/Antitrust Filings and serve as the primary point of contact with the applicable Governmental Authorities. Each of Maze and Company, as each deems advisable and necessary, may reasonably designate any competitively sensitive material to be provided to the other under this Article 13 (Government Approvals) as “</w:t>
      </w:r>
      <w:r>
        <w:rPr>
          <w:rFonts w:ascii="Times New Roman" w:cs="Times New Roman" w:eastAsia="Times New Roman" w:hAnsi="Times New Roman"/>
          <w:sz w:val="18"/>
          <w:szCs w:val="18"/>
          <w:b w:val="1"/>
          <w:bCs w:val="1"/>
          <w:color w:val="auto"/>
        </w:rPr>
        <w:t>Antitrust Counsel Only Material</w:t>
      </w:r>
      <w:r>
        <w:rPr>
          <w:rFonts w:ascii="Times New Roman" w:cs="Times New Roman" w:eastAsia="Times New Roman" w:hAnsi="Times New Roman"/>
          <w:sz w:val="18"/>
          <w:szCs w:val="18"/>
          <w:color w:val="auto"/>
        </w:rPr>
        <w:t>.” Such Antitrust Counsel Only Material and the information contained therein will be given only to the outside antitrust counsel of the recipient and will not be disclosed by such outside counsel to employees, officers or directors or other representatives of the recipient unless express permission is obtained in advance from the source of the materials (Maze or Company, as the case may be) or its legal counsel.</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one or more of the terms or provisions of this Agreement is held by a court of competent jurisdiction to be void, invalid or unenforceable in any situation in any jurisdiction, such holding will not affect the validity or enforceability of the remaining terms and provisions hereof or the validity or enforceability of the void, invalid or unenforceable term or provision in any other situation or in any other jurisdiction, and the void, invalid or unenforceable term or provision will be considered severed from this Agreement solely for such situation and solely in such jurisdiction, unless the void, invalid or unenforceable term or provision is of such essential importance to this Agreement that it is to be reasonably assumed that the Parties would not have entered into this Agreement without the void, invalid or unenforceable term or provision. If the final judgment of such court declares that any term or provision hereof is void, invalid or unenforceable, then the Parties agree to: (a) reduce the scope, duration, area or applicability of such term or provision or to delete specific words or phrases to the minimum extent necessary to cause such term or provision as so reduced or amended to be enforceable; and (b) make a good faith effort to replace any such term or provision with a valid and enforceable term or provision such that the objectives contemplated by the Parties when entering this Agreement may be realized.</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4"/>
          </w:cols>
          <w:pgMar w:left="436" w:top="271" w:right="459" w:bottom="1440" w:gutter="0" w:footer="0" w:header="0"/>
        </w:sectPr>
      </w:pPr>
    </w:p>
    <w:bookmarkStart w:id="613" w:name="page614"/>
    <w:bookmarkEnd w:id="613"/>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to be given by this Agreement will be in writing and in English and will be: (a) (i) delivered by hand or by prepaid overnight courier with tracking capabilities; or (ii) mailed postage prepaid by first class, registered or certified mail; and (b) delivered by email followed by delivery via either of the methods set forth in the foregoing clauses (a)(i) and (a)(ii) of this Section 14.2 (Notices), in each case, addressed as set forth below unless changed by notice so given: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Company: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Shionogi &amp; Co., Ltd.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 Doshomachi 3-chome, Chuo-ku, Osaka 541-0045, Japan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Vice President, Business Development Department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Vice President, Legal Affairs Department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10020-1095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Andres Liivak</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Maze: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Maze Therapeutics – Partnering</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171 Oyster Point Blvd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Head of Partnering and of Alliance Management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Maze Therapeutics – Legal</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171 Oyster Point Blvd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Suite 300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Jana Gold, VP Legal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1191 2nd Ave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Seattle, WA 98101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Effie Toshav and Jake Handy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614" w:name="page615"/>
    <w:bookmarkEnd w:id="614"/>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notice will be deemed given on the date received, except any notice received after 5:30 p.m. (in the time zone of the receiving Party) on a Business Day or received on a non-Business Day, in each case, will be deemed to have been received on the next Business Day. A Party may add, delete or change the person or address to which notices should be sent at any time upon written notice delivered to the other Parties in accordance with this Section 14.2 (Notices).This Section 14.2 (Notices) is not intended to govern the day-to-day business communications necessary between the Parties in performing their obligations under the terms of this Agreement.</w:t>
      </w:r>
    </w:p>
    <w:p>
      <w:pPr>
        <w:spacing w:after="0" w:line="18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14.3 </w:t>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 Neither Party will be held liable or responsible to the other Party or be deemed to have defaulted under or breached this Agreement for failure or delay in fulfilling or performing any term of this Agreement: (a) (other than an obligation to make Agreement Payments) if such failure or delay is caused by or results from events beyond the reasonable control of the non-performing Party, including: fires, floods, earthquakes, hurricanes, shortages, epidemics, pandemics,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omission or delay results from the breach by the non-performing Party or any of its Affiliates of any term or condition of this Agreement); or (b) (including any obligation to make Agreement Payments) if such failure or delay is caused by or results from any prohibition, sanction, export control, embargo, tariff, fine, trade restriction, ban or similar measure imposed by a Governmental Authority that is not in place as of the Effective Date and that prohibits, materially restricts or materially penalizes, directly or indirectly, the fulfillment or performance of any term of this Agreement, or any exercise of rights hereunder (a “</w:t>
      </w:r>
      <w:r>
        <w:rPr>
          <w:rFonts w:ascii="Times New Roman" w:cs="Times New Roman" w:eastAsia="Times New Roman" w:hAnsi="Times New Roman"/>
          <w:sz w:val="17"/>
          <w:szCs w:val="17"/>
          <w:b w:val="1"/>
          <w:bCs w:val="1"/>
          <w:color w:val="auto"/>
        </w:rPr>
        <w:t>Governmental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Restriction</w:t>
      </w:r>
      <w:r>
        <w:rPr>
          <w:rFonts w:ascii="Times New Roman" w:cs="Times New Roman" w:eastAsia="Times New Roman" w:hAnsi="Times New Roman"/>
          <w:sz w:val="17"/>
          <w:szCs w:val="17"/>
          <w:color w:val="auto"/>
        </w:rPr>
        <w:t>” and, any event described in the foregoing clauses (a) and (b), a “</w:t>
      </w:r>
      <w:r>
        <w:rPr>
          <w:rFonts w:ascii="Times New Roman" w:cs="Times New Roman" w:eastAsia="Times New Roman" w:hAnsi="Times New Roman"/>
          <w:sz w:val="17"/>
          <w:szCs w:val="17"/>
          <w:b w:val="1"/>
          <w:bCs w:val="1"/>
          <w:color w:val="auto"/>
        </w:rPr>
        <w:t>Force Majeure Event</w:t>
      </w:r>
      <w:r>
        <w:rPr>
          <w:rFonts w:ascii="Times New Roman" w:cs="Times New Roman" w:eastAsia="Times New Roman" w:hAnsi="Times New Roman"/>
          <w:sz w:val="17"/>
          <w:szCs w:val="17"/>
          <w:color w:val="auto"/>
        </w:rPr>
        <w:t>”). The non-performing Party will notify the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Party of such Force Majeure Event within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after such occurrence by giving notice to the other Party stating the nature of the Force Majeure Event, its anticipated duration and any action being taken to avoid or minimize its effect. The suspension of performance will be of no greater scope and no longer duration than is necessary. The non-performing Party will use commercially reasonable efforts to avoid or remove such Force Majeure Event, to mitigate the effect of such Force Majeure Event and to otherwise remedy its inability to perform. The non- performing Party will continue performance in accordance with the terms of this Agreement whenever such causes are removed. When such circumstances arise, the Parties will negotiate in good faith any modifications of the terms of this Agreement that may be necessary or appropriate in order to arrive at an equitable solution.</w:t>
      </w:r>
    </w:p>
    <w:p>
      <w:pPr>
        <w:spacing w:after="0" w:line="39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Except as provided in this Section 14.4 (Assignment), this Agreement may not be assigned or transferred, whether by operation of law or otherwise, nor may any right or obligation hereunder be assigned or transferred, by either Party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 provision in this Agreement to the contrary, either Party may, without such consent, assign this Agreement and its rights and obligations hereunder in whole or in part: (a) to its successor in interest in the transfer or sale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1" w:right="479" w:bottom="1440" w:gutter="0" w:footer="0" w:header="0"/>
        </w:sectPr>
      </w:pPr>
    </w:p>
    <w:bookmarkStart w:id="615" w:name="page616"/>
    <w:bookmarkEnd w:id="615"/>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or substantially all of its assets or business to which this Agreement relates; or (b) to its successor in interest in a merger or consolidation (or similar transaction) of the assigning Party. Any attempted assignment not in accordance with this Section 14.4 (Assignment) will be void. In the event that a permitted assignment of this Agreement by a Party increases the tax liability of the other Party or any of its Affiliates over the amount of any Taxes that otherwise would have been payable in the absence of such assignment, the assigning Party will reimburse the other Party for the amount of such increased Tax liability.</w:t>
      </w:r>
    </w:p>
    <w:p>
      <w:pPr>
        <w:spacing w:after="0" w:line="183"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Waivers and Modifications</w:t>
      </w:r>
      <w:r>
        <w:rPr>
          <w:rFonts w:ascii="Times New Roman" w:cs="Times New Roman" w:eastAsia="Times New Roman" w:hAnsi="Times New Roman"/>
          <w:sz w:val="18"/>
          <w:szCs w:val="18"/>
          <w:color w:val="auto"/>
        </w:rPr>
        <w:t>. The failure of any Party to insist on the performance of any obligation hereunder will not be deemed to be a waiver of such obligation. Waiver of any breach of any provision hereof will not be deemed to be a waiver of any other breach of such provision or any other provision on such occasion or any succeeding occasion. No waiver, modification, release or amendment of any obligation under or provision of this Agreement will be valid or effective unless in writing and signed by the Parties.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Choice of Law; Dispute Resolution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14.6.1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and any Dispute arising from the performance or breach hereof will be governed by and interpreted in accordance with the laws of the State of New York, without giving effect to any choice of law rules. The provisions of the United Nations Convention on Contracts for the International Sale of Goods will not apply to this Agreement or any subject matter hereof.</w:t>
      </w:r>
    </w:p>
    <w:p>
      <w:pPr>
        <w:spacing w:after="0" w:line="64" w:lineRule="exact"/>
        <w:rPr>
          <w:sz w:val="20"/>
          <w:szCs w:val="20"/>
          <w:color w:val="auto"/>
        </w:rPr>
      </w:pPr>
    </w:p>
    <w:p>
      <w:pPr>
        <w:ind w:left="4" w:right="20" w:firstLine="991"/>
        <w:spacing w:after="0" w:line="262" w:lineRule="auto"/>
        <w:rPr>
          <w:sz w:val="20"/>
          <w:szCs w:val="20"/>
          <w:color w:val="auto"/>
        </w:rPr>
      </w:pPr>
      <w:r>
        <w:rPr>
          <w:rFonts w:ascii="Times New Roman" w:cs="Times New Roman" w:eastAsia="Times New Roman" w:hAnsi="Times New Roman"/>
          <w:sz w:val="18"/>
          <w:szCs w:val="18"/>
          <w:color w:val="auto"/>
        </w:rPr>
        <w:t xml:space="preserve">14.6.2 </w:t>
      </w:r>
      <w:r>
        <w:rPr>
          <w:rFonts w:ascii="Times New Roman" w:cs="Times New Roman" w:eastAsia="Times New Roman" w:hAnsi="Times New Roman"/>
          <w:sz w:val="18"/>
          <w:szCs w:val="18"/>
          <w:u w:val="single" w:color="auto"/>
          <w:color w:val="auto"/>
        </w:rPr>
        <w:t>Dispute Escalation</w:t>
      </w:r>
      <w:r>
        <w:rPr>
          <w:rFonts w:ascii="Times New Roman" w:cs="Times New Roman" w:eastAsia="Times New Roman" w:hAnsi="Times New Roman"/>
          <w:sz w:val="18"/>
          <w:szCs w:val="18"/>
          <w:color w:val="auto"/>
        </w:rPr>
        <w:t>. In the event of an unresolved matter, dispute or issue relating to this Agreement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the Alliance Manager of the Party claiming that such Dispute exists will give notice in writing (a “</w:t>
      </w:r>
      <w:r>
        <w:rPr>
          <w:rFonts w:ascii="Times New Roman" w:cs="Times New Roman" w:eastAsia="Times New Roman" w:hAnsi="Times New Roman"/>
          <w:sz w:val="18"/>
          <w:szCs w:val="18"/>
          <w:b w:val="1"/>
          <w:bCs w:val="1"/>
          <w:color w:val="auto"/>
        </w:rPr>
        <w:t>Notice of Dispute</w:t>
      </w:r>
      <w:r>
        <w:rPr>
          <w:rFonts w:ascii="Times New Roman" w:cs="Times New Roman" w:eastAsia="Times New Roman" w:hAnsi="Times New Roman"/>
          <w:sz w:val="18"/>
          <w:szCs w:val="18"/>
          <w:color w:val="auto"/>
        </w:rPr>
        <w:t xml:space="preserve">”) to the other Party of the nature of the Dispute.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receipt of a Notice of Dispute, the Executive Officers will meet (including via teleconference) at a mutually agreed upon time and location for discussion and resolution.</w:t>
      </w:r>
    </w:p>
    <w:p>
      <w:pPr>
        <w:spacing w:after="0" w:line="72" w:lineRule="exact"/>
        <w:rPr>
          <w:sz w:val="20"/>
          <w:szCs w:val="20"/>
          <w:color w:val="auto"/>
        </w:rPr>
      </w:pPr>
    </w:p>
    <w:p>
      <w:pPr>
        <w:ind w:left="4" w:right="240" w:firstLine="991"/>
        <w:spacing w:after="0" w:line="277" w:lineRule="auto"/>
        <w:rPr>
          <w:sz w:val="20"/>
          <w:szCs w:val="20"/>
          <w:color w:val="auto"/>
        </w:rPr>
      </w:pPr>
      <w:r>
        <w:rPr>
          <w:rFonts w:ascii="Times New Roman" w:cs="Times New Roman" w:eastAsia="Times New Roman" w:hAnsi="Times New Roman"/>
          <w:sz w:val="17"/>
          <w:szCs w:val="17"/>
          <w:color w:val="auto"/>
        </w:rPr>
        <w:t xml:space="preserve">14.6.3 </w:t>
      </w:r>
      <w:r>
        <w:rPr>
          <w:rFonts w:ascii="Times New Roman" w:cs="Times New Roman" w:eastAsia="Times New Roman" w:hAnsi="Times New Roman"/>
          <w:sz w:val="17"/>
          <w:szCs w:val="17"/>
          <w:u w:val="single" w:color="auto"/>
          <w:color w:val="auto"/>
        </w:rPr>
        <w:t>Binding Arbitration</w:t>
      </w:r>
      <w:r>
        <w:rPr>
          <w:rFonts w:ascii="Times New Roman" w:cs="Times New Roman" w:eastAsia="Times New Roman" w:hAnsi="Times New Roman"/>
          <w:sz w:val="17"/>
          <w:szCs w:val="17"/>
          <w:color w:val="auto"/>
        </w:rPr>
        <w:t>. Any Dispute unresolved under Section 14.6.2 (Dispute Escalation) will exclusively be settled by binding arbitration administered by the Judicial Arbitration and Mediation Services (“</w:t>
      </w:r>
      <w:r>
        <w:rPr>
          <w:rFonts w:ascii="Times New Roman" w:cs="Times New Roman" w:eastAsia="Times New Roman" w:hAnsi="Times New Roman"/>
          <w:sz w:val="17"/>
          <w:szCs w:val="17"/>
          <w:b w:val="1"/>
          <w:bCs w:val="1"/>
          <w:color w:val="auto"/>
        </w:rPr>
        <w:t>JAMS</w:t>
      </w:r>
      <w:r>
        <w:rPr>
          <w:rFonts w:ascii="Times New Roman" w:cs="Times New Roman" w:eastAsia="Times New Roman" w:hAnsi="Times New Roman"/>
          <w:sz w:val="17"/>
          <w:szCs w:val="17"/>
          <w:color w:val="auto"/>
        </w:rPr>
        <w:t>”) (or any successor entity thereto) and in accordance with the Comprehensive Arbitration Rules and Procedures then in effect and the Expedited Procedures contained therein, as modified in this paragraph (the “</w:t>
      </w:r>
      <w:r>
        <w:rPr>
          <w:rFonts w:ascii="Times New Roman" w:cs="Times New Roman" w:eastAsia="Times New Roman" w:hAnsi="Times New Roman"/>
          <w:sz w:val="17"/>
          <w:szCs w:val="17"/>
          <w:b w:val="1"/>
          <w:bCs w:val="1"/>
          <w:color w:val="auto"/>
        </w:rPr>
        <w:t>Rules</w:t>
      </w:r>
      <w:r>
        <w:rPr>
          <w:rFonts w:ascii="Times New Roman" w:cs="Times New Roman" w:eastAsia="Times New Roman" w:hAnsi="Times New Roman"/>
          <w:sz w:val="17"/>
          <w:szCs w:val="17"/>
          <w:color w:val="auto"/>
        </w:rPr>
        <w:t>”), except to the extent such Rules are inconsistent with this Section 14.6.3 (Binding Arbitration) in which case, this Section 14.6.3 (Binding Arbitration) will control (including with regard to any limitations of liability or forms of relief). Pursuant to this Section 14.6.3 (Binding Arbitration):</w:t>
      </w:r>
    </w:p>
    <w:p>
      <w:pPr>
        <w:spacing w:after="0" w:line="60" w:lineRule="exact"/>
        <w:rPr>
          <w:sz w:val="20"/>
          <w:szCs w:val="20"/>
          <w:color w:val="auto"/>
        </w:rPr>
      </w:pPr>
    </w:p>
    <w:p>
      <w:pPr>
        <w:ind w:left="4" w:right="60" w:firstLine="1428"/>
        <w:spacing w:after="0" w:line="253" w:lineRule="auto"/>
        <w:tabs>
          <w:tab w:leader="none" w:pos="1681" w:val="left"/>
        </w:tabs>
        <w:numPr>
          <w:ilvl w:val="1"/>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of a Notice of Dispute by a Party, the applicable Dispute will be resolved by final and binding arbitration before a single arbitrator mutually agreed by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Parties cannot agree on the selection of the arbitrator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date such Notice of Dispute is received, then the arbitrator will be chosen in accordance with JAMS Rule 15 (the “</w:t>
      </w:r>
      <w:r>
        <w:rPr>
          <w:rFonts w:ascii="Times New Roman" w:cs="Times New Roman" w:eastAsia="Times New Roman" w:hAnsi="Times New Roman"/>
          <w:sz w:val="18"/>
          <w:szCs w:val="18"/>
          <w:b w:val="1"/>
          <w:bCs w:val="1"/>
          <w:color w:val="auto"/>
        </w:rPr>
        <w:t>Arbitrator</w:t>
      </w:r>
      <w:r>
        <w:rPr>
          <w:rFonts w:ascii="Times New Roman" w:cs="Times New Roman" w:eastAsia="Times New Roman" w:hAnsi="Times New Roman"/>
          <w:sz w:val="18"/>
          <w:szCs w:val="18"/>
          <w:color w:val="auto"/>
        </w:rPr>
        <w:t>”). The Arbitrator (i) will not be from academia, (ii) will be a qualified attorney in private practice or a retired judge with experience in complex commercial disputes, (iii) will be professionally fluent in English, (iv) will have not less than 15 years of experience in the biotechnology or pharmaceutical industry, and (v), where practicable to identify suitable Arbitrators preferably also having, (A) subject matter expertise with respect to the matter subject to arbitration and</w:t>
      </w:r>
    </w:p>
    <w:p>
      <w:pPr>
        <w:spacing w:after="0" w:line="5" w:lineRule="exact"/>
        <w:rPr>
          <w:rFonts w:ascii="Times New Roman" w:cs="Times New Roman" w:eastAsia="Times New Roman" w:hAnsi="Times New Roman"/>
          <w:sz w:val="18"/>
          <w:szCs w:val="18"/>
          <w:color w:val="auto"/>
        </w:rPr>
      </w:pPr>
    </w:p>
    <w:p>
      <w:pPr>
        <w:ind w:left="4" w:right="440" w:hanging="4"/>
        <w:spacing w:after="0" w:line="260" w:lineRule="auto"/>
        <w:tabs>
          <w:tab w:leader="none" w:pos="289"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educational training and industry experience sufficient to demonstrate a reasonable level of scientific, financial, medical and industry knowledge relevant to the particular Dispute.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4"/>
          </w:cols>
          <w:pgMar w:left="436" w:top="270" w:right="459" w:bottom="1440" w:gutter="0" w:footer="0" w:header="0"/>
        </w:sectPr>
      </w:pPr>
    </w:p>
    <w:bookmarkStart w:id="616" w:name="page617"/>
    <w:bookmarkEnd w:id="616"/>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Discovery will be limited to document productions from five custodians per side, and no more than five depositions may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conducted per side.</w:t>
      </w:r>
    </w:p>
    <w:p>
      <w:pPr>
        <w:spacing w:after="0" w:line="99" w:lineRule="exact"/>
        <w:rPr>
          <w:sz w:val="20"/>
          <w:szCs w:val="20"/>
          <w:color w:val="auto"/>
        </w:rPr>
      </w:pPr>
    </w:p>
    <w:p>
      <w:pPr>
        <w:ind w:right="180" w:firstLine="1428"/>
        <w:spacing w:after="0" w:line="261" w:lineRule="auto"/>
        <w:tabs>
          <w:tab w:leader="none" w:pos="167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Rules will be modified to delete paragraph 16.2(e) of such procedures as in effect on the Effective Date, and the timelines will be modified to provide that: (i) the discovery cutoff for percipient discovery will not exceed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preliminary conference, (ii) the discovery cutoff for expert discovery will not exceed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preliminary conference and (iii) the hearing will commence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cutoff for expert discovery. These dates may be extended by the Arbitrator for good cause shown.</w:t>
      </w:r>
    </w:p>
    <w:p>
      <w:pPr>
        <w:spacing w:after="0" w:line="67" w:lineRule="exact"/>
        <w:rPr>
          <w:rFonts w:ascii="Times New Roman" w:cs="Times New Roman" w:eastAsia="Times New Roman" w:hAnsi="Times New Roman"/>
          <w:sz w:val="18"/>
          <w:szCs w:val="18"/>
          <w:color w:val="auto"/>
        </w:rPr>
      </w:pPr>
    </w:p>
    <w:p>
      <w:pPr>
        <w:ind w:right="140" w:firstLine="1428"/>
        <w:spacing w:after="0" w:line="257" w:lineRule="auto"/>
        <w:tabs>
          <w:tab w:leader="none" w:pos="168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Arbitrator will,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the conclusion of the hearing, issue a written award and statement of decision describing the material facts and the grounds for the conclusions on which the award is based, including the calculation of any damages awarded. The Arbitrator will be authorized to award compensatory damages, but will not be authorized to reform, modify or change this Agreement. The proceedings and decisions of the Arbitrator will be confidential, final and binding on the Parties, and judgment upon the award of the Arbitrator may be entered in any court having jurisdiction thereof. For clarity, neither Party will have any right to appeal the decisions of the Arbitrator, but for avoidance of doubt, the Parties retain the rights to seeks vacatur or challenge confirmation.</w:t>
      </w:r>
    </w:p>
    <w:p>
      <w:pPr>
        <w:spacing w:after="0" w:line="78" w:lineRule="exact"/>
        <w:rPr>
          <w:rFonts w:ascii="Times New Roman" w:cs="Times New Roman" w:eastAsia="Times New Roman" w:hAnsi="Times New Roman"/>
          <w:sz w:val="18"/>
          <w:szCs w:val="18"/>
          <w:color w:val="auto"/>
        </w:rPr>
      </w:pPr>
    </w:p>
    <w:p>
      <w:pPr>
        <w:jc w:val="both"/>
        <w:ind w:right="60" w:firstLine="1428"/>
        <w:spacing w:after="0" w:line="261" w:lineRule="auto"/>
        <w:tabs>
          <w:tab w:leader="none" w:pos="167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bear its own costs and expenses (including legal fees and expenses) relating to the arbitration proceeding, except that the fees of the Arbitrator and other related costs of the arbitration will be shared equally by the Parties, unless the Arbitrator determines that a Party has taken vexatious or bad faith positions, in which event the Arbitrator may make an award of all or any portion of expenses (including legal fees and expenses) incurred as a result thereof.</w:t>
      </w:r>
    </w:p>
    <w:p>
      <w:pPr>
        <w:spacing w:after="0" w:line="71" w:lineRule="exact"/>
        <w:rPr>
          <w:rFonts w:ascii="Times New Roman" w:cs="Times New Roman" w:eastAsia="Times New Roman" w:hAnsi="Times New Roman"/>
          <w:sz w:val="18"/>
          <w:szCs w:val="18"/>
          <w:color w:val="auto"/>
        </w:rPr>
      </w:pPr>
    </w:p>
    <w:p>
      <w:pPr>
        <w:ind w:right="80" w:firstLine="1428"/>
        <w:spacing w:after="0" w:line="266" w:lineRule="auto"/>
        <w:tabs>
          <w:tab w:leader="none" w:pos="165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will comply with, and the award will be limited by, any express provisions of this Agreement relating to damages or the limitation thereof. The Arbitrator will not have the power to award punitive damages under this Agreement regardless of whether any such damages are contained in a proposal, and such award is expressly prohibited.</w:t>
      </w:r>
    </w:p>
    <w:p>
      <w:pPr>
        <w:spacing w:after="0" w:line="67" w:lineRule="exact"/>
        <w:rPr>
          <w:rFonts w:ascii="Times New Roman" w:cs="Times New Roman" w:eastAsia="Times New Roman" w:hAnsi="Times New Roman"/>
          <w:sz w:val="18"/>
          <w:szCs w:val="18"/>
          <w:color w:val="auto"/>
        </w:rPr>
      </w:pPr>
    </w:p>
    <w:p>
      <w:pPr>
        <w:ind w:firstLine="1428"/>
        <w:spacing w:after="0" w:line="254" w:lineRule="auto"/>
        <w:tabs>
          <w:tab w:leader="none" w:pos="1687"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Parties otherwise agree in writing, during the period of time that any arbitration proceeding is pending under this Agreement: (i) the Parties will continue to comply with all those terms and provisions of this Agreement that are not the subject of the pending arbitration proceeding; (ii) in the event the arbitration proceeding concerns a potential material breach under Section 12.2 (Termination for Material Breach), the Cure Period will be stayed until the conclusion of the proceedings under this Section 14.6.3 (Binding Arbitration) and (iii) in the event that the subject of the Dispute relates to the exercise by a Party of a termination right hereunder, including in the case of a material breach of this Agreement, the effectiveness of such termination will be stayed until the conclusion of the proceedings under this Section 14.6.3 (Binding Arbitration). All arbitration proceedings and decisions of the Arbitrator under this Section 14.6.3 (Binding Arbitration) will be deemed Confidential Information of both Parties under Article 9 (Confidentiality).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1" w:right="479" w:bottom="1440" w:gutter="0" w:footer="0" w:header="0"/>
        </w:sectPr>
      </w:pPr>
    </w:p>
    <w:bookmarkStart w:id="617" w:name="page618"/>
    <w:bookmarkEnd w:id="617"/>
    <w:p>
      <w:pPr>
        <w:ind w:left="1680" w:hanging="252"/>
        <w:spacing w:after="0"/>
        <w:tabs>
          <w:tab w:leader="none" w:pos="16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arbitration proceedings will take place in New York, New York, in the English language.</w:t>
      </w:r>
    </w:p>
    <w:p>
      <w:pPr>
        <w:spacing w:after="0" w:line="117" w:lineRule="exact"/>
        <w:rPr>
          <w:rFonts w:ascii="Times New Roman" w:cs="Times New Roman" w:eastAsia="Times New Roman" w:hAnsi="Times New Roman"/>
          <w:sz w:val="18"/>
          <w:szCs w:val="18"/>
          <w:color w:val="auto"/>
        </w:rPr>
      </w:pPr>
    </w:p>
    <w:p>
      <w:pPr>
        <w:jc w:val="both"/>
        <w:ind w:right="20" w:firstLine="1428"/>
        <w:spacing w:after="0" w:line="289" w:lineRule="auto"/>
        <w:tabs>
          <w:tab w:leader="none" w:pos="1647"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Section 14.6.3 (Binding Arbitration) will preclude either Party from seeking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status quo pending the arbitration proceeding.</w:t>
      </w:r>
    </w:p>
    <w:p>
      <w:pPr>
        <w:spacing w:after="0" w:line="49" w:lineRule="exact"/>
        <w:rPr>
          <w:rFonts w:ascii="Times New Roman" w:cs="Times New Roman" w:eastAsia="Times New Roman" w:hAnsi="Times New Roman"/>
          <w:sz w:val="17"/>
          <w:szCs w:val="17"/>
          <w:color w:val="auto"/>
        </w:rPr>
      </w:pPr>
    </w:p>
    <w:p>
      <w:pPr>
        <w:ind w:right="340" w:firstLine="1428"/>
        <w:spacing w:after="0" w:line="282" w:lineRule="auto"/>
        <w:tabs>
          <w:tab w:leader="none" w:pos="1647"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Dispute regarding any payments owing under this Agreement, all undisputed amounts will be paid promptly when due and the balance, if any, promptly after resolution of the Dispute.</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14.6.4 </w:t>
      </w:r>
      <w:r>
        <w:rPr>
          <w:rFonts w:ascii="Times New Roman" w:cs="Times New Roman" w:eastAsia="Times New Roman" w:hAnsi="Times New Roman"/>
          <w:sz w:val="18"/>
          <w:szCs w:val="18"/>
          <w:u w:val="single" w:color="auto"/>
          <w:color w:val="auto"/>
        </w:rPr>
        <w:t>Equitable Relief; Cumulative Remedy</w:t>
      </w:r>
      <w:r>
        <w:rPr>
          <w:rFonts w:ascii="Times New Roman" w:cs="Times New Roman" w:eastAsia="Times New Roman" w:hAnsi="Times New Roman"/>
          <w:sz w:val="18"/>
          <w:szCs w:val="18"/>
          <w:color w:val="auto"/>
        </w:rPr>
        <w:t>. Notwithstanding any provision to the contrary herein, the Parties will be entitled to seek equitable relief, including injunction and specific performance, as a remedy for any breach of this Agreement. Such remedies will not be deemed to be the exclusive remedies for a breach of this Agreement but will be in addition to all other remedies available at law or in equity. The Parties further agree not to raise as a defense or objection to the request or granting of such relief that any breach of this Agreement is or would be compensable by an award of money damages. Except as expressly set forth in this Agreement, no remedy referred to in this Agreement is intended to be exclusive, but each will be cumulative and in addition to any other remedy referred to in this Agreement or otherwise available under Applicable Law.</w:t>
      </w:r>
    </w:p>
    <w:p>
      <w:pPr>
        <w:spacing w:after="0" w:line="18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Maze and Company are independent contractors under this Agreement. Nothing contained herein is intended or is to be construed so as to constitute either Party as a partner, agent or joint venturer of the other Party. Neither Maze nor Company, respectively, will have any express or implied right or authority to assume or create any obligations on behalf of or in the name of Maze and Company, respectively, or to bind Maze and Company, respectively, to any contract, agreement or undertaking with any Third Party.</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specified in this Agreement, each Party will bear its own costs and expenses incurred in connection with this Agreement and the transactions contemplated hereby.</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There are no express or implied Third Party beneficiaries hereunder. The provisions of this Agreement are for the exclusive benefit of the Parties, and no other Person will have any right or claim against any Party by reason of these provisions or be entitled to enforce any of these provisions against any Party, except for the indemnification rights (a) of the Maze Indemnitees pursuant to Section 11.1.1 (Indemnification by Company) and Section 11.2 (Procedure) and (b) of the Company Indemnitees pursuant to Section 11.1.2 (Indemnification by Maze) and Section 11.2 (Procedure).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618" w:name="page619"/>
    <w:bookmarkEnd w:id="618"/>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together with the attached Schedules, contains the entire agreement by the Parties with respect to the subject matter hereof and supersedes any prior express or implied agreements, understandings and representations, either oral or written, which may have related to the subject matter hereof in any way, including any and all term sheets relating to the transactions contemplated by this Agreement and exchanged between the Parties prior to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Agreement will not supersede the terms and provisions of that certain Mutual Confidentiality Agreement, dated January 18, 2024, between Company and Maze, applicable to any period prior to the Effective Date.</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with the same effect as if both Parties had signed the same document. All such counterparts will be deemed an original, will be construed together and will constitute one and the same instrument. Any such counterpart, to the extent delivered by means of facsimile by .pdf, .tif, .gif, .jpeg or similar attachment to electronic mail (any such delivery, an “</w:t>
      </w: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will be treated in all manner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Language; Translations</w:t>
      </w:r>
      <w:r>
        <w:rPr>
          <w:rFonts w:ascii="Times New Roman" w:cs="Times New Roman" w:eastAsia="Times New Roman" w:hAnsi="Times New Roman"/>
          <w:sz w:val="18"/>
          <w:szCs w:val="18"/>
          <w:color w:val="auto"/>
        </w:rPr>
        <w:t>. All communications and notices to be made or given by one Party to the other Party pursuant to this Agreement and any Dispute proceeding related to or arising hereunder, will be in the English language. If any data, information, documentation or other materials required to be delivered by a Party to the other Party under this Agreement are not already in English, then, together with the original form, such Party will provide to the other Party a full certified English translation of such data, information, documentation or other materials at such Party’s cost and expense. Each Party will provide any data, information, documentation or other materials required to be delivered by a Party to the other Party under this Agreement (a) in electronic format over secure systems that include adequate encryption safeguards to prevent unauthorized access and maintain data security or (b) in such other format as is requested by the other Party (including, if so requested, hard copies).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14.13.1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This Agreement has been diligently reviewed by and negotiated by and between the Parties, and in such negotiations each of the Parties has been represented by competent (in-house or external) counsel, and the final agreement contained herein, including the language whereby it has been expressed, represents the joint efforts of the Parties and their counsel. Accordingly, in interpreting this Agreement or any provision hereof, no presumption will apply against any Party as being responsible for the wording or drafting of this Agreement or any such provision, and ambiguities, if any, in this Agreement will not be construed against any Party, irrespective of which Party may be deemed to have authored the ambiguous provision.</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14.13.2 </w:t>
      </w:r>
      <w:r>
        <w:rPr>
          <w:rFonts w:ascii="Times New Roman" w:cs="Times New Roman" w:eastAsia="Times New Roman" w:hAnsi="Times New Roman"/>
          <w:sz w:val="18"/>
          <w:szCs w:val="18"/>
          <w:u w:val="single" w:color="auto"/>
          <w:color w:val="auto"/>
        </w:rPr>
        <w:t>Definitions; Interpretation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1428"/>
        <w:spacing w:after="0" w:line="282" w:lineRule="auto"/>
        <w:tabs>
          <w:tab w:leader="none" w:pos="1677"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the terms herein will apply equally to the singular and plural forms of the terms defined and, where a word or phrase is defined herein, each of its other grammatical forms will have a corresponding meaning.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1" w:right="459" w:bottom="1440" w:gutter="0" w:footer="0" w:header="0"/>
        </w:sectPr>
      </w:pPr>
    </w:p>
    <w:bookmarkStart w:id="619" w:name="page620"/>
    <w:bookmarkEnd w:id="619"/>
    <w:p>
      <w:pPr>
        <w:ind w:left="1660" w:hanging="252"/>
        <w:spacing w:after="0"/>
        <w:tabs>
          <w:tab w:leader="none" w:pos="166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the context may require, any pronoun will include the corresponding masculine, feminine and neuter forms.</w:t>
      </w:r>
    </w:p>
    <w:p>
      <w:pPr>
        <w:spacing w:after="0" w:line="117"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will be construed to have the same meaning and effect as the word “shall.”</w:t>
      </w:r>
    </w:p>
    <w:p>
      <w:pPr>
        <w:spacing w:after="0" w:line="117" w:lineRule="exact"/>
        <w:rPr>
          <w:rFonts w:ascii="Times New Roman" w:cs="Times New Roman" w:eastAsia="Times New Roman" w:hAnsi="Times New Roman"/>
          <w:sz w:val="18"/>
          <w:szCs w:val="18"/>
          <w:color w:val="auto"/>
        </w:rPr>
      </w:pPr>
    </w:p>
    <w:p>
      <w:pPr>
        <w:ind w:left="-20" w:right="420" w:firstLine="1428"/>
        <w:spacing w:after="0" w:line="282" w:lineRule="auto"/>
        <w:tabs>
          <w:tab w:leader="none" w:pos="166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“including,” “includes,” “include,” “for example,” and “e.g.,” and words of similar import, will be deemed to be followed by the words “without limitation.”</w:t>
      </w:r>
    </w:p>
    <w:p>
      <w:pPr>
        <w:spacing w:after="0" w:line="53"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“or” will be interpreted to mean “and/or,” unless the context requires otherwise.</w:t>
      </w:r>
    </w:p>
    <w:p>
      <w:pPr>
        <w:spacing w:after="0" w:line="117" w:lineRule="exact"/>
        <w:rPr>
          <w:rFonts w:ascii="Times New Roman" w:cs="Times New Roman" w:eastAsia="Times New Roman" w:hAnsi="Times New Roman"/>
          <w:sz w:val="18"/>
          <w:szCs w:val="18"/>
          <w:color w:val="auto"/>
        </w:rPr>
      </w:pPr>
    </w:p>
    <w:p>
      <w:pPr>
        <w:ind w:left="-20" w:right="100" w:firstLine="1428"/>
        <w:spacing w:after="0" w:line="282" w:lineRule="auto"/>
        <w:tabs>
          <w:tab w:leader="none" w:pos="163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“herewith,” and words of similar import, will, unless otherwise stated, be construed to refer to this Agreement as a whole and not to any particular provision of this Agreement.</w:t>
      </w:r>
    </w:p>
    <w:p>
      <w:pPr>
        <w:spacing w:after="0" w:line="53" w:lineRule="exact"/>
        <w:rPr>
          <w:rFonts w:ascii="Times New Roman" w:cs="Times New Roman" w:eastAsia="Times New Roman" w:hAnsi="Times New Roman"/>
          <w:sz w:val="18"/>
          <w:szCs w:val="18"/>
          <w:color w:val="auto"/>
        </w:rPr>
      </w:pPr>
    </w:p>
    <w:p>
      <w:pPr>
        <w:ind w:left="-20" w:right="520" w:firstLine="1428"/>
        <w:spacing w:after="0" w:line="266" w:lineRule="auto"/>
        <w:tabs>
          <w:tab w:leader="none" w:pos="166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requires otherwise or otherwise specifically provided: (i) all references herein to Articles, Sections or Schedules will be construed to refer to Articles, Sections or Schedules of this Agreement; and (ii) reference in any Section to any sub- clauses are references to such sub-clauses of such Section.</w:t>
      </w:r>
    </w:p>
    <w:p>
      <w:pPr>
        <w:spacing w:after="0" w:line="67" w:lineRule="exact"/>
        <w:rPr>
          <w:rFonts w:ascii="Times New Roman" w:cs="Times New Roman" w:eastAsia="Times New Roman" w:hAnsi="Times New Roman"/>
          <w:sz w:val="18"/>
          <w:szCs w:val="18"/>
          <w:color w:val="auto"/>
        </w:rPr>
      </w:pPr>
    </w:p>
    <w:p>
      <w:pPr>
        <w:ind w:left="-20" w:right="480" w:firstLine="1428"/>
        <w:spacing w:after="0" w:line="282" w:lineRule="auto"/>
        <w:tabs>
          <w:tab w:leader="none" w:pos="166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refers to a number of days, unless otherwise specified (including through references to Business Days), such number refers to calendar days.</w:t>
      </w:r>
    </w:p>
    <w:p>
      <w:pPr>
        <w:spacing w:after="0" w:line="53" w:lineRule="exact"/>
        <w:rPr>
          <w:rFonts w:ascii="Times New Roman" w:cs="Times New Roman" w:eastAsia="Times New Roman" w:hAnsi="Times New Roman"/>
          <w:sz w:val="18"/>
          <w:szCs w:val="18"/>
          <w:color w:val="auto"/>
        </w:rPr>
      </w:pPr>
    </w:p>
    <w:p>
      <w:pPr>
        <w:jc w:val="both"/>
        <w:ind w:left="-20" w:right="20" w:firstLine="1428"/>
        <w:spacing w:after="0" w:line="266" w:lineRule="auto"/>
        <w:tabs>
          <w:tab w:leader="none" w:pos="162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deadlines within which any payment is to be made or act is to be done within or following a specified time period after a date will be calculated by excluding the day, Business Day, month or year of such date, as applicable, and including the day, Business Day, month or year of the date on which the period ends.</w:t>
      </w:r>
    </w:p>
    <w:p>
      <w:pPr>
        <w:spacing w:after="0" w:line="67" w:lineRule="exact"/>
        <w:rPr>
          <w:rFonts w:ascii="Times New Roman" w:cs="Times New Roman" w:eastAsia="Times New Roman" w:hAnsi="Times New Roman"/>
          <w:sz w:val="18"/>
          <w:szCs w:val="18"/>
          <w:color w:val="auto"/>
        </w:rPr>
      </w:pPr>
    </w:p>
    <w:p>
      <w:pPr>
        <w:ind w:left="-20" w:firstLine="1428"/>
        <w:spacing w:after="0" w:line="282" w:lineRule="auto"/>
        <w:tabs>
          <w:tab w:leader="none" w:pos="162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payment to be made or action to be taken under this Agreement is required to be made or taken on a day other than a Business Day, such payment will be made or action taken on the next Business Day following such day to make such payment or do such act.</w:t>
      </w:r>
    </w:p>
    <w:p>
      <w:pPr>
        <w:spacing w:after="0" w:line="53" w:lineRule="exact"/>
        <w:rPr>
          <w:rFonts w:ascii="Times New Roman" w:cs="Times New Roman" w:eastAsia="Times New Roman" w:hAnsi="Times New Roman"/>
          <w:sz w:val="18"/>
          <w:szCs w:val="18"/>
          <w:color w:val="auto"/>
        </w:rPr>
      </w:pPr>
    </w:p>
    <w:p>
      <w:pPr>
        <w:ind w:left="-20" w:right="120" w:firstLine="1428"/>
        <w:spacing w:after="0" w:line="282" w:lineRule="auto"/>
        <w:tabs>
          <w:tab w:leader="none" w:pos="166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“notice” means notice in writing (whether or not specifically stated) and will include notices, consents, approvals and other written communications contemplated under this Agreement.</w:t>
      </w:r>
    </w:p>
    <w:p>
      <w:pPr>
        <w:spacing w:after="0" w:line="53" w:lineRule="exact"/>
        <w:rPr>
          <w:rFonts w:ascii="Times New Roman" w:cs="Times New Roman" w:eastAsia="Times New Roman" w:hAnsi="Times New Roman"/>
          <w:sz w:val="18"/>
          <w:szCs w:val="18"/>
          <w:color w:val="auto"/>
        </w:rPr>
      </w:pPr>
    </w:p>
    <w:p>
      <w:pPr>
        <w:jc w:val="both"/>
        <w:ind w:left="-20" w:right="40" w:firstLine="1428"/>
        <w:spacing w:after="0" w:line="266" w:lineRule="auto"/>
        <w:tabs>
          <w:tab w:leader="none" w:pos="162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that require that a Party, the Parties or any committee hereunder “agree,” “consent,” “approve,” or the like will require that such agreement, consent, or approval be specific and in writing, whether by written agreement, letter, approved minutes or otherwise (but excluding e-mail and instant messaging).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60" w:top="270" w:right="459" w:bottom="1440" w:gutter="0" w:footer="0" w:header="0"/>
        </w:sectPr>
      </w:pPr>
    </w:p>
    <w:bookmarkStart w:id="620" w:name="page621"/>
    <w:bookmarkEnd w:id="620"/>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14.13.3 </w:t>
      </w:r>
      <w:r>
        <w:rPr>
          <w:rFonts w:ascii="Times New Roman" w:cs="Times New Roman" w:eastAsia="Times New Roman" w:hAnsi="Times New Roman"/>
          <w:sz w:val="18"/>
          <w:szCs w:val="18"/>
          <w:u w:val="single" w:color="auto"/>
          <w:color w:val="auto"/>
        </w:rPr>
        <w:t>Subsequent Events</w:t>
      </w:r>
      <w:r>
        <w:rPr>
          <w:rFonts w:ascii="Times New Roman" w:cs="Times New Roman" w:eastAsia="Times New Roman" w:hAnsi="Times New Roman"/>
          <w:sz w:val="18"/>
          <w:szCs w:val="18"/>
          <w:color w:val="auto"/>
        </w:rPr>
        <w:t>. Unless the context requires otherwise: (a)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(b) any reference to any Applicable Law herein will be construed as referring to such Applicable Law as from time to time enacted, repealed or amended; and (c) subject to Section 14.4 (Assignment), any reference herein to any Person will be construed to include the Person’s successors and assigns.</w:t>
      </w:r>
    </w:p>
    <w:p>
      <w:pPr>
        <w:spacing w:after="0" w:line="75"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14.13.4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captions and the table of contents are for convenience only and will not be used in the interpretation or construction of this Agreement.</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14.13.5 </w:t>
      </w:r>
      <w:r>
        <w:rPr>
          <w:rFonts w:ascii="Times New Roman" w:cs="Times New Roman" w:eastAsia="Times New Roman" w:hAnsi="Times New Roman"/>
          <w:sz w:val="18"/>
          <w:szCs w:val="18"/>
          <w:u w:val="single" w:color="auto"/>
          <w:color w:val="auto"/>
        </w:rPr>
        <w:t>Prior Drafts</w:t>
      </w:r>
      <w:r>
        <w:rPr>
          <w:rFonts w:ascii="Times New Roman" w:cs="Times New Roman" w:eastAsia="Times New Roman" w:hAnsi="Times New Roman"/>
          <w:sz w:val="18"/>
          <w:szCs w:val="18"/>
          <w:color w:val="auto"/>
        </w:rPr>
        <w:t>. No prior draft of this Agreement will be used in the interpretation or construction of this Agreement.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14.13.6 </w:t>
      </w:r>
      <w:r>
        <w:rPr>
          <w:rFonts w:ascii="Times New Roman" w:cs="Times New Roman" w:eastAsia="Times New Roman" w:hAnsi="Times New Roman"/>
          <w:sz w:val="18"/>
          <w:szCs w:val="18"/>
          <w:u w:val="single" w:color="auto"/>
          <w:color w:val="auto"/>
        </w:rPr>
        <w:t>Independent Significance</w:t>
      </w:r>
      <w:r>
        <w:rPr>
          <w:rFonts w:ascii="Times New Roman" w:cs="Times New Roman" w:eastAsia="Times New Roman" w:hAnsi="Times New Roman"/>
          <w:sz w:val="18"/>
          <w:szCs w:val="18"/>
          <w:color w:val="auto"/>
        </w:rPr>
        <w:t>. Although the same or similar subject matter may be addressed in different provisions of this Agreement, the Parties intend that, except as reasonably apparent on the face of this Agreement or as expressly provided in this Agreement, each such provision will be read separately, be given independent significance and not be construed as limiting any other provision of this Agreement (whether or not more general or more specific in scope, substance or content).</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will execute, acknowledge and deliver such further instruments, and do all such other ministerial, administrative or similar acts, as may be reasonably necessary or appropriate in order to carry out the expressly stated purposes and the clear intent of this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1" w:right="459" w:bottom="1440" w:gutter="0" w:footer="0" w:header="0"/>
        </w:sectPr>
      </w:pPr>
    </w:p>
    <w:bookmarkStart w:id="621" w:name="page622"/>
    <w:bookmarkEnd w:id="621"/>
    <w:p>
      <w:pPr>
        <w:ind w:left="96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23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and intending to be legally bound hereby, the Parties have caused this Agreement to be executed by their respective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officers as of the Execution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MAZE THERAPEUTICS, INC.</w:t>
            </w:r>
          </w:p>
        </w:tc>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Shionogi &amp; Co., Ltd.</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 /s/ Jason Coloma</w:t>
            </w:r>
          </w:p>
        </w:tc>
        <w:tc>
          <w:tcPr>
            <w:tcW w:w="6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 /s/ Isao Teshirogi, Ph.D.</w:t>
            </w:r>
          </w:p>
        </w:tc>
      </w:tr>
      <w:tr>
        <w:trPr>
          <w:trHeight w:val="205"/>
        </w:trPr>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Jason Coloma</w:t>
            </w:r>
          </w:p>
        </w:tc>
        <w:tc>
          <w:tcPr>
            <w:tcW w:w="1200" w:type="dxa"/>
            <w:vAlign w:val="bottom"/>
          </w:tcPr>
          <w:p>
            <w:pPr>
              <w:spacing w:after="0"/>
              <w:rPr>
                <w:sz w:val="17"/>
                <w:szCs w:val="17"/>
                <w:color w:val="auto"/>
              </w:rPr>
            </w:pPr>
          </w:p>
        </w:tc>
        <w:tc>
          <w:tcPr>
            <w:tcW w:w="4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Isao Teshirogi, Ph.D.</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60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Title: Representative, Director, President and CEO</w:t>
            </w:r>
          </w:p>
        </w:tc>
      </w:tr>
    </w:tbl>
    <w:p>
      <w:pPr>
        <w:sectPr>
          <w:pgSz w:w="11900" w:h="16838" w:orient="portrait"/>
          <w:cols w:equalWidth="0" w:num="1">
            <w:col w:w="11020"/>
          </w:cols>
          <w:pgMar w:left="440" w:top="270" w:right="439" w:bottom="1440" w:gutter="0" w:footer="0" w:header="0"/>
        </w:sectPr>
      </w:pPr>
    </w:p>
    <w:bookmarkStart w:id="622" w:name="page623"/>
    <w:bookmarkEnd w:id="6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1.111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Licensed Know-How</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7" w:right="1440" w:bottom="1440" w:gutter="0" w:footer="0" w:header="0"/>
        </w:sectPr>
      </w:pPr>
    </w:p>
    <w:bookmarkStart w:id="623" w:name="page624"/>
    <w:bookmarkEnd w:id="6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1.112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Licensed Materials and Licensed Product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6" w:right="1440" w:bottom="1440" w:gutter="0" w:footer="0" w:header="0"/>
        </w:sectPr>
      </w:pPr>
    </w:p>
    <w:bookmarkStart w:id="624" w:name="page625"/>
    <w:bookmarkEnd w:id="6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1.113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Licensed Patents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7" w:right="1440" w:bottom="1440" w:gutter="0" w:footer="0" w:header="0"/>
        </w:sectPr>
      </w:pPr>
    </w:p>
    <w:bookmarkStart w:id="625" w:name="page626"/>
    <w:bookmarkEnd w:id="625"/>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1.140</w:t>
      </w:r>
    </w:p>
    <w:p>
      <w:pPr>
        <w:spacing w:after="0" w:line="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MZE001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10019"/>
          </w:cols>
          <w:pgMar w:left="440" w:top="266" w:right="1440" w:bottom="1440" w:gutter="0" w:footer="0" w:header="0"/>
        </w:sectPr>
      </w:pPr>
    </w:p>
    <w:bookmarkStart w:id="626" w:name="page627"/>
    <w:bookmarkEnd w:id="6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9.7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Press Release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267" w:right="1440" w:bottom="1440" w:gutter="0" w:footer="0" w:header="0"/>
        </w:sectPr>
      </w:pPr>
    </w:p>
    <w:bookmarkStart w:id="627" w:name="page628"/>
    <w:bookmarkEnd w:id="627"/>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13.2</w:t>
      </w:r>
    </w:p>
    <w:p>
      <w:pPr>
        <w:spacing w:after="0" w:line="225"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8"/>
          <w:szCs w:val="18"/>
          <w:b w:val="1"/>
          <w:bCs w:val="1"/>
          <w:color w:val="auto"/>
        </w:rPr>
        <w:t>HSR/Antitrust Filings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916F2D"/>
    <w:multiLevelType w:val="hybridMultilevel"/>
    <w:lvl w:ilvl="0">
      <w:lvlJc w:val="left"/>
      <w:lvlText w:val="(%1)"/>
      <w:numFmt w:val="decimal"/>
      <w:start w:val="1"/>
    </w:lvl>
  </w:abstractNum>
  <w:abstractNum w:abstractNumId="1">
    <w:nsid w:val="435D38D"/>
    <w:multiLevelType w:val="hybridMultilevel"/>
    <w:lvl w:ilvl="0">
      <w:lvlJc w:val="left"/>
      <w:lvlText w:val="•"/>
      <w:numFmt w:val="bullet"/>
      <w:start w:val="1"/>
    </w:lvl>
  </w:abstractNum>
  <w:abstractNum w:abstractNumId="2">
    <w:nsid w:val="822C0EF"/>
    <w:multiLevelType w:val="hybridMultilevel"/>
    <w:lvl w:ilvl="0">
      <w:lvlJc w:val="left"/>
      <w:lvlText w:val="•"/>
      <w:numFmt w:val="bullet"/>
      <w:start w:val="1"/>
    </w:lvl>
  </w:abstractNum>
  <w:abstractNum w:abstractNumId="3">
    <w:nsid w:val="57C5BB4F"/>
    <w:multiLevelType w:val="hybridMultilevel"/>
    <w:lvl w:ilvl="0">
      <w:lvlJc w:val="left"/>
      <w:lvlText w:val="•"/>
      <w:numFmt w:val="bullet"/>
      <w:start w:val="1"/>
    </w:lvl>
  </w:abstractNum>
  <w:abstractNum w:abstractNumId="4">
    <w:nsid w:val="1803D089"/>
    <w:multiLevelType w:val="hybridMultilevel"/>
    <w:lvl w:ilvl="0">
      <w:lvlJc w:val="left"/>
      <w:lvlText w:val="•"/>
      <w:numFmt w:val="bullet"/>
      <w:start w:val="1"/>
    </w:lvl>
  </w:abstractNum>
  <w:abstractNum w:abstractNumId="5">
    <w:nsid w:val="4F3A06D4"/>
    <w:multiLevelType w:val="hybridMultilevel"/>
    <w:lvl w:ilvl="0">
      <w:lvlJc w:val="left"/>
      <w:lvlText w:val="•"/>
      <w:numFmt w:val="bullet"/>
      <w:start w:val="1"/>
    </w:lvl>
  </w:abstractNum>
  <w:abstractNum w:abstractNumId="6">
    <w:nsid w:val="59A377B6"/>
    <w:multiLevelType w:val="hybridMultilevel"/>
    <w:lvl w:ilvl="0">
      <w:lvlJc w:val="left"/>
      <w:lvlText w:val="•"/>
      <w:numFmt w:val="bullet"/>
      <w:start w:val="1"/>
    </w:lvl>
  </w:abstractNum>
  <w:abstractNum w:abstractNumId="7">
    <w:nsid w:val="48AEB063"/>
    <w:multiLevelType w:val="hybridMultilevel"/>
    <w:lvl w:ilvl="0">
      <w:lvlJc w:val="left"/>
      <w:lvlText w:val="•"/>
      <w:numFmt w:val="bullet"/>
      <w:start w:val="1"/>
    </w:lvl>
  </w:abstractNum>
  <w:abstractNum w:abstractNumId="8">
    <w:nsid w:val="24E135"/>
    <w:multiLevelType w:val="hybridMultilevel"/>
    <w:lvl w:ilvl="0">
      <w:lvlJc w:val="left"/>
      <w:lvlText w:val="(%1)"/>
      <w:numFmt w:val="decimal"/>
      <w:start w:val="1"/>
    </w:lvl>
  </w:abstractNum>
  <w:abstractNum w:abstractNumId="9">
    <w:nsid w:val="BB13C1"/>
    <w:multiLevelType w:val="hybridMultilevel"/>
    <w:lvl w:ilvl="0">
      <w:lvlJc w:val="left"/>
      <w:lvlText w:val="•"/>
      <w:numFmt w:val="bullet"/>
      <w:start w:val="1"/>
    </w:lvl>
  </w:abstractNum>
  <w:abstractNum w:abstractNumId="10">
    <w:nsid w:val="271210C7"/>
    <w:multiLevelType w:val="hybridMultilevel"/>
    <w:lvl w:ilvl="0">
      <w:lvlJc w:val="left"/>
      <w:lvlText w:val="•"/>
      <w:numFmt w:val="bullet"/>
      <w:start w:val="1"/>
    </w:lvl>
  </w:abstractNum>
  <w:abstractNum w:abstractNumId="11">
    <w:nsid w:val="217B22E4"/>
    <w:multiLevelType w:val="hybridMultilevel"/>
    <w:lvl w:ilvl="0">
      <w:lvlJc w:val="left"/>
      <w:lvlText w:val="•"/>
      <w:numFmt w:val="bullet"/>
      <w:start w:val="1"/>
    </w:lvl>
  </w:abstractNum>
  <w:abstractNum w:abstractNumId="12">
    <w:nsid w:val="53E31A24"/>
    <w:multiLevelType w:val="hybridMultilevel"/>
    <w:lvl w:ilvl="0">
      <w:lvlJc w:val="left"/>
      <w:lvlText w:val="•"/>
      <w:numFmt w:val="bullet"/>
      <w:start w:val="1"/>
    </w:lvl>
  </w:abstractNum>
  <w:abstractNum w:abstractNumId="13">
    <w:nsid w:val="6DC45E83"/>
    <w:multiLevelType w:val="hybridMultilevel"/>
    <w:lvl w:ilvl="0">
      <w:lvlJc w:val="left"/>
      <w:lvlText w:val="•"/>
      <w:numFmt w:val="bullet"/>
      <w:start w:val="1"/>
    </w:lvl>
  </w:abstractNum>
  <w:abstractNum w:abstractNumId="14">
    <w:nsid w:val="17304A67"/>
    <w:multiLevelType w:val="hybridMultilevel"/>
    <w:lvl w:ilvl="0">
      <w:lvlJc w:val="left"/>
      <w:lvlText w:val="•"/>
      <w:numFmt w:val="bullet"/>
      <w:start w:val="1"/>
    </w:lvl>
  </w:abstractNum>
  <w:abstractNum w:abstractNumId="15">
    <w:nsid w:val="2BB180D8"/>
    <w:multiLevelType w:val="hybridMultilevel"/>
    <w:lvl w:ilvl="0">
      <w:lvlJc w:val="left"/>
      <w:lvlText w:val="•"/>
      <w:numFmt w:val="bullet"/>
      <w:start w:val="1"/>
    </w:lvl>
  </w:abstractNum>
  <w:abstractNum w:abstractNumId="16">
    <w:nsid w:val="556B69ED"/>
    <w:multiLevelType w:val="hybridMultilevel"/>
    <w:lvl w:ilvl="0">
      <w:lvlJc w:val="left"/>
      <w:lvlText w:val="•"/>
      <w:numFmt w:val="bullet"/>
      <w:start w:val="1"/>
    </w:lvl>
  </w:abstractNum>
  <w:abstractNum w:abstractNumId="17">
    <w:nsid w:val="70836196"/>
    <w:multiLevelType w:val="hybridMultilevel"/>
    <w:lvl w:ilvl="0">
      <w:lvlJc w:val="left"/>
      <w:lvlText w:val="•"/>
      <w:numFmt w:val="bullet"/>
      <w:start w:val="1"/>
    </w:lvl>
  </w:abstractNum>
  <w:abstractNum w:abstractNumId="18">
    <w:nsid w:val="539F7F12"/>
    <w:multiLevelType w:val="hybridMultilevel"/>
    <w:lvl w:ilvl="0">
      <w:lvlJc w:val="left"/>
      <w:lvlText w:val="•"/>
      <w:numFmt w:val="bullet"/>
      <w:start w:val="1"/>
    </w:lvl>
  </w:abstractNum>
  <w:abstractNum w:abstractNumId="19">
    <w:nsid w:val="2817E7EC"/>
    <w:multiLevelType w:val="hybridMultilevel"/>
    <w:lvl w:ilvl="0">
      <w:lvlJc w:val="left"/>
      <w:lvlText w:val="•"/>
      <w:numFmt w:val="bullet"/>
      <w:start w:val="1"/>
    </w:lvl>
  </w:abstractNum>
  <w:abstractNum w:abstractNumId="20">
    <w:nsid w:val="71482545"/>
    <w:multiLevelType w:val="hybridMultilevel"/>
    <w:lvl w:ilvl="0">
      <w:lvlJc w:val="left"/>
      <w:lvlText w:val="•"/>
      <w:numFmt w:val="bullet"/>
      <w:start w:val="1"/>
    </w:lvl>
  </w:abstractNum>
  <w:abstractNum w:abstractNumId="21">
    <w:nsid w:val="17D78639"/>
    <w:multiLevelType w:val="hybridMultilevel"/>
    <w:lvl w:ilvl="0">
      <w:lvlJc w:val="left"/>
      <w:lvlText w:val="•"/>
      <w:numFmt w:val="bullet"/>
      <w:start w:val="1"/>
    </w:lvl>
  </w:abstractNum>
  <w:abstractNum w:abstractNumId="22">
    <w:nsid w:val="141D2302"/>
    <w:multiLevelType w:val="hybridMultilevel"/>
    <w:lvl w:ilvl="0">
      <w:lvlJc w:val="left"/>
      <w:lvlText w:val="•"/>
      <w:numFmt w:val="bullet"/>
      <w:start w:val="1"/>
    </w:lvl>
  </w:abstractNum>
  <w:abstractNum w:abstractNumId="23">
    <w:nsid w:val="407168D8"/>
    <w:multiLevelType w:val="hybridMultilevel"/>
    <w:lvl w:ilvl="0">
      <w:lvlJc w:val="left"/>
      <w:lvlText w:val="•"/>
      <w:numFmt w:val="bullet"/>
      <w:start w:val="1"/>
    </w:lvl>
  </w:abstractNum>
  <w:abstractNum w:abstractNumId="24">
    <w:nsid w:val="6A1B45E5"/>
    <w:multiLevelType w:val="hybridMultilevel"/>
    <w:lvl w:ilvl="0">
      <w:lvlJc w:val="left"/>
      <w:lvlText w:val="•"/>
      <w:numFmt w:val="bullet"/>
      <w:start w:val="1"/>
    </w:lvl>
  </w:abstractNum>
  <w:abstractNum w:abstractNumId="25">
    <w:nsid w:val="567BD50A"/>
    <w:multiLevelType w:val="hybridMultilevel"/>
    <w:lvl w:ilvl="0">
      <w:lvlJc w:val="left"/>
      <w:lvlText w:val="•"/>
      <w:numFmt w:val="bullet"/>
      <w:start w:val="1"/>
    </w:lvl>
  </w:abstractNum>
  <w:abstractNum w:abstractNumId="26">
    <w:nsid w:val="73BBD7F8"/>
    <w:multiLevelType w:val="hybridMultilevel"/>
    <w:lvl w:ilvl="0">
      <w:lvlJc w:val="left"/>
      <w:lvlText w:val="•"/>
      <w:numFmt w:val="bullet"/>
      <w:start w:val="1"/>
    </w:lvl>
  </w:abstractNum>
  <w:abstractNum w:abstractNumId="27">
    <w:nsid w:val="1876589D"/>
    <w:multiLevelType w:val="hybridMultilevel"/>
    <w:lvl w:ilvl="0">
      <w:lvlJc w:val="left"/>
      <w:lvlText w:val="•"/>
      <w:numFmt w:val="bullet"/>
      <w:start w:val="1"/>
    </w:lvl>
  </w:abstractNum>
  <w:abstractNum w:abstractNumId="28">
    <w:nsid w:val="327FAC77"/>
    <w:multiLevelType w:val="hybridMultilevel"/>
    <w:lvl w:ilvl="0">
      <w:lvlJc w:val="left"/>
      <w:lvlText w:val="•"/>
      <w:numFmt w:val="bullet"/>
      <w:start w:val="1"/>
    </w:lvl>
  </w:abstractNum>
  <w:abstractNum w:abstractNumId="29">
    <w:nsid w:val="5A606509"/>
    <w:multiLevelType w:val="hybridMultilevel"/>
    <w:lvl w:ilvl="0">
      <w:lvlJc w:val="left"/>
      <w:lvlText w:val="•"/>
      <w:numFmt w:val="bullet"/>
      <w:start w:val="1"/>
    </w:lvl>
  </w:abstractNum>
  <w:abstractNum w:abstractNumId="30">
    <w:nsid w:val="6F38E6D1"/>
    <w:multiLevelType w:val="hybridMultilevel"/>
    <w:lvl w:ilvl="0">
      <w:lvlJc w:val="left"/>
      <w:lvlText w:val="•"/>
      <w:numFmt w:val="bullet"/>
      <w:start w:val="1"/>
    </w:lvl>
  </w:abstractNum>
  <w:abstractNum w:abstractNumId="31">
    <w:nsid w:val="46111BA5"/>
    <w:multiLevelType w:val="hybridMultilevel"/>
    <w:lvl w:ilvl="0">
      <w:lvlJc w:val="left"/>
      <w:lvlText w:val="•"/>
      <w:numFmt w:val="bullet"/>
      <w:start w:val="1"/>
    </w:lvl>
  </w:abstractNum>
  <w:abstractNum w:abstractNumId="32">
    <w:nsid w:val="5E963896"/>
    <w:multiLevelType w:val="hybridMultilevel"/>
    <w:lvl w:ilvl="0">
      <w:lvlJc w:val="left"/>
      <w:lvlText w:val="•"/>
      <w:numFmt w:val="bullet"/>
      <w:start w:val="1"/>
    </w:lvl>
  </w:abstractNum>
  <w:abstractNum w:abstractNumId="33">
    <w:nsid w:val="775BA7C1"/>
    <w:multiLevelType w:val="hybridMultilevel"/>
    <w:lvl w:ilvl="0">
      <w:lvlJc w:val="left"/>
      <w:lvlText w:val="•"/>
      <w:numFmt w:val="bullet"/>
      <w:start w:val="1"/>
    </w:lvl>
  </w:abstractNum>
  <w:abstractNum w:abstractNumId="34">
    <w:nsid w:val="1DD6D6F4"/>
    <w:multiLevelType w:val="hybridMultilevel"/>
    <w:lvl w:ilvl="0">
      <w:lvlJc w:val="left"/>
      <w:lvlText w:val="•"/>
      <w:numFmt w:val="bullet"/>
      <w:start w:val="1"/>
    </w:lvl>
  </w:abstractNum>
  <w:abstractNum w:abstractNumId="35">
    <w:nsid w:val="769A091F"/>
    <w:multiLevelType w:val="hybridMultilevel"/>
    <w:lvl w:ilvl="0">
      <w:lvlJc w:val="left"/>
      <w:lvlText w:val="•"/>
      <w:numFmt w:val="bullet"/>
      <w:start w:val="1"/>
    </w:lvl>
  </w:abstractNum>
  <w:abstractNum w:abstractNumId="36">
    <w:nsid w:val="4695AE95"/>
    <w:multiLevelType w:val="hybridMultilevel"/>
    <w:lvl w:ilvl="0">
      <w:lvlJc w:val="left"/>
      <w:lvlText w:val="•"/>
      <w:numFmt w:val="bullet"/>
      <w:start w:val="1"/>
    </w:lvl>
  </w:abstractNum>
  <w:abstractNum w:abstractNumId="37">
    <w:nsid w:val="777A4EAA"/>
    <w:multiLevelType w:val="hybridMultilevel"/>
    <w:lvl w:ilvl="0">
      <w:lvlJc w:val="left"/>
      <w:lvlText w:val="•"/>
      <w:numFmt w:val="bullet"/>
      <w:start w:val="1"/>
    </w:lvl>
  </w:abstractNum>
  <w:abstractNum w:abstractNumId="38">
    <w:nsid w:val="3F48B982"/>
    <w:multiLevelType w:val="hybridMultilevel"/>
    <w:lvl w:ilvl="0">
      <w:lvlJc w:val="left"/>
      <w:lvlText w:val="•"/>
      <w:numFmt w:val="bullet"/>
      <w:start w:val="1"/>
    </w:lvl>
  </w:abstractNum>
  <w:abstractNum w:abstractNumId="39">
    <w:nsid w:val="46BA8FCA"/>
    <w:multiLevelType w:val="hybridMultilevel"/>
    <w:lvl w:ilvl="0">
      <w:lvlJc w:val="left"/>
      <w:lvlText w:val="•"/>
      <w:numFmt w:val="bullet"/>
      <w:start w:val="1"/>
    </w:lvl>
  </w:abstractNum>
  <w:abstractNum w:abstractNumId="40">
    <w:nsid w:val="7835626C"/>
    <w:multiLevelType w:val="hybridMultilevel"/>
    <w:lvl w:ilvl="0">
      <w:lvlJc w:val="left"/>
      <w:lvlText w:val="•"/>
      <w:numFmt w:val="bullet"/>
      <w:start w:val="1"/>
    </w:lvl>
  </w:abstractNum>
  <w:abstractNum w:abstractNumId="41">
    <w:nsid w:val="665ACA49"/>
    <w:multiLevelType w:val="hybridMultilevel"/>
    <w:lvl w:ilvl="0">
      <w:lvlJc w:val="left"/>
      <w:lvlText w:val="•"/>
      <w:numFmt w:val="bullet"/>
      <w:start w:val="1"/>
    </w:lvl>
  </w:abstractNum>
  <w:abstractNum w:abstractNumId="42">
    <w:nsid w:val="6835B2AE"/>
    <w:multiLevelType w:val="hybridMultilevel"/>
    <w:lvl w:ilvl="0">
      <w:lvlJc w:val="left"/>
      <w:lvlText w:val="•"/>
      <w:numFmt w:val="bullet"/>
      <w:start w:val="1"/>
    </w:lvl>
  </w:abstractNum>
  <w:abstractNum w:abstractNumId="43">
    <w:nsid w:val="4C187C90"/>
    <w:multiLevelType w:val="hybridMultilevel"/>
    <w:lvl w:ilvl="0">
      <w:lvlJc w:val="left"/>
      <w:lvlText w:val="•"/>
      <w:numFmt w:val="bullet"/>
      <w:start w:val="1"/>
    </w:lvl>
  </w:abstractNum>
  <w:abstractNum w:abstractNumId="44">
    <w:nsid w:val="541F28CD"/>
    <w:multiLevelType w:val="hybridMultilevel"/>
    <w:lvl w:ilvl="0">
      <w:lvlJc w:val="left"/>
      <w:lvlText w:val="•"/>
      <w:numFmt w:val="bullet"/>
      <w:start w:val="1"/>
    </w:lvl>
  </w:abstractNum>
  <w:abstractNum w:abstractNumId="45">
    <w:nsid w:val="7F65FD16"/>
    <w:multiLevelType w:val="hybridMultilevel"/>
    <w:lvl w:ilvl="0">
      <w:lvlJc w:val="left"/>
      <w:lvlText w:val="•"/>
      <w:numFmt w:val="bullet"/>
      <w:start w:val="1"/>
    </w:lvl>
  </w:abstractNum>
  <w:abstractNum w:abstractNumId="46">
    <w:nsid w:val="77C9FD68"/>
    <w:multiLevelType w:val="hybridMultilevel"/>
    <w:lvl w:ilvl="0">
      <w:lvlJc w:val="left"/>
      <w:lvlText w:val="•"/>
      <w:numFmt w:val="bullet"/>
      <w:start w:val="1"/>
    </w:lvl>
  </w:abstractNum>
  <w:abstractNum w:abstractNumId="47">
    <w:nsid w:val="298A92BA"/>
    <w:multiLevelType w:val="hybridMultilevel"/>
    <w:lvl w:ilvl="0">
      <w:lvlJc w:val="left"/>
      <w:lvlText w:val="•"/>
      <w:numFmt w:val="bullet"/>
      <w:start w:val="1"/>
    </w:lvl>
  </w:abstractNum>
  <w:abstractNum w:abstractNumId="48">
    <w:nsid w:val="6FE95EAC"/>
    <w:multiLevelType w:val="hybridMultilevel"/>
    <w:lvl w:ilvl="0">
      <w:lvlJc w:val="left"/>
      <w:lvlText w:val="•"/>
      <w:numFmt w:val="bullet"/>
      <w:start w:val="1"/>
    </w:lvl>
  </w:abstractNum>
  <w:abstractNum w:abstractNumId="49">
    <w:nsid w:val="4B697C7A"/>
    <w:multiLevelType w:val="hybridMultilevel"/>
    <w:lvl w:ilvl="0">
      <w:lvlJc w:val="left"/>
      <w:lvlText w:val="•"/>
      <w:numFmt w:val="bullet"/>
      <w:start w:val="1"/>
    </w:lvl>
  </w:abstractNum>
  <w:abstractNum w:abstractNumId="50">
    <w:nsid w:val="51A27AA6"/>
    <w:multiLevelType w:val="hybridMultilevel"/>
    <w:lvl w:ilvl="0">
      <w:lvlJc w:val="left"/>
      <w:lvlText w:val="(%1)"/>
      <w:numFmt w:val="lowerRoman"/>
      <w:start w:val="1"/>
    </w:lvl>
  </w:abstractNum>
  <w:abstractNum w:abstractNumId="51">
    <w:nsid w:val="613183F2"/>
    <w:multiLevelType w:val="hybridMultilevel"/>
    <w:lvl w:ilvl="0">
      <w:lvlJc w:val="left"/>
      <w:lvlText w:val="•"/>
      <w:numFmt w:val="bullet"/>
      <w:start w:val="1"/>
    </w:lvl>
  </w:abstractNum>
  <w:abstractNum w:abstractNumId="52">
    <w:nsid w:val="634102B4"/>
    <w:multiLevelType w:val="hybridMultilevel"/>
    <w:lvl w:ilvl="0">
      <w:lvlJc w:val="left"/>
      <w:lvlText w:val="•"/>
      <w:numFmt w:val="bullet"/>
      <w:start w:val="1"/>
    </w:lvl>
  </w:abstractNum>
  <w:abstractNum w:abstractNumId="53">
    <w:nsid w:val="65BF9DA8"/>
    <w:multiLevelType w:val="hybridMultilevel"/>
    <w:lvl w:ilvl="0">
      <w:lvlJc w:val="left"/>
      <w:lvlText w:val="•"/>
      <w:numFmt w:val="bullet"/>
      <w:start w:val="1"/>
    </w:lvl>
  </w:abstractNum>
  <w:abstractNum w:abstractNumId="54">
    <w:nsid w:val="21A2ECCA"/>
    <w:multiLevelType w:val="hybridMultilevel"/>
    <w:lvl w:ilvl="0">
      <w:lvlJc w:val="left"/>
      <w:lvlText w:val="•"/>
      <w:numFmt w:val="bullet"/>
      <w:start w:val="1"/>
    </w:lvl>
  </w:abstractNum>
  <w:abstractNum w:abstractNumId="55">
    <w:nsid w:val="4D5C4899"/>
    <w:multiLevelType w:val="hybridMultilevel"/>
    <w:lvl w:ilvl="0">
      <w:lvlJc w:val="left"/>
      <w:lvlText w:val="(%1)"/>
      <w:numFmt w:val="lowerRoman"/>
      <w:start w:val="2"/>
    </w:lvl>
  </w:abstractNum>
  <w:abstractNum w:abstractNumId="56">
    <w:nsid w:val="3C3B72B2"/>
    <w:multiLevelType w:val="hybridMultilevel"/>
    <w:lvl w:ilvl="0">
      <w:lvlJc w:val="left"/>
      <w:lvlText w:val="(%1)"/>
      <w:numFmt w:val="decimal"/>
      <w:start w:val="1"/>
    </w:lvl>
  </w:abstractNum>
  <w:abstractNum w:abstractNumId="57">
    <w:nsid w:val="155EC4C2"/>
    <w:multiLevelType w:val="hybridMultilevel"/>
    <w:lvl w:ilvl="0">
      <w:lvlJc w:val="left"/>
      <w:lvlText w:val="•"/>
      <w:numFmt w:val="bullet"/>
      <w:start w:val="1"/>
    </w:lvl>
  </w:abstractNum>
  <w:abstractNum w:abstractNumId="58">
    <w:nsid w:val="65D2A137"/>
    <w:multiLevelType w:val="hybridMultilevel"/>
    <w:lvl w:ilvl="0">
      <w:lvlJc w:val="left"/>
      <w:lvlText w:val="•"/>
      <w:numFmt w:val="bullet"/>
      <w:start w:val="1"/>
    </w:lvl>
  </w:abstractNum>
  <w:abstractNum w:abstractNumId="59">
    <w:nsid w:val="6EBB1F2A"/>
    <w:multiLevelType w:val="hybridMultilevel"/>
    <w:lvl w:ilvl="0">
      <w:lvlJc w:val="left"/>
      <w:lvlText w:val="•"/>
      <w:numFmt w:val="bullet"/>
      <w:start w:val="1"/>
    </w:lvl>
  </w:abstractNum>
  <w:abstractNum w:abstractNumId="60">
    <w:nsid w:val="6FBF29CB"/>
    <w:multiLevelType w:val="hybridMultilevel"/>
    <w:lvl w:ilvl="0">
      <w:lvlJc w:val="left"/>
      <w:lvlText w:val="•"/>
      <w:numFmt w:val="bullet"/>
      <w:start w:val="1"/>
    </w:lvl>
  </w:abstractNum>
  <w:abstractNum w:abstractNumId="61">
    <w:nsid w:val="550B8808"/>
    <w:multiLevelType w:val="hybridMultilevel"/>
    <w:lvl w:ilvl="0">
      <w:lvlJc w:val="left"/>
      <w:lvlText w:val="•"/>
      <w:numFmt w:val="bullet"/>
      <w:start w:val="1"/>
    </w:lvl>
  </w:abstractNum>
  <w:abstractNum w:abstractNumId="62">
    <w:nsid w:val="34CC3ACF"/>
    <w:multiLevelType w:val="hybridMultilevel"/>
    <w:lvl w:ilvl="0">
      <w:lvlJc w:val="left"/>
      <w:lvlText w:val="(%1)"/>
      <w:numFmt w:val="decimal"/>
      <w:start w:val="1"/>
    </w:lvl>
  </w:abstractNum>
  <w:abstractNum w:abstractNumId="63">
    <w:nsid w:val="4E556261"/>
    <w:multiLevelType w:val="hybridMultilevel"/>
    <w:lvl w:ilvl="0">
      <w:lvlJc w:val="left"/>
      <w:lvlText w:val="(%1)"/>
      <w:numFmt w:val="decimal"/>
      <w:start w:val="2"/>
    </w:lvl>
  </w:abstractNum>
  <w:abstractNum w:abstractNumId="64">
    <w:nsid w:val="4C672FC9"/>
    <w:multiLevelType w:val="hybridMultilevel"/>
    <w:lvl w:ilvl="0">
      <w:lvlJc w:val="left"/>
      <w:lvlText w:val="(%1)"/>
      <w:numFmt w:val="decimal"/>
      <w:start w:val="3"/>
    </w:lvl>
  </w:abstractNum>
  <w:abstractNum w:abstractNumId="65">
    <w:nsid w:val="52A311C3"/>
    <w:multiLevelType w:val="hybridMultilevel"/>
    <w:lvl w:ilvl="0">
      <w:lvlJc w:val="left"/>
      <w:lvlText w:val="•"/>
      <w:numFmt w:val="bullet"/>
      <w:start w:val="1"/>
    </w:lvl>
  </w:abstractNum>
  <w:abstractNum w:abstractNumId="66">
    <w:nsid w:val="44EF6B80"/>
    <w:multiLevelType w:val="hybridMultilevel"/>
    <w:lvl w:ilvl="0">
      <w:lvlJc w:val="left"/>
      <w:lvlText w:val="(%1)"/>
      <w:numFmt w:val="decimal"/>
      <w:start w:val="1"/>
    </w:lvl>
  </w:abstractNum>
  <w:abstractNum w:abstractNumId="67">
    <w:nsid w:val="12FCDE5E"/>
    <w:multiLevelType w:val="hybridMultilevel"/>
    <w:lvl w:ilvl="0">
      <w:lvlJc w:val="left"/>
      <w:lvlText w:val="(%1)"/>
      <w:numFmt w:val="decimal"/>
      <w:start w:val="1"/>
    </w:lvl>
  </w:abstractNum>
  <w:abstractNum w:abstractNumId="68">
    <w:nsid w:val="4A1D606E"/>
    <w:multiLevelType w:val="hybridMultilevel"/>
    <w:lvl w:ilvl="0">
      <w:lvlJc w:val="left"/>
      <w:lvlText w:val="(%1)"/>
      <w:numFmt w:val="lowerRoman"/>
      <w:start w:val="4"/>
    </w:lvl>
  </w:abstractNum>
  <w:abstractNum w:abstractNumId="69">
    <w:nsid w:val="4382503"/>
    <w:multiLevelType w:val="hybridMultilevel"/>
    <w:lvl w:ilvl="0">
      <w:lvlJc w:val="left"/>
      <w:lvlText w:val="(%1)"/>
      <w:numFmt w:val="lowerLetter"/>
      <w:start w:val="4"/>
    </w:lvl>
  </w:abstractNum>
  <w:abstractNum w:abstractNumId="70">
    <w:nsid w:val="59B76E28"/>
    <w:multiLevelType w:val="hybridMultilevel"/>
    <w:lvl w:ilvl="0">
      <w:lvlJc w:val="left"/>
      <w:lvlText w:val="•"/>
      <w:numFmt w:val="bullet"/>
      <w:start w:val="1"/>
    </w:lvl>
  </w:abstractNum>
  <w:abstractNum w:abstractNumId="71">
    <w:nsid w:val="4252C2DA"/>
    <w:multiLevelType w:val="hybridMultilevel"/>
    <w:lvl w:ilvl="0">
      <w:lvlJc w:val="left"/>
      <w:lvlText w:val="•"/>
      <w:numFmt w:val="bullet"/>
      <w:start w:val="1"/>
    </w:lvl>
  </w:abstractNum>
  <w:abstractNum w:abstractNumId="72">
    <w:nsid w:val="6A92EF4C"/>
    <w:multiLevelType w:val="hybridMultilevel"/>
    <w:lvl w:ilvl="0">
      <w:lvlJc w:val="left"/>
      <w:lvlText w:val="(%1)"/>
      <w:numFmt w:val="decimal"/>
      <w:start w:val="1"/>
    </w:lvl>
  </w:abstractNum>
  <w:abstractNum w:abstractNumId="73">
    <w:nsid w:val="41ED20D7"/>
    <w:multiLevelType w:val="hybridMultilevel"/>
    <w:lvl w:ilvl="0">
      <w:lvlJc w:val="left"/>
      <w:lvlText w:val="(%1)"/>
      <w:numFmt w:val="decimal"/>
      <w:start w:val="1"/>
    </w:lvl>
  </w:abstractNum>
  <w:abstractNum w:abstractNumId="74">
    <w:nsid w:val="E6B3F6A"/>
    <w:multiLevelType w:val="hybridMultilevel"/>
    <w:lvl w:ilvl="0">
      <w:lvlJc w:val="left"/>
      <w:lvlText w:val="(%1)"/>
      <w:numFmt w:val="decimal"/>
      <w:start w:val="1"/>
    </w:lvl>
  </w:abstractNum>
  <w:abstractNum w:abstractNumId="75">
    <w:nsid w:val="3EB21819"/>
    <w:multiLevelType w:val="hybridMultilevel"/>
    <w:lvl w:ilvl="0">
      <w:lvlJc w:val="left"/>
      <w:lvlText w:val="(%1)"/>
      <w:numFmt w:val="decimal"/>
      <w:start w:val="2"/>
    </w:lvl>
  </w:abstractNum>
  <w:abstractNum w:abstractNumId="76">
    <w:nsid w:val="41531DED"/>
    <w:multiLevelType w:val="hybridMultilevel"/>
    <w:lvl w:ilvl="0">
      <w:lvlJc w:val="left"/>
      <w:lvlText w:val="•"/>
      <w:numFmt w:val="bullet"/>
      <w:start w:val="1"/>
    </w:lvl>
  </w:abstractNum>
  <w:abstractNum w:abstractNumId="77">
    <w:nsid w:val="6353CD2"/>
    <w:multiLevelType w:val="hybridMultilevel"/>
    <w:lvl w:ilvl="0">
      <w:lvlJc w:val="left"/>
      <w:lvlText w:val="*"/>
      <w:numFmt w:val="bullet"/>
      <w:start w:val="1"/>
    </w:lvl>
  </w:abstractNum>
  <w:abstractNum w:abstractNumId="78">
    <w:nsid w:val="683CAAD3"/>
    <w:multiLevelType w:val="hybridMultilevel"/>
    <w:lvl w:ilvl="0">
      <w:lvlJc w:val="left"/>
      <w:lvlText w:val="(%1)"/>
      <w:numFmt w:val="decimal"/>
      <w:start w:val="6"/>
    </w:lvl>
  </w:abstractNum>
  <w:abstractNum w:abstractNumId="79">
    <w:nsid w:val="313C7C99"/>
    <w:multiLevelType w:val="hybridMultilevel"/>
    <w:lvl w:ilvl="0">
      <w:lvlJc w:val="left"/>
      <w:lvlText w:val="(%1)"/>
      <w:numFmt w:val="decimal"/>
      <w:start w:val="12"/>
    </w:lvl>
  </w:abstractNum>
  <w:abstractNum w:abstractNumId="80">
    <w:nsid w:val="519EB94C"/>
    <w:multiLevelType w:val="hybridMultilevel"/>
    <w:lvl w:ilvl="0">
      <w:lvlJc w:val="left"/>
      <w:lvlText w:val="•"/>
      <w:numFmt w:val="bullet"/>
      <w:start w:val="1"/>
    </w:lvl>
  </w:abstractNum>
  <w:abstractNum w:abstractNumId="81">
    <w:nsid w:val="39DF2579"/>
    <w:multiLevelType w:val="hybridMultilevel"/>
    <w:lvl w:ilvl="0">
      <w:lvlJc w:val="left"/>
      <w:lvlText w:val="•"/>
      <w:numFmt w:val="bullet"/>
      <w:start w:val="1"/>
    </w:lvl>
  </w:abstractNum>
  <w:abstractNum w:abstractNumId="82">
    <w:nsid w:val="126E008B"/>
    <w:multiLevelType w:val="hybridMultilevel"/>
    <w:lvl w:ilvl="0">
      <w:lvlJc w:val="left"/>
      <w:lvlText w:val="•"/>
      <w:numFmt w:val="bullet"/>
      <w:start w:val="1"/>
    </w:lvl>
  </w:abstractNum>
  <w:abstractNum w:abstractNumId="83">
    <w:nsid w:val="34DFBC00"/>
    <w:multiLevelType w:val="hybridMultilevel"/>
    <w:lvl w:ilvl="0">
      <w:lvlJc w:val="left"/>
      <w:lvlText w:val="•"/>
      <w:numFmt w:val="bullet"/>
      <w:start w:val="1"/>
    </w:lvl>
  </w:abstractNum>
  <w:abstractNum w:abstractNumId="84">
    <w:nsid w:val="1F9EC322"/>
    <w:multiLevelType w:val="hybridMultilevel"/>
    <w:lvl w:ilvl="0">
      <w:lvlJc w:val="left"/>
      <w:lvlText w:val="•"/>
      <w:numFmt w:val="bullet"/>
      <w:start w:val="1"/>
    </w:lvl>
  </w:abstractNum>
  <w:abstractNum w:abstractNumId="85">
    <w:nsid w:val="3410ED56"/>
    <w:multiLevelType w:val="hybridMultilevel"/>
    <w:lvl w:ilvl="0">
      <w:lvlJc w:val="left"/>
      <w:lvlText w:val="(%1)"/>
      <w:numFmt w:val="lowerLetter"/>
      <w:start w:val="2"/>
    </w:lvl>
  </w:abstractNum>
  <w:abstractNum w:abstractNumId="86">
    <w:nsid w:val="23C049A"/>
    <w:multiLevelType w:val="hybridMultilevel"/>
    <w:lvl w:ilvl="0">
      <w:lvlJc w:val="left"/>
      <w:lvlText w:val="•"/>
      <w:numFmt w:val="bullet"/>
      <w:start w:val="1"/>
    </w:lvl>
  </w:abstractNum>
  <w:abstractNum w:abstractNumId="87">
    <w:nsid w:val="5BDA35D4"/>
    <w:multiLevelType w:val="hybridMultilevel"/>
    <w:lvl w:ilvl="0">
      <w:lvlJc w:val="left"/>
      <w:lvlText w:val="•"/>
      <w:numFmt w:val="bullet"/>
      <w:start w:val="1"/>
    </w:lvl>
  </w:abstractNum>
  <w:abstractNum w:abstractNumId="88">
    <w:nsid w:val="496FB218"/>
    <w:multiLevelType w:val="hybridMultilevel"/>
    <w:lvl w:ilvl="0">
      <w:lvlJc w:val="left"/>
      <w:lvlText w:val="(%1)"/>
      <w:numFmt w:val="lowerLetter"/>
      <w:start w:val="1"/>
    </w:lvl>
  </w:abstractNum>
  <w:abstractNum w:abstractNumId="89">
    <w:nsid w:val="680EA5D1"/>
    <w:multiLevelType w:val="hybridMultilevel"/>
    <w:lvl w:ilvl="0">
      <w:lvlJc w:val="left"/>
      <w:lvlText w:val="(%1)"/>
      <w:numFmt w:val="lowerRoman"/>
      <w:start w:val="1"/>
    </w:lvl>
  </w:abstractNum>
  <w:abstractNum w:abstractNumId="90">
    <w:nsid w:val="4A9554FE"/>
    <w:multiLevelType w:val="hybridMultilevel"/>
    <w:lvl w:ilvl="0">
      <w:lvlJc w:val="left"/>
      <w:lvlText w:val="(%1)"/>
      <w:numFmt w:val="lowerRoman"/>
      <w:start w:val="1"/>
    </w:lvl>
  </w:abstractNum>
  <w:abstractNum w:abstractNumId="91">
    <w:nsid w:val="392EDBE4"/>
    <w:multiLevelType w:val="hybridMultilevel"/>
    <w:lvl w:ilvl="0">
      <w:lvlJc w:val="left"/>
      <w:lvlText w:val="(%1)"/>
      <w:numFmt w:val="lowerLetter"/>
      <w:start w:val="1"/>
    </w:lvl>
  </w:abstractNum>
  <w:abstractNum w:abstractNumId="92">
    <w:nsid w:val="3D1A2DD9"/>
    <w:multiLevelType w:val="hybridMultilevel"/>
    <w:lvl w:ilvl="0">
      <w:lvlJc w:val="left"/>
      <w:lvlText w:val="•"/>
      <w:numFmt w:val="bullet"/>
      <w:start w:val="1"/>
    </w:lvl>
  </w:abstractNum>
  <w:abstractNum w:abstractNumId="93">
    <w:nsid w:val="7F618FCD"/>
    <w:multiLevelType w:val="hybridMultilevel"/>
    <w:lvl w:ilvl="0">
      <w:lvlJc w:val="left"/>
      <w:lvlText w:val="(%1)"/>
      <w:numFmt w:val="lowerLetter"/>
      <w:start w:val="1"/>
    </w:lvl>
  </w:abstractNum>
  <w:abstractNum w:abstractNumId="94">
    <w:nsid w:val="7843E45"/>
    <w:multiLevelType w:val="hybridMultilevel"/>
    <w:lvl w:ilvl="0">
      <w:lvlJc w:val="left"/>
      <w:lvlText w:val="(%1)"/>
      <w:numFmt w:val="lowerLetter"/>
      <w:start w:val="1"/>
    </w:lvl>
  </w:abstractNum>
  <w:abstractNum w:abstractNumId="95">
    <w:nsid w:val="9815DA3"/>
    <w:multiLevelType w:val="hybridMultilevel"/>
    <w:lvl w:ilvl="0">
      <w:lvlJc w:val="left"/>
      <w:lvlText w:val="(%1)"/>
      <w:numFmt w:val="lowerRoman"/>
      <w:start w:val="1"/>
    </w:lvl>
  </w:abstractNum>
  <w:abstractNum w:abstractNumId="96">
    <w:nsid w:val="5204A191"/>
    <w:multiLevelType w:val="hybridMultilevel"/>
    <w:lvl w:ilvl="0">
      <w:lvlJc w:val="left"/>
      <w:lvlText w:val="(%1)"/>
      <w:numFmt w:val="lowerRoman"/>
      <w:start w:val="2"/>
    </w:lvl>
  </w:abstractNum>
  <w:abstractNum w:abstractNumId="97">
    <w:nsid w:val="4C73A9C6"/>
    <w:multiLevelType w:val="hybridMultilevel"/>
    <w:lvl w:ilvl="0">
      <w:lvlJc w:val="left"/>
      <w:lvlText w:val="\emdash "/>
      <w:numFmt w:val="bullet"/>
      <w:start w:val="1"/>
    </w:lvl>
  </w:abstractNum>
  <w:abstractNum w:abstractNumId="98">
    <w:nsid w:val="1C7E3C01"/>
    <w:multiLevelType w:val="hybridMultilevel"/>
    <w:lvl w:ilvl="0">
      <w:lvlJc w:val="left"/>
      <w:lvlText w:val="%1"/>
      <w:numFmt w:val="decimal"/>
      <w:start w:val="21"/>
    </w:lvl>
  </w:abstractNum>
  <w:abstractNum w:abstractNumId="99">
    <w:nsid w:val="1C2201FF"/>
    <w:multiLevelType w:val="hybridMultilevel"/>
    <w:lvl w:ilvl="0">
      <w:lvlJc w:val="left"/>
      <w:lvlText w:val="•"/>
      <w:numFmt w:val="bullet"/>
      <w:start w:val="1"/>
    </w:lvl>
  </w:abstractNum>
  <w:abstractNum w:abstractNumId="100">
    <w:nsid w:val="50ABCEC9"/>
    <w:multiLevelType w:val="hybridMultilevel"/>
    <w:lvl w:ilvl="0">
      <w:lvlJc w:val="left"/>
      <w:lvlText w:val="•"/>
      <w:numFmt w:val="bullet"/>
      <w:start w:val="1"/>
    </w:lvl>
  </w:abstractNum>
  <w:abstractNum w:abstractNumId="101">
    <w:nsid w:val="7635AA2A"/>
    <w:multiLevelType w:val="hybridMultilevel"/>
    <w:lvl w:ilvl="0">
      <w:lvlJc w:val="left"/>
      <w:lvlText w:val="(%1)"/>
      <w:numFmt w:val="decimal"/>
      <w:start w:val="1"/>
    </w:lvl>
  </w:abstractNum>
  <w:abstractNum w:abstractNumId="102">
    <w:nsid w:val="5E74C4D9"/>
    <w:multiLevelType w:val="hybridMultilevel"/>
    <w:lvl w:ilvl="0">
      <w:lvlJc w:val="left"/>
      <w:lvlText w:val="(%1)"/>
      <w:numFmt w:val="lowerRoman"/>
      <w:start w:val="4"/>
    </w:lvl>
  </w:abstractNum>
  <w:abstractNum w:abstractNumId="103">
    <w:nsid w:val="3B3EBE15"/>
    <w:multiLevelType w:val="hybridMultilevel"/>
    <w:lvl w:ilvl="0">
      <w:lvlJc w:val="left"/>
      <w:lvlText w:val="(%1)"/>
      <w:numFmt w:val="lowerRoman"/>
      <w:start w:val="6"/>
    </w:lvl>
  </w:abstractNum>
  <w:abstractNum w:abstractNumId="104">
    <w:nsid w:val="3822CB01"/>
    <w:multiLevelType w:val="hybridMultilevel"/>
    <w:lvl w:ilvl="0">
      <w:lvlJc w:val="left"/>
      <w:lvlText w:val="•"/>
      <w:numFmt w:val="bullet"/>
      <w:start w:val="1"/>
    </w:lvl>
  </w:abstractNum>
  <w:abstractNum w:abstractNumId="105">
    <w:nsid w:val="6CE00443"/>
    <w:multiLevelType w:val="hybridMultilevel"/>
    <w:lvl w:ilvl="0">
      <w:lvlJc w:val="left"/>
      <w:lvlText w:val="(%1)"/>
      <w:numFmt w:val="decimal"/>
      <w:start w:val="452"/>
    </w:lvl>
  </w:abstractNum>
  <w:abstractNum w:abstractNumId="106">
    <w:nsid w:val="79F0D62F"/>
    <w:multiLevelType w:val="hybridMultilevel"/>
    <w:lvl w:ilvl="0">
      <w:lvlJc w:val="left"/>
      <w:lvlText w:val="*"/>
      <w:numFmt w:val="bullet"/>
      <w:start w:val="1"/>
    </w:lvl>
  </w:abstractNum>
  <w:abstractNum w:abstractNumId="107">
    <w:nsid w:val="7975E8EE"/>
    <w:multiLevelType w:val="hybridMultilevel"/>
    <w:lvl w:ilvl="0">
      <w:lvlJc w:val="left"/>
      <w:lvlText w:val="•"/>
      <w:numFmt w:val="bullet"/>
      <w:start w:val="1"/>
    </w:lvl>
  </w:abstractNum>
  <w:abstractNum w:abstractNumId="108">
    <w:nsid w:val="73154115"/>
    <w:multiLevelType w:val="hybridMultilevel"/>
    <w:lvl w:ilvl="0">
      <w:lvlJc w:val="left"/>
      <w:lvlText w:val="•"/>
      <w:numFmt w:val="bullet"/>
      <w:start w:val="1"/>
    </w:lvl>
  </w:abstractNum>
  <w:abstractNum w:abstractNumId="109">
    <w:nsid w:val="622D8102"/>
    <w:multiLevelType w:val="hybridMultilevel"/>
    <w:lvl w:ilvl="0">
      <w:lvlJc w:val="left"/>
      <w:lvlText w:val="•"/>
      <w:numFmt w:val="bullet"/>
      <w:start w:val="1"/>
    </w:lvl>
  </w:abstractNum>
  <w:abstractNum w:abstractNumId="110">
    <w:nsid w:val="2AB26587"/>
    <w:multiLevelType w:val="hybridMultilevel"/>
    <w:lvl w:ilvl="0">
      <w:lvlJc w:val="left"/>
      <w:lvlText w:val="*"/>
      <w:numFmt w:val="bullet"/>
      <w:start w:val="1"/>
    </w:lvl>
  </w:abstractNum>
  <w:abstractNum w:abstractNumId="111">
    <w:nsid w:val="44B3FA61"/>
    <w:multiLevelType w:val="hybridMultilevel"/>
    <w:lvl w:ilvl="0">
      <w:lvlJc w:val="left"/>
      <w:lvlText w:val="†"/>
      <w:numFmt w:val="bullet"/>
      <w:start w:val="1"/>
    </w:lvl>
  </w:abstractNum>
  <w:abstractNum w:abstractNumId="112">
    <w:nsid w:val="1C0CA67C"/>
    <w:multiLevelType w:val="hybridMultilevel"/>
    <w:lvl w:ilvl="0">
      <w:lvlJc w:val="left"/>
      <w:lvlText w:val="^"/>
      <w:numFmt w:val="bullet"/>
      <w:start w:val="1"/>
    </w:lvl>
  </w:abstractNum>
  <w:abstractNum w:abstractNumId="113">
    <w:nsid w:val="3D206613"/>
    <w:multiLevelType w:val="hybridMultilevel"/>
    <w:lvl w:ilvl="0">
      <w:lvlJc w:val="left"/>
      <w:lvlText w:val="(%1)"/>
      <w:numFmt w:val="decimal"/>
      <w:start w:val="1"/>
    </w:lvl>
  </w:abstractNum>
  <w:abstractNum w:abstractNumId="114">
    <w:nsid w:val="7993B662"/>
    <w:multiLevelType w:val="hybridMultilevel"/>
    <w:lvl w:ilvl="0">
      <w:lvlJc w:val="left"/>
      <w:lvlText w:val="%1."/>
      <w:numFmt w:val="decimal"/>
      <w:start w:val="1"/>
    </w:lvl>
  </w:abstractNum>
  <w:abstractNum w:abstractNumId="115">
    <w:nsid w:val="3BAB699E"/>
    <w:multiLevelType w:val="hybridMultilevel"/>
    <w:lvl w:ilvl="0">
      <w:lvlJc w:val="left"/>
      <w:lvlText w:val="%1"/>
      <w:numFmt w:val="upperLetter"/>
      <w:start w:val="1"/>
    </w:lvl>
    <w:lvl w:ilvl="1">
      <w:lvlJc w:val="left"/>
      <w:lvlText w:val="%2."/>
      <w:numFmt w:val="decimal"/>
      <w:start w:val="1"/>
    </w:lvl>
  </w:abstractNum>
  <w:abstractNum w:abstractNumId="116">
    <w:nsid w:val="71315369"/>
    <w:multiLevelType w:val="hybridMultilevel"/>
    <w:lvl w:ilvl="0">
      <w:lvlJc w:val="left"/>
      <w:lvlText w:val="%1."/>
      <w:numFmt w:val="upperLetter"/>
      <w:start w:val="2"/>
    </w:lvl>
    <w:lvl w:ilvl="1">
      <w:lvlJc w:val="left"/>
      <w:lvlText w:val="%2"/>
      <w:numFmt w:val="decimal"/>
      <w:start w:val="1"/>
    </w:lvl>
  </w:abstractNum>
  <w:abstractNum w:abstractNumId="117">
    <w:nsid w:val="7BCFBAFC"/>
    <w:multiLevelType w:val="hybridMultilevel"/>
    <w:lvl w:ilvl="0">
      <w:lvlJc w:val="left"/>
      <w:lvlText w:val="%1."/>
      <w:numFmt w:val="decimal"/>
      <w:start w:val="1"/>
    </w:lvl>
  </w:abstractNum>
  <w:abstractNum w:abstractNumId="118">
    <w:nsid w:val="17859F72"/>
    <w:multiLevelType w:val="hybridMultilevel"/>
    <w:lvl w:ilvl="0">
      <w:lvlJc w:val="left"/>
      <w:lvlText w:val="%1."/>
      <w:numFmt w:val="decimal"/>
      <w:start w:val="2"/>
    </w:lvl>
  </w:abstractNum>
  <w:abstractNum w:abstractNumId="119">
    <w:nsid w:val="3AA10581"/>
    <w:multiLevelType w:val="hybridMultilevel"/>
    <w:lvl w:ilvl="0">
      <w:lvlJc w:val="left"/>
      <w:lvlText w:val="(%1)"/>
      <w:numFmt w:val="lowerLetter"/>
      <w:start w:val="1"/>
    </w:lvl>
    <w:lvl w:ilvl="1">
      <w:lvlJc w:val="left"/>
      <w:lvlText w:val="(%2)"/>
      <w:numFmt w:val="lowerRoman"/>
      <w:start w:val="1"/>
    </w:lvl>
  </w:abstractNum>
  <w:abstractNum w:abstractNumId="120">
    <w:nsid w:val="63DE60CD"/>
    <w:multiLevelType w:val="hybridMultilevel"/>
    <w:lvl w:ilvl="0">
      <w:lvlJc w:val="left"/>
      <w:lvlText w:val="%1"/>
      <w:numFmt w:val="lowerLetter"/>
      <w:start w:val="1"/>
    </w:lvl>
    <w:lvl w:ilvl="1">
      <w:lvlJc w:val="left"/>
      <w:lvlText w:val="(%2)"/>
      <w:numFmt w:val="lowerLetter"/>
      <w:start w:val="1"/>
    </w:lvl>
  </w:abstractNum>
  <w:abstractNum w:abstractNumId="121">
    <w:nsid w:val="621AF471"/>
    <w:multiLevelType w:val="hybridMultilevel"/>
    <w:lvl w:ilvl="0">
      <w:lvlJc w:val="left"/>
      <w:lvlText w:val="(%1)"/>
      <w:numFmt w:val="lowerLetter"/>
      <w:start w:val="9"/>
    </w:lvl>
    <w:lvl w:ilvl="1">
      <w:lvlJc w:val="left"/>
      <w:lvlText w:val="%2"/>
      <w:numFmt w:val="lowerLetter"/>
      <w:start w:val="1"/>
    </w:lvl>
  </w:abstractNum>
  <w:abstractNum w:abstractNumId="122">
    <w:nsid w:val="73CFE165"/>
    <w:multiLevelType w:val="hybridMultilevel"/>
    <w:lvl w:ilvl="0">
      <w:lvlJc w:val="left"/>
      <w:lvlText w:val="(%1)"/>
      <w:numFmt w:val="lowerLetter"/>
      <w:start w:val="3"/>
    </w:lvl>
    <w:lvl w:ilvl="1">
      <w:lvlJc w:val="left"/>
      <w:lvlText w:val="(%2)"/>
      <w:numFmt w:val="lowerRoman"/>
      <w:start w:val="1"/>
    </w:lvl>
  </w:abstractNum>
  <w:abstractNum w:abstractNumId="123">
    <w:nsid w:val="20F88EA6"/>
    <w:multiLevelType w:val="hybridMultilevel"/>
    <w:lvl w:ilvl="0">
      <w:lvlJc w:val="left"/>
      <w:lvlText w:val="%1"/>
      <w:numFmt w:val="lowerLetter"/>
      <w:start w:val="1"/>
    </w:lvl>
    <w:lvl w:ilvl="1">
      <w:lvlJc w:val="left"/>
      <w:lvlText w:val="(%2)"/>
      <w:numFmt w:val="lowerRoman"/>
      <w:start w:val="3"/>
    </w:lvl>
  </w:abstractNum>
  <w:abstractNum w:abstractNumId="124">
    <w:nsid w:val="617C843E"/>
    <w:multiLevelType w:val="hybridMultilevel"/>
    <w:lvl w:ilvl="0">
      <w:lvlJc w:val="left"/>
      <w:lvlText w:val="(%1)"/>
      <w:numFmt w:val="lowerLetter"/>
      <w:start w:val="4"/>
    </w:lvl>
    <w:lvl w:ilvl="1">
      <w:lvlJc w:val="left"/>
      <w:lvlText w:val="(%2)"/>
      <w:numFmt w:val="lowerRoman"/>
      <w:start w:val="1"/>
    </w:lvl>
  </w:abstractNum>
  <w:abstractNum w:abstractNumId="125">
    <w:nsid w:val="7B541FAB"/>
    <w:multiLevelType w:val="hybridMultilevel"/>
    <w:lvl w:ilvl="0">
      <w:lvlJc w:val="left"/>
      <w:lvlText w:val="(%1)"/>
      <w:numFmt w:val="lowerRoman"/>
      <w:start w:val="4"/>
    </w:lvl>
  </w:abstractNum>
  <w:abstractNum w:abstractNumId="126">
    <w:nsid w:val="2A79EC49"/>
    <w:multiLevelType w:val="hybridMultilevel"/>
    <w:lvl w:ilvl="0">
      <w:lvlJc w:val="left"/>
      <w:lvlText w:val="(%1)"/>
      <w:numFmt w:val="lowerLetter"/>
      <w:start w:val="1"/>
    </w:lvl>
    <w:lvl w:ilvl="1">
      <w:lvlJc w:val="left"/>
      <w:lvlText w:val="(%2)"/>
      <w:numFmt w:val="lowerRoman"/>
      <w:start w:val="1"/>
    </w:lvl>
  </w:abstractNum>
  <w:abstractNum w:abstractNumId="127">
    <w:nsid w:val="338125CF"/>
    <w:multiLevelType w:val="hybridMultilevel"/>
    <w:lvl w:ilvl="0">
      <w:lvlJc w:val="left"/>
      <w:lvlText w:val="(%1)"/>
      <w:numFmt w:val="lowerLetter"/>
      <w:start w:val="2"/>
    </w:lvl>
  </w:abstractNum>
  <w:abstractNum w:abstractNumId="128">
    <w:nsid w:val="47C7C971"/>
    <w:multiLevelType w:val="hybridMultilevel"/>
    <w:lvl w:ilvl="0">
      <w:lvlJc w:val="left"/>
      <w:lvlText w:val="%1."/>
      <w:numFmt w:val="decimal"/>
      <w:start w:val="3"/>
    </w:lvl>
  </w:abstractNum>
  <w:abstractNum w:abstractNumId="129">
    <w:nsid w:val="46F8284B"/>
    <w:multiLevelType w:val="hybridMultilevel"/>
    <w:lvl w:ilvl="0">
      <w:lvlJc w:val="left"/>
      <w:lvlText w:val="(%1)"/>
      <w:numFmt w:val="lowerLetter"/>
      <w:start w:val="1"/>
    </w:lvl>
  </w:abstractNum>
  <w:abstractNum w:abstractNumId="130">
    <w:nsid w:val="4FA327CE"/>
    <w:multiLevelType w:val="hybridMultilevel"/>
    <w:lvl w:ilvl="0">
      <w:lvlJc w:val="left"/>
      <w:lvlText w:val="(%1)"/>
      <w:numFmt w:val="lowerLetter"/>
      <w:start w:val="4"/>
    </w:lvl>
  </w:abstractNum>
  <w:abstractNum w:abstractNumId="131">
    <w:nsid w:val="1873983A"/>
    <w:multiLevelType w:val="hybridMultilevel"/>
    <w:lvl w:ilvl="0">
      <w:lvlJc w:val="left"/>
      <w:lvlText w:val="(%1)"/>
      <w:numFmt w:val="lowerLetter"/>
      <w:start w:val="1"/>
    </w:lvl>
  </w:abstractNum>
  <w:abstractNum w:abstractNumId="132">
    <w:nsid w:val="3D2DD275"/>
    <w:multiLevelType w:val="hybridMultilevel"/>
    <w:lvl w:ilvl="0">
      <w:lvlJc w:val="left"/>
      <w:lvlText w:val="%1"/>
      <w:numFmt w:val="decimal"/>
      <w:start w:val="1"/>
    </w:lvl>
    <w:lvl w:ilvl="1">
      <w:lvlJc w:val="left"/>
      <w:lvlText w:val="(%2)"/>
      <w:numFmt w:val="lowerLetter"/>
      <w:start w:val="3"/>
    </w:lvl>
  </w:abstractNum>
  <w:abstractNum w:abstractNumId="133">
    <w:nsid w:val="2E17ECA7"/>
    <w:multiLevelType w:val="hybridMultilevel"/>
    <w:lvl w:ilvl="0">
      <w:lvlJc w:val="left"/>
      <w:lvlText w:val="%1."/>
      <w:numFmt w:val="decimal"/>
      <w:start w:val="4"/>
    </w:lvl>
    <w:lvl w:ilvl="1">
      <w:lvlJc w:val="left"/>
      <w:lvlText w:val="%2"/>
      <w:numFmt w:val="lowerLetter"/>
      <w:start w:val="1"/>
    </w:lvl>
  </w:abstractNum>
  <w:abstractNum w:abstractNumId="134">
    <w:nsid w:val="53B2564F"/>
    <w:multiLevelType w:val="hybridMultilevel"/>
    <w:lvl w:ilvl="0">
      <w:lvlJc w:val="left"/>
      <w:lvlText w:val="(%1)"/>
      <w:numFmt w:val="lowerRoman"/>
      <w:start w:val="1"/>
    </w:lvl>
  </w:abstractNum>
  <w:abstractNum w:abstractNumId="135">
    <w:nsid w:val="75509D76"/>
    <w:multiLevelType w:val="hybridMultilevel"/>
    <w:lvl w:ilvl="0">
      <w:lvlJc w:val="left"/>
      <w:lvlText w:val="%1"/>
      <w:numFmt w:val="decimal"/>
      <w:start w:val="1"/>
    </w:lvl>
    <w:lvl w:ilvl="1">
      <w:lvlJc w:val="left"/>
      <w:lvlText w:val="(%2)"/>
      <w:numFmt w:val="lowerLetter"/>
      <w:start w:val="2"/>
    </w:lvl>
  </w:abstractNum>
  <w:abstractNum w:abstractNumId="136">
    <w:nsid w:val="1AF7F0EA"/>
    <w:multiLevelType w:val="hybridMultilevel"/>
    <w:lvl w:ilvl="0">
      <w:lvlJc w:val="left"/>
      <w:lvlText w:val="(%1)"/>
      <w:numFmt w:val="decimal"/>
      <w:start w:val="2"/>
    </w:lvl>
    <w:lvl w:ilvl="1">
      <w:lvlJc w:val="left"/>
      <w:lvlText w:val="%2"/>
      <w:numFmt w:val="lowerLetter"/>
      <w:start w:val="1"/>
    </w:lvl>
  </w:abstractNum>
  <w:abstractNum w:abstractNumId="137">
    <w:nsid w:val="4DA32C7E"/>
    <w:multiLevelType w:val="hybridMultilevel"/>
    <w:lvl w:ilvl="0">
      <w:lvlJc w:val="left"/>
      <w:lvlText w:val="(%1)"/>
      <w:numFmt w:val="lowerRoman"/>
      <w:start w:val="1"/>
    </w:lvl>
  </w:abstractNum>
  <w:abstractNum w:abstractNumId="138">
    <w:nsid w:val="6EC68664"/>
    <w:multiLevelType w:val="hybridMultilevel"/>
    <w:lvl w:ilvl="0">
      <w:lvlJc w:val="left"/>
      <w:lvlText w:val="(%1)"/>
      <w:numFmt w:val="lowerLetter"/>
      <w:start w:val="1"/>
    </w:lvl>
  </w:abstractNum>
  <w:abstractNum w:abstractNumId="139">
    <w:nsid w:val="E0D31FF"/>
    <w:multiLevelType w:val="hybridMultilevel"/>
    <w:lvl w:ilvl="0">
      <w:lvlJc w:val="left"/>
      <w:lvlText w:val="%1"/>
      <w:numFmt w:val="lowerLetter"/>
      <w:start w:val="1"/>
    </w:lvl>
    <w:lvl w:ilvl="1">
      <w:lvlJc w:val="left"/>
      <w:lvlText w:val="(%2)"/>
      <w:numFmt w:val="lowerLetter"/>
      <w:start w:val="3"/>
    </w:lvl>
  </w:abstractNum>
  <w:abstractNum w:abstractNumId="140">
    <w:nsid w:val="2FD0AD81"/>
    <w:multiLevelType w:val="hybridMultilevel"/>
    <w:lvl w:ilvl="0">
      <w:lvlJc w:val="left"/>
      <w:lvlText w:val="(%1)"/>
      <w:numFmt w:val="lowerLetter"/>
      <w:start w:val="2"/>
    </w:lvl>
    <w:lvl w:ilvl="1">
      <w:lvlJc w:val="left"/>
      <w:lvlText w:val="%2"/>
      <w:numFmt w:val="lowerLetter"/>
      <w:start w:val="1"/>
    </w:lvl>
  </w:abstractNum>
  <w:abstractNum w:abstractNumId="141">
    <w:nsid w:val="1978EBEB"/>
    <w:multiLevelType w:val="hybridMultilevel"/>
    <w:lvl w:ilvl="0">
      <w:lvlJc w:val="left"/>
      <w:lvlText w:val="(%1)"/>
      <w:numFmt w:val="lowerLetter"/>
      <w:start w:val="3"/>
    </w:lvl>
  </w:abstractNum>
  <w:abstractNum w:abstractNumId="142">
    <w:nsid w:val="52C12C61"/>
    <w:multiLevelType w:val="hybridMultilevel"/>
    <w:lvl w:ilvl="0">
      <w:lvlJc w:val="left"/>
      <w:lvlText w:val="(%1)"/>
      <w:numFmt w:val="lowerLetter"/>
      <w:start w:val="1"/>
    </w:lvl>
    <w:lvl w:ilvl="1">
      <w:lvlJc w:val="left"/>
      <w:lvlText w:val="(%2)"/>
      <w:numFmt w:val="lowerRoman"/>
      <w:start w:val="1"/>
    </w:lvl>
  </w:abstractNum>
  <w:abstractNum w:abstractNumId="143">
    <w:nsid w:val="4BDD53FD"/>
    <w:multiLevelType w:val="hybridMultilevel"/>
    <w:lvl w:ilvl="0">
      <w:lvlJc w:val="left"/>
      <w:lvlText w:val="%1"/>
      <w:numFmt w:val="lowerLetter"/>
      <w:start w:val="1"/>
    </w:lvl>
    <w:lvl w:ilvl="1">
      <w:lvlJc w:val="left"/>
      <w:lvlText w:val="(%2)"/>
      <w:numFmt w:val="lowerLetter"/>
      <w:start w:val="61"/>
    </w:lvl>
  </w:abstractNum>
  <w:abstractNum w:abstractNumId="144">
    <w:nsid w:val="569951FE"/>
    <w:multiLevelType w:val="hybridMultilevel"/>
    <w:lvl w:ilvl="0">
      <w:lvlJc w:val="left"/>
      <w:lvlText w:val="(%1)"/>
      <w:numFmt w:val="lowerLetter"/>
      <w:start w:val="2"/>
    </w:lvl>
    <w:lvl w:ilvl="1">
      <w:lvlJc w:val="left"/>
      <w:lvlText w:val="(%2)"/>
      <w:numFmt w:val="lowerLetter"/>
      <w:start w:val="9"/>
    </w:lvl>
  </w:abstractNum>
  <w:abstractNum w:abstractNumId="145">
    <w:nsid w:val="4C54E2C3"/>
    <w:multiLevelType w:val="hybridMultilevel"/>
    <w:lvl w:ilvl="0">
      <w:lvlJc w:val="left"/>
      <w:lvlText w:val="(%1)"/>
      <w:numFmt w:val="lowerRoman"/>
      <w:start w:val="2"/>
    </w:lvl>
  </w:abstractNum>
  <w:abstractNum w:abstractNumId="146">
    <w:nsid w:val="788BD9B"/>
    <w:multiLevelType w:val="hybridMultilevel"/>
    <w:lvl w:ilvl="0">
      <w:lvlJc w:val="left"/>
      <w:lvlText w:val="(%1)"/>
      <w:numFmt w:val="decimal"/>
      <w:start w:val="1"/>
    </w:lvl>
  </w:abstractNum>
  <w:abstractNum w:abstractNumId="147">
    <w:nsid w:val="47CAA567"/>
    <w:multiLevelType w:val="hybridMultilevel"/>
    <w:lvl w:ilvl="0">
      <w:lvlJc w:val="left"/>
      <w:lvlText w:val="(%1)"/>
      <w:numFmt w:val="lowerLetter"/>
      <w:start w:val="1"/>
    </w:lvl>
  </w:abstractNum>
  <w:abstractNum w:abstractNumId="148">
    <w:nsid w:val="48249DBF"/>
    <w:multiLevelType w:val="hybridMultilevel"/>
    <w:lvl w:ilvl="0">
      <w:lvlJc w:val="left"/>
      <w:lvlText w:val="%1"/>
      <w:numFmt w:val="decimal"/>
      <w:start w:val="1"/>
    </w:lvl>
    <w:lvl w:ilvl="1">
      <w:lvlJc w:val="left"/>
      <w:lvlText w:val="(%2)"/>
      <w:numFmt w:val="lowerLetter"/>
      <w:start w:val="3"/>
    </w:lvl>
  </w:abstractNum>
  <w:abstractNum w:abstractNumId="149">
    <w:nsid w:val="1F0E5D0D"/>
    <w:multiLevelType w:val="hybridMultilevel"/>
    <w:lvl w:ilvl="0">
      <w:lvlJc w:val="left"/>
      <w:lvlText w:val="%1."/>
      <w:numFmt w:val="decimal"/>
      <w:start w:val="5"/>
    </w:lvl>
    <w:lvl w:ilvl="1">
      <w:lvlJc w:val="left"/>
      <w:lvlText w:val="%2"/>
      <w:numFmt w:val="lowerLetter"/>
      <w:start w:val="1"/>
    </w:lvl>
  </w:abstractNum>
  <w:abstractNum w:abstractNumId="150">
    <w:nsid w:val="26BAAE9"/>
    <w:multiLevelType w:val="hybridMultilevel"/>
    <w:lvl w:ilvl="0">
      <w:lvlJc w:val="left"/>
      <w:lvlText w:val="%1."/>
      <w:numFmt w:val="decimal"/>
      <w:start w:val="6"/>
    </w:lvl>
  </w:abstractNum>
  <w:abstractNum w:abstractNumId="151">
    <w:nsid w:val="2C02FE8C"/>
    <w:multiLevelType w:val="hybridMultilevel"/>
    <w:lvl w:ilvl="0">
      <w:lvlJc w:val="left"/>
      <w:lvlText w:val="(%1)"/>
      <w:numFmt w:val="lowerRoman"/>
      <w:start w:val="4"/>
    </w:lvl>
  </w:abstractNum>
  <w:abstractNum w:abstractNumId="152">
    <w:nsid w:val="129517E"/>
    <w:multiLevelType w:val="hybridMultilevel"/>
    <w:lvl w:ilvl="0">
      <w:lvlJc w:val="left"/>
      <w:lvlText w:val="%1."/>
      <w:numFmt w:val="decimal"/>
      <w:start w:val="3"/>
    </w:lvl>
  </w:abstractNum>
  <w:abstractNum w:abstractNumId="153">
    <w:nsid w:val="763B8C4E"/>
    <w:multiLevelType w:val="hybridMultilevel"/>
    <w:lvl w:ilvl="0">
      <w:lvlJc w:val="left"/>
      <w:lvlText w:val="%1."/>
      <w:numFmt w:val="decimal"/>
      <w:start w:val="1"/>
    </w:lvl>
  </w:abstractNum>
  <w:abstractNum w:abstractNumId="154">
    <w:nsid w:val="4CFB8D32"/>
    <w:multiLevelType w:val="hybridMultilevel"/>
    <w:lvl w:ilvl="0">
      <w:lvlJc w:val="left"/>
      <w:lvlText w:val="%1."/>
      <w:numFmt w:val="decimal"/>
      <w:start w:val="5"/>
    </w:lvl>
  </w:abstractNum>
  <w:abstractNum w:abstractNumId="155">
    <w:nsid w:val="62A5D5BD"/>
    <w:multiLevelType w:val="hybridMultilevel"/>
    <w:lvl w:ilvl="0">
      <w:lvlJc w:val="left"/>
      <w:lvlText w:val="%1."/>
      <w:numFmt w:val="decimal"/>
      <w:start w:val="1"/>
    </w:lvl>
  </w:abstractNum>
  <w:abstractNum w:abstractNumId="156">
    <w:nsid w:val="718FABF9"/>
    <w:multiLevelType w:val="hybridMultilevel"/>
    <w:lvl w:ilvl="0">
      <w:lvlJc w:val="left"/>
      <w:lvlText w:val="%1."/>
      <w:numFmt w:val="decimal"/>
      <w:start w:val="1"/>
    </w:lvl>
  </w:abstractNum>
  <w:abstractNum w:abstractNumId="157">
    <w:nsid w:val="7775797C"/>
    <w:multiLevelType w:val="hybridMultilevel"/>
    <w:lvl w:ilvl="0">
      <w:lvlJc w:val="left"/>
      <w:lvlText w:val="%1."/>
      <w:numFmt w:val="decimal"/>
      <w:start w:val="1"/>
    </w:lvl>
    <w:lvl w:ilvl="1">
      <w:lvlJc w:val="left"/>
      <w:lvlText w:val="(%2)"/>
      <w:numFmt w:val="lowerLetter"/>
      <w:start w:val="1"/>
    </w:lvl>
  </w:abstractNum>
  <w:abstractNum w:abstractNumId="158">
    <w:nsid w:val="1626FB8C"/>
    <w:multiLevelType w:val="hybridMultilevel"/>
    <w:lvl w:ilvl="0">
      <w:lvlJc w:val="left"/>
      <w:lvlText w:val="%1"/>
      <w:numFmt w:val="lowerLetter"/>
      <w:start w:val="1"/>
    </w:lvl>
    <w:lvl w:ilvl="1">
      <w:lvlJc w:val="left"/>
      <w:lvlText w:val="(%2)"/>
      <w:numFmt w:val="lowerLetter"/>
      <w:start w:val="4"/>
    </w:lvl>
  </w:abstractNum>
  <w:abstractNum w:abstractNumId="159">
    <w:nsid w:val="3957756A"/>
    <w:multiLevelType w:val="hybridMultilevel"/>
    <w:lvl w:ilvl="0">
      <w:lvlJc w:val="left"/>
      <w:lvlText w:val="(%1)"/>
      <w:numFmt w:val="lowerLetter"/>
      <w:start w:val="61"/>
    </w:lvl>
    <w:lvl w:ilvl="1">
      <w:lvlJc w:val="left"/>
      <w:lvlText w:val="%2"/>
      <w:numFmt w:val="lowerLetter"/>
      <w:start w:val="1"/>
    </w:lvl>
  </w:abstractNum>
  <w:abstractNum w:abstractNumId="160">
    <w:nsid w:val="3E6DA1C7"/>
    <w:multiLevelType w:val="hybridMultilevel"/>
    <w:lvl w:ilvl="0">
      <w:lvlJc w:val="left"/>
      <w:lvlText w:val="%1"/>
      <w:numFmt w:val="decimal"/>
      <w:start w:val="1"/>
    </w:lvl>
    <w:lvl w:ilvl="1">
      <w:lvlJc w:val="left"/>
      <w:lvlText w:val="(%2)"/>
      <w:numFmt w:val="lowerLetter"/>
      <w:start w:val="9"/>
    </w:lvl>
  </w:abstractNum>
  <w:abstractNum w:abstractNumId="161">
    <w:nsid w:val="65CA235B"/>
    <w:multiLevelType w:val="hybridMultilevel"/>
    <w:lvl w:ilvl="0">
      <w:lvlJc w:val="left"/>
      <w:lvlText w:val="%1."/>
      <w:numFmt w:val="decimal"/>
      <w:start w:val="2"/>
    </w:lvl>
    <w:lvl w:ilvl="1">
      <w:lvlJc w:val="left"/>
      <w:lvlText w:val="(%2)"/>
      <w:numFmt w:val="lowerLetter"/>
      <w:start w:val="1"/>
    </w:lvl>
  </w:abstractNum>
  <w:abstractNum w:abstractNumId="162">
    <w:nsid w:val="51CB0DA4"/>
    <w:multiLevelType w:val="hybridMultilevel"/>
    <w:lvl w:ilvl="0">
      <w:lvlJc w:val="left"/>
      <w:lvlText w:val="(%1)"/>
      <w:numFmt w:val="lowerLetter"/>
      <w:start w:val="3"/>
    </w:lvl>
  </w:abstractNum>
  <w:abstractNum w:abstractNumId="163">
    <w:nsid w:val="7B9B743C"/>
    <w:multiLevelType w:val="hybridMultilevel"/>
    <w:lvl w:ilvl="0">
      <w:lvlJc w:val="left"/>
      <w:lvlText w:val="(%1)"/>
      <w:numFmt w:val="lowerLetter"/>
      <w:start w:val="10"/>
    </w:lvl>
  </w:abstractNum>
  <w:abstractNum w:abstractNumId="164">
    <w:nsid w:val="13E21002"/>
    <w:multiLevelType w:val="hybridMultilevel"/>
    <w:lvl w:ilvl="0">
      <w:lvlJc w:val="left"/>
      <w:lvlText w:val="%1."/>
      <w:numFmt w:val="decimal"/>
      <w:start w:val="3"/>
    </w:lvl>
    <w:lvl w:ilvl="1">
      <w:lvlJc w:val="left"/>
      <w:lvlText w:val="(%2)"/>
      <w:numFmt w:val="lowerLetter"/>
      <w:start w:val="1"/>
    </w:lvl>
  </w:abstractNum>
  <w:abstractNum w:abstractNumId="165">
    <w:nsid w:val="257D63F4"/>
    <w:multiLevelType w:val="hybridMultilevel"/>
    <w:lvl w:ilvl="0">
      <w:lvlJc w:val="left"/>
      <w:lvlText w:val="(%1)"/>
      <w:numFmt w:val="lowerLetter"/>
      <w:start w:val="3"/>
    </w:lvl>
  </w:abstractNum>
  <w:abstractNum w:abstractNumId="166">
    <w:nsid w:val="70EC11B2"/>
    <w:multiLevelType w:val="hybridMultilevel"/>
    <w:lvl w:ilvl="0">
      <w:lvlJc w:val="left"/>
      <w:lvlText w:val="(%1)"/>
      <w:numFmt w:val="lowerLetter"/>
      <w:start w:val="8"/>
    </w:lvl>
  </w:abstractNum>
  <w:abstractNum w:abstractNumId="167">
    <w:nsid w:val="2EDA00ED"/>
    <w:multiLevelType w:val="hybridMultilevel"/>
    <w:lvl w:ilvl="0">
      <w:lvlJc w:val="left"/>
      <w:lvlText w:val="(%1)"/>
      <w:numFmt w:val="lowerLetter"/>
      <w:start w:val="11"/>
    </w:lvl>
  </w:abstractNum>
  <w:abstractNum w:abstractNumId="168">
    <w:nsid w:val="73209072"/>
    <w:multiLevelType w:val="hybridMultilevel"/>
    <w:lvl w:ilvl="0">
      <w:lvlJc w:val="left"/>
      <w:lvlText w:val="(%1)"/>
      <w:numFmt w:val="lowerLetter"/>
      <w:start w:val="12"/>
    </w:lvl>
  </w:abstractNum>
  <w:abstractNum w:abstractNumId="169">
    <w:nsid w:val="5FB29816"/>
    <w:multiLevelType w:val="hybridMultilevel"/>
    <w:lvl w:ilvl="0">
      <w:lvlJc w:val="left"/>
      <w:lvlText w:val="%1"/>
      <w:numFmt w:val="decimal"/>
      <w:start w:val="1"/>
    </w:lvl>
    <w:lvl w:ilvl="1">
      <w:lvlJc w:val="left"/>
      <w:lvlText w:val="(%2)"/>
      <w:numFmt w:val="lowerLetter"/>
      <w:start w:val="13"/>
    </w:lvl>
  </w:abstractNum>
  <w:abstractNum w:abstractNumId="170">
    <w:nsid w:val="3CE732EC"/>
    <w:multiLevelType w:val="hybridMultilevel"/>
    <w:lvl w:ilvl="0">
      <w:lvlJc w:val="left"/>
      <w:lvlText w:val="%1."/>
      <w:numFmt w:val="decimal"/>
      <w:start w:val="4"/>
    </w:lvl>
    <w:lvl w:ilvl="1">
      <w:lvlJc w:val="left"/>
      <w:lvlText w:val="(%2)"/>
      <w:numFmt w:val="lowerLetter"/>
      <w:start w:val="1"/>
    </w:lvl>
  </w:abstractNum>
  <w:abstractNum w:abstractNumId="171">
    <w:nsid w:val="22F13DF3"/>
    <w:multiLevelType w:val="hybridMultilevel"/>
    <w:lvl w:ilvl="0">
      <w:lvlJc w:val="left"/>
      <w:lvlText w:val="(%1)"/>
      <w:numFmt w:val="lowerLetter"/>
      <w:start w:val="3"/>
    </w:lvl>
  </w:abstractNum>
  <w:abstractNum w:abstractNumId="172">
    <w:nsid w:val="792B8401"/>
    <w:multiLevelType w:val="hybridMultilevel"/>
    <w:lvl w:ilvl="0">
      <w:lvlJc w:val="left"/>
      <w:lvlText w:val="(%1)"/>
      <w:numFmt w:val="lowerLetter"/>
      <w:start w:val="4"/>
    </w:lvl>
  </w:abstractNum>
  <w:abstractNum w:abstractNumId="173">
    <w:nsid w:val="FA85F4D"/>
    <w:multiLevelType w:val="hybridMultilevel"/>
    <w:lvl w:ilvl="0">
      <w:lvlJc w:val="left"/>
      <w:lvlText w:val="(%1)"/>
      <w:numFmt w:val="lowerLetter"/>
      <w:start w:val="5"/>
    </w:lvl>
  </w:abstractNum>
  <w:abstractNum w:abstractNumId="174">
    <w:nsid w:val="6ECE91F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5">
    <w:nsid w:val="4FC4D600"/>
    <w:multiLevelType w:val="hybridMultilevel"/>
    <w:lvl w:ilvl="0">
      <w:lvlJc w:val="left"/>
      <w:lvlText w:val="%1"/>
      <w:numFmt w:val="lowerLetter"/>
      <w:start w:val="1"/>
    </w:lvl>
    <w:lvl w:ilvl="1">
      <w:lvlJc w:val="left"/>
      <w:lvlText w:val="(%2)"/>
      <w:numFmt w:val="lowerRoman"/>
      <w:start w:val="8"/>
    </w:lvl>
  </w:abstractNum>
  <w:abstractNum w:abstractNumId="176">
    <w:nsid w:val="5BFD4210"/>
    <w:multiLevelType w:val="hybridMultilevel"/>
    <w:lvl w:ilvl="0">
      <w:lvlJc w:val="left"/>
      <w:lvlText w:val="(%1)"/>
      <w:numFmt w:val="lowerLetter"/>
      <w:start w:val="2"/>
    </w:lvl>
    <w:lvl w:ilvl="1">
      <w:lvlJc w:val="left"/>
      <w:lvlText w:val="(%2)"/>
      <w:numFmt w:val="lowerRoman"/>
      <w:start w:val="1"/>
    </w:lvl>
  </w:abstractNum>
  <w:abstractNum w:abstractNumId="177">
    <w:nsid w:val="76574F8B"/>
    <w:multiLevelType w:val="hybridMultilevel"/>
    <w:lvl w:ilvl="0">
      <w:lvlJc w:val="left"/>
      <w:lvlText w:val="%1"/>
      <w:numFmt w:val="lowerLetter"/>
      <w:start w:val="1"/>
    </w:lvl>
    <w:lvl w:ilvl="1">
      <w:lvlJc w:val="left"/>
      <w:lvlText w:val="(%2)"/>
      <w:numFmt w:val="lowerRoman"/>
      <w:start w:val="3"/>
    </w:lvl>
  </w:abstractNum>
  <w:abstractNum w:abstractNumId="178">
    <w:nsid w:val="178F7B67"/>
    <w:multiLevelType w:val="hybridMultilevel"/>
    <w:lvl w:ilvl="0">
      <w:lvlJc w:val="left"/>
      <w:lvlText w:val="(%1)"/>
      <w:numFmt w:val="lowerLetter"/>
      <w:start w:val="3"/>
    </w:lvl>
    <w:lvl w:ilvl="1">
      <w:lvlJc w:val="left"/>
      <w:lvlText w:val="%2"/>
      <w:numFmt w:val="lowerRoman"/>
      <w:start w:val="1"/>
    </w:lvl>
  </w:abstractNum>
  <w:abstractNum w:abstractNumId="179">
    <w:nsid w:val="2421DFC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80">
    <w:nsid w:val="1565AC99"/>
    <w:multiLevelType w:val="hybridMultilevel"/>
    <w:lvl w:ilvl="0">
      <w:lvlJc w:val="left"/>
      <w:lvlText w:val="(%1)"/>
      <w:numFmt w:val="decimal"/>
      <w:start w:val="30"/>
    </w:lvl>
    <w:lvl w:ilvl="1">
      <w:lvlJc w:val="left"/>
      <w:lvlText w:val="(%2)"/>
      <w:numFmt w:val="lowerLetter"/>
      <w:start w:val="5"/>
    </w:lvl>
    <w:lvl w:ilvl="2">
      <w:lvlJc w:val="left"/>
      <w:lvlText w:val="(%3)"/>
      <w:numFmt w:val="lowerRoman"/>
      <w:start w:val="3"/>
    </w:lvl>
  </w:abstractNum>
  <w:abstractNum w:abstractNumId="181">
    <w:nsid w:val="19FB26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2">
    <w:nsid w:val="5024DE5B"/>
    <w:multiLevelType w:val="hybridMultilevel"/>
    <w:lvl w:ilvl="0">
      <w:lvlJc w:val="left"/>
      <w:lvlText w:val="%1"/>
      <w:numFmt w:val="lowerLetter"/>
      <w:start w:val="1"/>
    </w:lvl>
    <w:lvl w:ilvl="1">
      <w:lvlJc w:val="left"/>
      <w:lvlText w:val="(%2)"/>
      <w:numFmt w:val="lowerLetter"/>
      <w:start w:val="35"/>
    </w:lvl>
  </w:abstractNum>
  <w:abstractNum w:abstractNumId="183">
    <w:nsid w:val="168EFE17"/>
    <w:multiLevelType w:val="hybridMultilevel"/>
    <w:lvl w:ilvl="0">
      <w:lvlJc w:val="left"/>
      <w:lvlText w:val="(%1)"/>
      <w:numFmt w:val="lowerLetter"/>
      <w:start w:val="7"/>
    </w:lvl>
    <w:lvl w:ilvl="1">
      <w:lvlJc w:val="left"/>
      <w:lvlText w:val="(%2)"/>
      <w:numFmt w:val="lowerLetter"/>
      <w:start w:val="9"/>
    </w:lvl>
  </w:abstractNum>
  <w:abstractNum w:abstractNumId="184">
    <w:nsid w:val="1036B29F"/>
    <w:multiLevelType w:val="hybridMultilevel"/>
    <w:lvl w:ilvl="0">
      <w:lvlJc w:val="left"/>
      <w:lvlText w:val="%1"/>
      <w:numFmt w:val="decimal"/>
      <w:start w:val="1"/>
    </w:lvl>
    <w:lvl w:ilvl="1">
      <w:lvlJc w:val="left"/>
      <w:lvlText w:val="(%2)"/>
      <w:numFmt w:val="lowerRoman"/>
      <w:start w:val="2"/>
    </w:lvl>
  </w:abstractNum>
  <w:abstractNum w:abstractNumId="185">
    <w:nsid w:val="1D206B8E"/>
    <w:multiLevelType w:val="hybridMultilevel"/>
    <w:lvl w:ilvl="0">
      <w:lvlJc w:val="left"/>
      <w:lvlText w:val="(%1)"/>
      <w:numFmt w:val="decimal"/>
      <w:start w:val="60"/>
    </w:lvl>
    <w:lvl w:ilvl="1">
      <w:lvlJc w:val="left"/>
      <w:lvlText w:val="%2"/>
      <w:numFmt w:val="lowerRoman"/>
      <w:start w:val="1"/>
    </w:lvl>
  </w:abstractNum>
  <w:abstractNum w:abstractNumId="186">
    <w:nsid w:val="7934D3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87">
    <w:nsid w:val="1C65E98"/>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88">
    <w:nsid w:val="1495E50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89">
    <w:nsid w:val="F5BCF61"/>
    <w:multiLevelType w:val="hybridMultilevel"/>
    <w:lvl w:ilvl="0">
      <w:lvlJc w:val="left"/>
      <w:lvlText w:val="(%1)"/>
      <w:numFmt w:val="lowerLetter"/>
      <w:start w:val="5"/>
    </w:lvl>
  </w:abstractNum>
  <w:abstractNum w:abstractNumId="190">
    <w:nsid w:val="3B1DD403"/>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91">
    <w:nsid w:val="530386D1"/>
    <w:multiLevelType w:val="hybridMultilevel"/>
    <w:lvl w:ilvl="0">
      <w:lvlJc w:val="left"/>
      <w:lvlText w:val="(%1)"/>
      <w:numFmt w:val="decimal"/>
      <w:start w:val="20"/>
    </w:lvl>
    <w:lvl w:ilvl="1">
      <w:lvlJc w:val="left"/>
      <w:lvlText w:val="%2"/>
      <w:numFmt w:val="decimal"/>
      <w:start w:val="1"/>
    </w:lvl>
    <w:lvl w:ilvl="2">
      <w:lvlJc w:val="left"/>
      <w:lvlText w:val="(%3)"/>
      <w:numFmt w:val="lowerLetter"/>
      <w:start w:val="3"/>
    </w:lvl>
  </w:abstractNum>
  <w:abstractNum w:abstractNumId="192">
    <w:nsid w:val="7525F2BC"/>
    <w:multiLevelType w:val="hybridMultilevel"/>
    <w:lvl w:ilvl="0">
      <w:lvlJc w:val="left"/>
      <w:lvlText w:val="(%1)"/>
      <w:numFmt w:val="lowerLetter"/>
      <w:start w:val="4"/>
    </w:lvl>
  </w:abstractNum>
  <w:abstractNum w:abstractNumId="193">
    <w:nsid w:val="CE8E1A7"/>
    <w:multiLevelType w:val="hybridMultilevel"/>
    <w:lvl w:ilvl="0">
      <w:lvlJc w:val="left"/>
      <w:lvlText w:val="%1"/>
      <w:numFmt w:val="lowerLetter"/>
      <w:start w:val="1"/>
    </w:lvl>
    <w:lvl w:ilvl="1">
      <w:lvlJc w:val="left"/>
      <w:lvlText w:val="(%2)"/>
      <w:numFmt w:val="lowerLetter"/>
      <w:start w:val="1"/>
    </w:lvl>
  </w:abstractNum>
  <w:abstractNum w:abstractNumId="194">
    <w:nsid w:val="4E9EFB0D"/>
    <w:multiLevelType w:val="hybridMultilevel"/>
    <w:lvl w:ilvl="0">
      <w:lvlJc w:val="left"/>
      <w:lvlText w:val="(%1)"/>
      <w:numFmt w:val="lowerLetter"/>
      <w:start w:val="35"/>
    </w:lvl>
    <w:lvl w:ilvl="1">
      <w:lvlJc w:val="left"/>
      <w:lvlText w:val="%2"/>
      <w:numFmt w:val="lowerLetter"/>
      <w:start w:val="1"/>
    </w:lvl>
  </w:abstractNum>
  <w:abstractNum w:abstractNumId="195">
    <w:nsid w:val="90802BE"/>
    <w:multiLevelType w:val="hybridMultilevel"/>
    <w:lvl w:ilvl="0">
      <w:lvlJc w:val="left"/>
      <w:lvlText w:val="(%1)"/>
      <w:numFmt w:val="lowerLetter"/>
      <w:start w:val="3"/>
    </w:lvl>
  </w:abstractNum>
  <w:abstractNum w:abstractNumId="196">
    <w:nsid w:val="3266459B"/>
    <w:multiLevelType w:val="hybridMultilevel"/>
    <w:lvl w:ilvl="0">
      <w:lvlJc w:val="left"/>
      <w:lvlText w:val="(%1)"/>
      <w:numFmt w:val="lowerLetter"/>
      <w:start w:val="1"/>
    </w:lvl>
  </w:abstractNum>
  <w:abstractNum w:abstractNumId="197">
    <w:nsid w:val="3F8B0CBF"/>
    <w:multiLevelType w:val="hybridMultilevel"/>
    <w:lvl w:ilvl="0">
      <w:lvlJc w:val="left"/>
      <w:lvlText w:val="(%1)"/>
      <w:numFmt w:val="lowerLetter"/>
      <w:start w:val="5"/>
    </w:lvl>
  </w:abstractNum>
  <w:abstractNum w:abstractNumId="198">
    <w:nsid w:val="37E203AB"/>
    <w:multiLevelType w:val="hybridMultilevel"/>
    <w:lvl w:ilvl="0">
      <w:lvlJc w:val="left"/>
      <w:lvlText w:val="(%1)"/>
      <w:numFmt w:val="lowerLetter"/>
      <w:start w:val="1"/>
    </w:lvl>
  </w:abstractNum>
  <w:abstractNum w:abstractNumId="199">
    <w:nsid w:val="2586D60E"/>
    <w:multiLevelType w:val="hybridMultilevel"/>
    <w:lvl w:ilvl="0">
      <w:lvlJc w:val="left"/>
      <w:lvlText w:val="%1"/>
      <w:numFmt w:val="lowerLetter"/>
      <w:start w:val="1"/>
    </w:lvl>
    <w:lvl w:ilvl="1">
      <w:lvlJc w:val="left"/>
      <w:lvlText w:val="(%2)"/>
      <w:numFmt w:val="lowerLetter"/>
      <w:start w:val="2"/>
    </w:lvl>
  </w:abstractNum>
  <w:abstractNum w:abstractNumId="200">
    <w:nsid w:val="1F3DA4D5"/>
    <w:multiLevelType w:val="hybridMultilevel"/>
    <w:lvl w:ilvl="0">
      <w:lvlJc w:val="left"/>
      <w:lvlText w:val="(%1)"/>
      <w:numFmt w:val="lowerLetter"/>
      <w:start w:val="35"/>
    </w:lvl>
    <w:lvl w:ilvl="1">
      <w:lvlJc w:val="left"/>
      <w:lvlText w:val="%2"/>
      <w:numFmt w:val="lowerLetter"/>
      <w:start w:val="1"/>
    </w:lvl>
  </w:abstractNum>
  <w:abstractNum w:abstractNumId="201">
    <w:nsid w:val="74C93698"/>
    <w:multiLevelType w:val="hybridMultilevel"/>
    <w:lvl w:ilvl="0">
      <w:lvlJc w:val="left"/>
      <w:lvlText w:val="(%1)"/>
      <w:numFmt w:val="lowerLetter"/>
      <w:start w:val="5"/>
    </w:lvl>
  </w:abstractNum>
  <w:abstractNum w:abstractNumId="202">
    <w:nsid w:val="48781401"/>
    <w:multiLevelType w:val="hybridMultilevel"/>
    <w:lvl w:ilvl="0">
      <w:lvlJc w:val="left"/>
      <w:lvlText w:val="(%1)"/>
      <w:numFmt w:val="lowerLetter"/>
      <w:start w:val="1"/>
    </w:lvl>
  </w:abstractNum>
  <w:abstractNum w:abstractNumId="203">
    <w:nsid w:val="186928D6"/>
    <w:multiLevelType w:val="hybridMultilevel"/>
    <w:lvl w:ilvl="0">
      <w:lvlJc w:val="left"/>
      <w:lvlText w:val="(%1)"/>
      <w:numFmt w:val="lowerRoman"/>
      <w:start w:val="3"/>
    </w:lvl>
  </w:abstractNum>
  <w:abstractNum w:abstractNumId="204">
    <w:nsid w:val="47195E5"/>
    <w:multiLevelType w:val="hybridMultilevel"/>
    <w:lvl w:ilvl="0">
      <w:lvlJc w:val="left"/>
      <w:lvlText w:val="(%1)"/>
      <w:numFmt w:val="lowerLetter"/>
      <w:start w:val="1"/>
    </w:lvl>
  </w:abstractNum>
  <w:abstractNum w:abstractNumId="205">
    <w:nsid w:val="3746A5F2"/>
    <w:multiLevelType w:val="hybridMultilevel"/>
    <w:lvl w:ilvl="0">
      <w:lvlJc w:val="left"/>
      <w:lvlText w:val="(%1)"/>
      <w:numFmt w:val="lowerLetter"/>
      <w:start w:val="3"/>
    </w:lvl>
  </w:abstractNum>
  <w:abstractNum w:abstractNumId="206">
    <w:nsid w:val="682DFED6"/>
    <w:multiLevelType w:val="hybridMultilevel"/>
    <w:lvl w:ilvl="0">
      <w:lvlJc w:val="left"/>
      <w:lvlText w:val="%1"/>
      <w:numFmt w:val="decimal"/>
      <w:start w:val="1"/>
    </w:lvl>
    <w:lvl w:ilvl="1">
      <w:lvlJc w:val="left"/>
      <w:lvlText w:val="(%2)"/>
      <w:numFmt w:val="lowerLetter"/>
      <w:start w:val="1"/>
    </w:lvl>
  </w:abstractNum>
  <w:abstractNum w:abstractNumId="207">
    <w:nsid w:val="606ED7F6"/>
    <w:multiLevelType w:val="hybridMultilevel"/>
    <w:lvl w:ilvl="0">
      <w:lvlJc w:val="left"/>
      <w:lvlText w:val="%1."/>
      <w:numFmt w:val="decimal"/>
      <w:start w:val="3"/>
    </w:lvl>
    <w:lvl w:ilvl="1">
      <w:lvlJc w:val="left"/>
      <w:lvlText w:val="%2"/>
      <w:numFmt w:val="lowerLetter"/>
      <w:start w:val="1"/>
    </w:lvl>
  </w:abstractNum>
  <w:abstractNum w:abstractNumId="208">
    <w:nsid w:val="2D9DF57D"/>
    <w:multiLevelType w:val="hybridMultilevel"/>
    <w:lvl w:ilvl="0">
      <w:lvlJc w:val="left"/>
      <w:lvlText w:val="%1"/>
      <w:numFmt w:val="lowerLetter"/>
      <w:start w:val="1"/>
    </w:lvl>
    <w:lvl w:ilvl="1">
      <w:lvlJc w:val="left"/>
      <w:lvlText w:val="(%2)"/>
      <w:numFmt w:val="lowerLetter"/>
      <w:start w:val="1"/>
    </w:lvl>
  </w:abstractNum>
  <w:abstractNum w:abstractNumId="209">
    <w:nsid w:val="7FBD7A3E"/>
    <w:multiLevelType w:val="hybridMultilevel"/>
    <w:lvl w:ilvl="0">
      <w:lvlJc w:val="left"/>
      <w:lvlText w:val="(%1)"/>
      <w:numFmt w:val="lowerLetter"/>
      <w:start w:val="35"/>
    </w:lvl>
    <w:lvl w:ilvl="1">
      <w:lvlJc w:val="left"/>
      <w:lvlText w:val="%2"/>
      <w:numFmt w:val="lowerLetter"/>
      <w:start w:val="1"/>
    </w:lvl>
  </w:abstractNum>
  <w:abstractNum w:abstractNumId="210">
    <w:nsid w:val="490B7C5"/>
    <w:multiLevelType w:val="hybridMultilevel"/>
    <w:lvl w:ilvl="0">
      <w:lvlJc w:val="left"/>
      <w:lvlText w:val="(%1)"/>
      <w:numFmt w:val="lowerLetter"/>
      <w:start w:val="2"/>
    </w:lvl>
  </w:abstractNum>
  <w:abstractNum w:abstractNumId="211">
    <w:nsid w:val="4303A216"/>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12">
    <w:nsid w:val="19B8A08E"/>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3"/>
    </w:lvl>
  </w:abstractNum>
  <w:abstractNum w:abstractNumId="213">
    <w:nsid w:val="54B59621"/>
    <w:multiLevelType w:val="hybridMultilevel"/>
    <w:lvl w:ilvl="0">
      <w:lvlJc w:val="left"/>
      <w:lvlText w:val="(%1)"/>
      <w:numFmt w:val="lowerLetter"/>
      <w:start w:val="6"/>
    </w:lvl>
  </w:abstractNum>
  <w:abstractNum w:abstractNumId="214">
    <w:nsid w:val="5992A02E"/>
    <w:multiLevelType w:val="hybridMultilevel"/>
    <w:lvl w:ilvl="0">
      <w:lvlJc w:val="left"/>
      <w:lvlText w:val="(%1)"/>
      <w:numFmt w:val="lowerRoman"/>
      <w:start w:val="1"/>
    </w:lvl>
  </w:abstractNum>
  <w:abstractNum w:abstractNumId="215">
    <w:nsid w:val="29EF532D"/>
    <w:multiLevelType w:val="hybridMultilevel"/>
    <w:lvl w:ilvl="0">
      <w:lvlJc w:val="left"/>
      <w:lvlText w:val="%1."/>
      <w:numFmt w:val="decimal"/>
      <w:start w:val="5"/>
    </w:lvl>
  </w:abstractNum>
  <w:abstractNum w:abstractNumId="216">
    <w:nsid w:val="71D601AF"/>
    <w:multiLevelType w:val="hybridMultilevel"/>
    <w:lvl w:ilvl="0">
      <w:lvlJc w:val="left"/>
      <w:lvlText w:val="(%1)"/>
      <w:numFmt w:val="lowerLetter"/>
      <w:start w:val="1"/>
    </w:lvl>
  </w:abstractNum>
  <w:abstractNum w:abstractNumId="217">
    <w:nsid w:val="52C77402"/>
    <w:multiLevelType w:val="hybridMultilevel"/>
    <w:lvl w:ilvl="0">
      <w:lvlJc w:val="left"/>
      <w:lvlText w:val="%1"/>
      <w:numFmt w:val="lowerLetter"/>
      <w:start w:val="1"/>
    </w:lvl>
    <w:lvl w:ilvl="1">
      <w:lvlJc w:val="left"/>
      <w:lvlText w:val="(%2)"/>
      <w:numFmt w:val="lowerLetter"/>
      <w:start w:val="1"/>
    </w:lvl>
  </w:abstractNum>
  <w:abstractNum w:abstractNumId="218">
    <w:nsid w:val="2BB5B1C6"/>
    <w:multiLevelType w:val="hybridMultilevel"/>
    <w:lvl w:ilvl="0">
      <w:lvlJc w:val="left"/>
      <w:lvlText w:val="(%1)"/>
      <w:numFmt w:val="lowerLetter"/>
      <w:start w:val="9"/>
    </w:lvl>
    <w:lvl w:ilvl="1">
      <w:lvlJc w:val="left"/>
      <w:lvlText w:val="%2"/>
      <w:numFmt w:val="lowerLetter"/>
      <w:start w:val="1"/>
    </w:lvl>
  </w:abstractNum>
  <w:abstractNum w:abstractNumId="219">
    <w:nsid w:val="66BE6B9"/>
    <w:multiLevelType w:val="hybridMultilevel"/>
    <w:lvl w:ilvl="0">
      <w:lvlJc w:val="left"/>
      <w:lvlText w:val="(%1)"/>
      <w:numFmt w:val="lowerRoman"/>
      <w:start w:val="2"/>
    </w:lvl>
  </w:abstractNum>
  <w:abstractNum w:abstractNumId="220">
    <w:nsid w:val="62234363"/>
    <w:multiLevelType w:val="hybridMultilevel"/>
    <w:lvl w:ilvl="0">
      <w:lvlJc w:val="left"/>
      <w:lvlText w:val="%1."/>
      <w:numFmt w:val="decimal"/>
      <w:start w:val="6"/>
    </w:lvl>
  </w:abstractNum>
  <w:abstractNum w:abstractNumId="221">
    <w:nsid w:val="66D385C9"/>
    <w:multiLevelType w:val="hybridMultilevel"/>
    <w:lvl w:ilvl="0">
      <w:lvlJc w:val="left"/>
      <w:lvlText w:val="(%1)"/>
      <w:numFmt w:val="decimal"/>
      <w:start w:val="3"/>
    </w:lvl>
  </w:abstractNum>
  <w:abstractNum w:abstractNumId="222">
    <w:nsid w:val="596F6D8A"/>
    <w:multiLevelType w:val="hybridMultilevel"/>
    <w:lvl w:ilvl="0">
      <w:lvlJc w:val="left"/>
      <w:lvlText w:val="(%1)"/>
      <w:numFmt w:val="lowerLetter"/>
      <w:start w:val="3"/>
    </w:lvl>
  </w:abstractNum>
  <w:abstractNum w:abstractNumId="223">
    <w:nsid w:val="5749361F"/>
    <w:multiLevelType w:val="hybridMultilevel"/>
    <w:lvl w:ilvl="0">
      <w:lvlJc w:val="left"/>
      <w:lvlText w:val="%1."/>
      <w:numFmt w:val="decimal"/>
      <w:start w:val="1"/>
    </w:lvl>
  </w:abstractNum>
  <w:abstractNum w:abstractNumId="224">
    <w:nsid w:val="73BC6770"/>
    <w:multiLevelType w:val="hybridMultilevel"/>
    <w:lvl w:ilvl="0">
      <w:lvlJc w:val="left"/>
      <w:lvlText w:val="%1."/>
      <w:numFmt w:val="decimal"/>
      <w:start w:val="2"/>
    </w:lvl>
  </w:abstractNum>
  <w:abstractNum w:abstractNumId="225">
    <w:nsid w:val="280E6897"/>
    <w:multiLevelType w:val="hybridMultilevel"/>
    <w:lvl w:ilvl="0">
      <w:lvlJc w:val="left"/>
      <w:lvlText w:val="%1."/>
      <w:numFmt w:val="decimal"/>
      <w:start w:val="3"/>
    </w:lvl>
    <w:lvl w:ilvl="1">
      <w:lvlJc w:val="left"/>
      <w:lvlText w:val="(%2)"/>
      <w:numFmt w:val="lowerLetter"/>
      <w:start w:val="1"/>
    </w:lvl>
  </w:abstractNum>
  <w:abstractNum w:abstractNumId="226">
    <w:nsid w:val="605138DE"/>
    <w:multiLevelType w:val="hybridMultilevel"/>
    <w:lvl w:ilvl="0">
      <w:lvlJc w:val="left"/>
      <w:lvlText w:val="(%1)"/>
      <w:numFmt w:val="lowerLetter"/>
      <w:start w:val="3"/>
    </w:lvl>
  </w:abstractNum>
  <w:abstractNum w:abstractNumId="227">
    <w:nsid w:val="2622AD0C"/>
    <w:multiLevelType w:val="hybridMultilevel"/>
    <w:lvl w:ilvl="0">
      <w:lvlJc w:val="left"/>
      <w:lvlText w:val="%1."/>
      <w:numFmt w:val="decimal"/>
      <w:start w:val="6"/>
    </w:lvl>
  </w:abstractNum>
  <w:abstractNum w:abstractNumId="228">
    <w:nsid w:val="67997556"/>
    <w:multiLevelType w:val="hybridMultilevel"/>
    <w:lvl w:ilvl="0">
      <w:lvlJc w:val="left"/>
      <w:lvlText w:val="%1."/>
      <w:numFmt w:val="decimal"/>
      <w:start w:val="7"/>
    </w:lvl>
  </w:abstractNum>
  <w:abstractNum w:abstractNumId="229">
    <w:nsid w:val="18333C89"/>
    <w:multiLevelType w:val="hybridMultilevel"/>
    <w:lvl w:ilvl="0">
      <w:lvlJc w:val="left"/>
      <w:lvlText w:val="%1."/>
      <w:numFmt w:val="decimal"/>
      <w:start w:val="9"/>
    </w:lvl>
  </w:abstractNum>
  <w:abstractNum w:abstractNumId="230">
    <w:nsid w:val="4BA9831A"/>
    <w:multiLevelType w:val="hybridMultilevel"/>
    <w:lvl w:ilvl="0">
      <w:lvlJc w:val="left"/>
      <w:lvlText w:val="%1."/>
      <w:numFmt w:val="decimal"/>
      <w:start w:val="10"/>
    </w:lvl>
  </w:abstractNum>
  <w:abstractNum w:abstractNumId="231">
    <w:nsid w:val="6D71A2B"/>
    <w:multiLevelType w:val="hybridMultilevel"/>
    <w:lvl w:ilvl="0">
      <w:lvlJc w:val="left"/>
      <w:lvlText w:val="(%1)"/>
      <w:numFmt w:val="upperLetter"/>
      <w:start w:val="2"/>
    </w:lvl>
  </w:abstractNum>
  <w:abstractNum w:abstractNumId="232">
    <w:nsid w:val="CFC7321"/>
    <w:multiLevelType w:val="hybridMultilevel"/>
    <w:lvl w:ilvl="0">
      <w:lvlJc w:val="left"/>
      <w:lvlText w:val="(%1)"/>
      <w:numFmt w:val="lowerLetter"/>
      <w:start w:val="1"/>
    </w:lvl>
    <w:lvl w:ilvl="1">
      <w:lvlJc w:val="left"/>
      <w:lvlText w:val="(%2)"/>
      <w:numFmt w:val="lowerRoman"/>
      <w:start w:val="1"/>
    </w:lvl>
  </w:abstractNum>
  <w:abstractNum w:abstractNumId="233">
    <w:nsid w:val="1421971B"/>
    <w:multiLevelType w:val="hybridMultilevel"/>
    <w:lvl w:ilvl="0">
      <w:lvlJc w:val="left"/>
      <w:lvlText w:val="(%1)"/>
      <w:numFmt w:val="lowerLetter"/>
      <w:start w:val="3"/>
    </w:lvl>
  </w:abstractNum>
  <w:abstractNum w:abstractNumId="234">
    <w:nsid w:val="1F40430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35">
    <w:nsid w:val="116E0907"/>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36">
    <w:nsid w:val="4B683D0D"/>
    <w:multiLevelType w:val="hybridMultilevel"/>
    <w:lvl w:ilvl="0">
      <w:lvlJc w:val="left"/>
      <w:lvlText w:val="%1"/>
      <w:numFmt w:val="lowerRoman"/>
      <w:start w:val="1"/>
    </w:lvl>
    <w:lvl w:ilvl="1">
      <w:lvlJc w:val="left"/>
      <w:lvlText w:val="(%2)"/>
      <w:numFmt w:val="upperLetter"/>
      <w:start w:val="2"/>
    </w:lvl>
  </w:abstractNum>
  <w:abstractNum w:abstractNumId="237">
    <w:nsid w:val="76E41D8"/>
    <w:multiLevelType w:val="hybridMultilevel"/>
    <w:lvl w:ilvl="0">
      <w:lvlJc w:val="left"/>
      <w:lvlText w:val="(%1)"/>
      <w:numFmt w:val="lowerRoman"/>
      <w:start w:val="2"/>
    </w:lvl>
    <w:lvl w:ilvl="1">
      <w:lvlJc w:val="left"/>
      <w:lvlText w:val="(%2)"/>
      <w:numFmt w:val="upperLetter"/>
      <w:start w:val="1"/>
    </w:lvl>
  </w:abstractNum>
  <w:abstractNum w:abstractNumId="238">
    <w:nsid w:val="71DCE0FD"/>
    <w:multiLevelType w:val="hybridMultilevel"/>
    <w:lvl w:ilvl="0">
      <w:lvlJc w:val="left"/>
      <w:lvlText w:val="(%1)"/>
      <w:numFmt w:val="lowerLetter"/>
      <w:start w:val="1"/>
    </w:lvl>
    <w:lvl w:ilvl="1">
      <w:lvlJc w:val="left"/>
      <w:lvlText w:val="(%2)"/>
      <w:numFmt w:val="lowerRoman"/>
      <w:start w:val="1"/>
    </w:lvl>
  </w:abstractNum>
  <w:abstractNum w:abstractNumId="239">
    <w:nsid w:val="7906328B"/>
    <w:multiLevelType w:val="hybridMultilevel"/>
    <w:lvl w:ilvl="0">
      <w:lvlJc w:val="left"/>
      <w:lvlText w:val="(%1)"/>
      <w:numFmt w:val="lowerRoman"/>
      <w:start w:val="4"/>
    </w:lvl>
    <w:lvl w:ilvl="1">
      <w:lvlJc w:val="left"/>
      <w:lvlText w:val="(%2)"/>
      <w:numFmt w:val="upperLetter"/>
      <w:start w:val="1"/>
    </w:lvl>
  </w:abstractNum>
  <w:abstractNum w:abstractNumId="240">
    <w:nsid w:val="72BBC16"/>
    <w:multiLevelType w:val="hybridMultilevel"/>
    <w:lvl w:ilvl="0">
      <w:lvlJc w:val="left"/>
      <w:lvlText w:val="(%1)"/>
      <w:numFmt w:val="lowerLetter"/>
      <w:start w:val="61"/>
    </w:lvl>
    <w:lvl w:ilvl="1">
      <w:lvlJc w:val="left"/>
      <w:lvlText w:val="(%2)"/>
      <w:numFmt w:val="lowerLetter"/>
      <w:start w:val="2"/>
    </w:lvl>
  </w:abstractNum>
  <w:abstractNum w:abstractNumId="241">
    <w:nsid w:val="766D98C2"/>
    <w:multiLevelType w:val="hybridMultilevel"/>
    <w:lvl w:ilvl="0">
      <w:lvlJc w:val="left"/>
      <w:lvlText w:val="(%1)"/>
      <w:numFmt w:val="lowerLetter"/>
      <w:start w:val="1"/>
    </w:lvl>
  </w:abstractNum>
  <w:abstractNum w:abstractNumId="242">
    <w:nsid w:val="3C09D4A1"/>
    <w:multiLevelType w:val="hybridMultilevel"/>
    <w:lvl w:ilvl="0">
      <w:lvlJc w:val="left"/>
      <w:lvlText w:val="(%1)"/>
      <w:numFmt w:val="lowerLetter"/>
      <w:start w:val="1"/>
    </w:lvl>
  </w:abstractNum>
  <w:abstractNum w:abstractNumId="243">
    <w:nsid w:val="20E45CA4"/>
    <w:multiLevelType w:val="hybridMultilevel"/>
    <w:lvl w:ilvl="0">
      <w:lvlJc w:val="left"/>
      <w:lvlText w:val="(%1)"/>
      <w:numFmt w:val="lowerLetter"/>
      <w:start w:val="1"/>
    </w:lvl>
    <w:lvl w:ilvl="1">
      <w:lvlJc w:val="left"/>
      <w:lvlText w:val="(%2)"/>
      <w:numFmt w:val="lowerLetter"/>
      <w:start w:val="9"/>
    </w:lvl>
  </w:abstractNum>
  <w:abstractNum w:abstractNumId="244">
    <w:nsid w:val="4B232EE3"/>
    <w:multiLevelType w:val="hybridMultilevel"/>
    <w:lvl w:ilvl="0">
      <w:lvlJc w:val="left"/>
      <w:lvlText w:val="(%1)"/>
      <w:numFmt w:val="lowerRoman"/>
      <w:start w:val="2"/>
    </w:lvl>
    <w:lvl w:ilvl="1">
      <w:lvlJc w:val="left"/>
      <w:lvlText w:val="(%2)"/>
      <w:numFmt w:val="upperLetter"/>
      <w:start w:val="1"/>
    </w:lvl>
  </w:abstractNum>
  <w:abstractNum w:abstractNumId="245">
    <w:nsid w:val="159C74CF"/>
    <w:multiLevelType w:val="hybridMultilevel"/>
    <w:lvl w:ilvl="0">
      <w:lvlJc w:val="left"/>
      <w:lvlText w:val="(%1)"/>
      <w:numFmt w:val="lowerLetter"/>
      <w:start w:val="2"/>
    </w:lvl>
    <w:lvl w:ilvl="1">
      <w:lvlJc w:val="left"/>
      <w:lvlText w:val="(%2)"/>
      <w:numFmt w:val="lowerRoman"/>
      <w:start w:val="1"/>
    </w:lvl>
  </w:abstractNum>
  <w:abstractNum w:abstractNumId="246">
    <w:nsid w:val="4AD3AFD2"/>
    <w:multiLevelType w:val="hybridMultilevel"/>
    <w:lvl w:ilvl="0">
      <w:lvlJc w:val="left"/>
      <w:lvlText w:val="%1"/>
      <w:numFmt w:val="lowerLetter"/>
      <w:start w:val="1"/>
    </w:lvl>
    <w:lvl w:ilvl="1">
      <w:lvlJc w:val="left"/>
      <w:lvlText w:val="(%2)"/>
      <w:numFmt w:val="lowerLetter"/>
      <w:start w:val="61"/>
    </w:lvl>
  </w:abstractNum>
  <w:abstractNum w:abstractNumId="247">
    <w:nsid w:val="3CF93092"/>
    <w:multiLevelType w:val="hybridMultilevel"/>
    <w:lvl w:ilvl="0">
      <w:lvlJc w:val="left"/>
      <w:lvlText w:val="(%1)"/>
      <w:numFmt w:val="lowerLetter"/>
      <w:start w:val="4"/>
    </w:lvl>
    <w:lvl w:ilvl="1">
      <w:lvlJc w:val="left"/>
      <w:lvlText w:val="(%2)"/>
      <w:numFmt w:val="lowerLetter"/>
      <w:start w:val="9"/>
    </w:lvl>
  </w:abstractNum>
  <w:abstractNum w:abstractNumId="248">
    <w:nsid w:val="6863E8D2"/>
    <w:multiLevelType w:val="hybridMultilevel"/>
    <w:lvl w:ilvl="0">
      <w:lvlJc w:val="left"/>
      <w:lvlText w:val="(%1)"/>
      <w:numFmt w:val="lowerRoman"/>
      <w:start w:val="2"/>
    </w:lvl>
  </w:abstractNum>
  <w:abstractNum w:abstractNumId="249">
    <w:nsid w:val="76896198"/>
    <w:multiLevelType w:val="hybridMultilevel"/>
    <w:lvl w:ilvl="0">
      <w:lvlJc w:val="left"/>
      <w:lvlText w:val="(%1)"/>
      <w:numFmt w:val="lowerLetter"/>
      <w:start w:val="6"/>
    </w:lvl>
  </w:abstractNum>
  <w:abstractNum w:abstractNumId="250">
    <w:nsid w:val="4365174B"/>
    <w:multiLevelType w:val="hybridMultilevel"/>
    <w:lvl w:ilvl="0">
      <w:lvlJc w:val="left"/>
      <w:lvlText w:val="(%1)"/>
      <w:numFmt w:val="lowerLetter"/>
      <w:start w:val="1"/>
    </w:lvl>
  </w:abstractNum>
  <w:abstractNum w:abstractNumId="251">
    <w:nsid w:val="4A872C35"/>
    <w:multiLevelType w:val="hybridMultilevel"/>
    <w:lvl w:ilvl="0">
      <w:lvlJc w:val="left"/>
      <w:lvlText w:val="(%1)"/>
      <w:numFmt w:val="lowerLetter"/>
      <w:start w:val="2"/>
    </w:lvl>
  </w:abstractNum>
  <w:abstractNum w:abstractNumId="252">
    <w:nsid w:val="5D5CE761"/>
    <w:multiLevelType w:val="hybridMultilevel"/>
    <w:lvl w:ilvl="0">
      <w:lvlJc w:val="left"/>
      <w:lvlText w:val="(%1)"/>
      <w:numFmt w:val="lowerLetter"/>
      <w:start w:val="1"/>
    </w:lvl>
  </w:abstractNum>
  <w:abstractNum w:abstractNumId="253">
    <w:nsid w:val="1CD484D5"/>
    <w:multiLevelType w:val="hybridMultilevel"/>
    <w:lvl w:ilvl="0">
      <w:lvlJc w:val="left"/>
      <w:lvlText w:val="(%1)"/>
      <w:numFmt w:val="lowerLetter"/>
      <w:start w:val="7"/>
    </w:lvl>
  </w:abstractNum>
  <w:abstractNum w:abstractNumId="254">
    <w:nsid w:val="21D062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5">
    <w:nsid w:val="51194ED1"/>
    <w:multiLevelType w:val="hybridMultilevel"/>
    <w:lvl w:ilvl="0">
      <w:lvlJc w:val="left"/>
      <w:lvlText w:val="%1"/>
      <w:numFmt w:val="decimal"/>
      <w:start w:val="1"/>
    </w:lvl>
    <w:lvl w:ilvl="1">
      <w:lvlJc w:val="left"/>
      <w:lvlText w:val="(%2)"/>
      <w:numFmt w:val="lowerLetter"/>
      <w:start w:val="4"/>
    </w:lvl>
  </w:abstractNum>
  <w:abstractNum w:abstractNumId="256">
    <w:nsid w:val="44E2ED6C"/>
    <w:multiLevelType w:val="hybridMultilevel"/>
    <w:lvl w:ilvl="0">
      <w:lvlJc w:val="left"/>
      <w:lvlText w:val="%1."/>
      <w:numFmt w:val="decimal"/>
      <w:start w:val="2"/>
    </w:lvl>
    <w:lvl w:ilvl="1">
      <w:lvlJc w:val="left"/>
      <w:lvlText w:val="(%2)"/>
      <w:numFmt w:val="lowerLetter"/>
      <w:start w:val="1"/>
    </w:lvl>
  </w:abstractNum>
  <w:abstractNum w:abstractNumId="257">
    <w:nsid w:val="2219B33"/>
    <w:multiLevelType w:val="hybridMultilevel"/>
    <w:lvl w:ilvl="0">
      <w:lvlJc w:val="left"/>
      <w:lvlText w:val="%1."/>
      <w:numFmt w:val="decimal"/>
      <w:start w:val="5"/>
    </w:lvl>
    <w:lvl w:ilvl="1">
      <w:lvlJc w:val="left"/>
      <w:lvlText w:val="(%2)"/>
      <w:numFmt w:val="lowerLetter"/>
      <w:start w:val="1"/>
    </w:lvl>
  </w:abstractNum>
  <w:abstractNum w:abstractNumId="258">
    <w:nsid w:val="773BFBDD"/>
    <w:multiLevelType w:val="hybridMultilevel"/>
    <w:lvl w:ilvl="0">
      <w:lvlJc w:val="left"/>
      <w:lvlText w:val="%1"/>
      <w:numFmt w:val="decimal"/>
      <w:start w:val="1"/>
    </w:lvl>
    <w:lvl w:ilvl="1">
      <w:lvlJc w:val="left"/>
      <w:lvlText w:val="(%2)"/>
      <w:numFmt w:val="lowerLetter"/>
      <w:start w:val="9"/>
    </w:lvl>
  </w:abstractNum>
  <w:abstractNum w:abstractNumId="259">
    <w:nsid w:val="2C7C62C2"/>
    <w:multiLevelType w:val="hybridMultilevel"/>
    <w:lvl w:ilvl="0">
      <w:lvlJc w:val="left"/>
      <w:lvlText w:val="%1."/>
      <w:numFmt w:val="decimal"/>
      <w:start w:val="7"/>
    </w:lvl>
    <w:lvl w:ilvl="1">
      <w:lvlJc w:val="left"/>
      <w:lvlText w:val="(%2)"/>
      <w:numFmt w:val="lowerLetter"/>
      <w:start w:val="1"/>
    </w:lvl>
  </w:abstractNum>
  <w:abstractNum w:abstractNumId="260">
    <w:nsid w:val="1A54D7BC"/>
    <w:multiLevelType w:val="hybridMultilevel"/>
    <w:lvl w:ilvl="0">
      <w:lvlJc w:val="left"/>
      <w:lvlText w:val="%1"/>
      <w:numFmt w:val="decimal"/>
      <w:start w:val="1"/>
    </w:lvl>
    <w:lvl w:ilvl="1">
      <w:lvlJc w:val="left"/>
      <w:lvlText w:val="(%2)"/>
      <w:numFmt w:val="lowerLetter"/>
      <w:start w:val="4"/>
    </w:lvl>
  </w:abstractNum>
  <w:abstractNum w:abstractNumId="261">
    <w:nsid w:val="42E57EF7"/>
    <w:multiLevelType w:val="hybridMultilevel"/>
    <w:lvl w:ilvl="0">
      <w:lvlJc w:val="left"/>
      <w:lvlText w:val="%1."/>
      <w:numFmt w:val="decimal"/>
      <w:start w:val="8"/>
    </w:lvl>
    <w:lvl w:ilvl="1">
      <w:lvlJc w:val="left"/>
      <w:lvlText w:val="%2"/>
      <w:numFmt w:val="lowerLetter"/>
      <w:start w:val="1"/>
    </w:lvl>
  </w:abstractNum>
  <w:abstractNum w:abstractNumId="262">
    <w:nsid w:val="33537CED"/>
    <w:multiLevelType w:val="hybridMultilevel"/>
    <w:lvl w:ilvl="0">
      <w:lvlJc w:val="left"/>
      <w:lvlText w:val="(%1)"/>
      <w:numFmt w:val="lowerRoman"/>
      <w:start w:val="1"/>
    </w:lvl>
  </w:abstractNum>
  <w:abstractNum w:abstractNumId="263">
    <w:nsid w:val="27514ADE"/>
    <w:multiLevelType w:val="hybridMultilevel"/>
    <w:lvl w:ilvl="0">
      <w:lvlJc w:val="left"/>
      <w:lvlText w:val="(%1)"/>
      <w:numFmt w:val="lowerRoman"/>
      <w:start w:val="5"/>
    </w:lvl>
  </w:abstractNum>
  <w:abstractNum w:abstractNumId="264">
    <w:nsid w:val="5707161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5">
    <w:nsid w:val="5293BFEF"/>
    <w:multiLevelType w:val="hybridMultilevel"/>
    <w:lvl w:ilvl="0">
      <w:lvlJc w:val="left"/>
      <w:lvlText w:val="%1."/>
      <w:numFmt w:val="decimal"/>
      <w:start w:val="2"/>
    </w:lvl>
    <w:lvl w:ilvl="1">
      <w:lvlJc w:val="left"/>
      <w:lvlText w:val="(%2)"/>
      <w:numFmt w:val="lowerLetter"/>
      <w:start w:val="1"/>
    </w:lvl>
  </w:abstractNum>
  <w:abstractNum w:abstractNumId="266">
    <w:nsid w:val="38BF53E5"/>
    <w:multiLevelType w:val="hybridMultilevel"/>
    <w:lvl w:ilvl="0">
      <w:lvlJc w:val="left"/>
      <w:lvlText w:val="(%1)"/>
      <w:numFmt w:val="lowerLetter"/>
      <w:start w:val="3"/>
    </w:lvl>
  </w:abstractNum>
  <w:abstractNum w:abstractNumId="267">
    <w:nsid w:val="226F5320"/>
    <w:multiLevelType w:val="hybridMultilevel"/>
    <w:lvl w:ilvl="0">
      <w:lvlJc w:val="left"/>
      <w:lvlText w:val="%1."/>
      <w:numFmt w:val="decimal"/>
      <w:start w:val="7"/>
    </w:lvl>
    <w:lvl w:ilvl="1">
      <w:lvlJc w:val="left"/>
      <w:lvlText w:val="(%2)"/>
      <w:numFmt w:val="lowerLetter"/>
      <w:start w:val="1"/>
    </w:lvl>
  </w:abstractNum>
  <w:abstractNum w:abstractNumId="268">
    <w:nsid w:val="5A0201C7"/>
    <w:multiLevelType w:val="hybridMultilevel"/>
    <w:lvl w:ilvl="0">
      <w:lvlJc w:val="left"/>
      <w:lvlText w:val="%1."/>
      <w:numFmt w:val="decimal"/>
      <w:start w:val="8"/>
    </w:lvl>
  </w:abstractNum>
  <w:abstractNum w:abstractNumId="269">
    <w:nsid w:val="2A9C34E2"/>
    <w:multiLevelType w:val="hybridMultilevel"/>
    <w:lvl w:ilvl="0">
      <w:lvlJc w:val="left"/>
      <w:lvlText w:val="(%1)"/>
      <w:numFmt w:val="lowerRoman"/>
      <w:start w:val="1"/>
    </w:lvl>
  </w:abstractNum>
  <w:abstractNum w:abstractNumId="270">
    <w:nsid w:val="1B7585AB"/>
    <w:multiLevelType w:val="hybridMultilevel"/>
    <w:lvl w:ilvl="0">
      <w:lvlJc w:val="left"/>
      <w:lvlText w:val="(%1)"/>
      <w:numFmt w:val="lowerRoman"/>
      <w:start w:val="5"/>
    </w:lvl>
  </w:abstractNum>
  <w:abstractNum w:abstractNumId="271">
    <w:nsid w:val="612DBDD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2">
    <w:nsid w:val="2109CDA4"/>
    <w:multiLevelType w:val="hybridMultilevel"/>
    <w:lvl w:ilvl="0">
      <w:lvlJc w:val="left"/>
      <w:lvlText w:val="%1."/>
      <w:numFmt w:val="decimal"/>
      <w:start w:val="2"/>
    </w:lvl>
    <w:lvl w:ilvl="1">
      <w:lvlJc w:val="left"/>
      <w:lvlText w:val="(%2)"/>
      <w:numFmt w:val="lowerLetter"/>
      <w:start w:val="1"/>
    </w:lvl>
  </w:abstractNum>
  <w:abstractNum w:abstractNumId="273">
    <w:nsid w:val="577F5A4D"/>
    <w:multiLevelType w:val="hybridMultilevel"/>
    <w:lvl w:ilvl="0">
      <w:lvlJc w:val="left"/>
      <w:lvlText w:val="%1."/>
      <w:numFmt w:val="decimal"/>
      <w:start w:val="6"/>
    </w:lvl>
    <w:lvl w:ilvl="1">
      <w:lvlJc w:val="left"/>
      <w:lvlText w:val="(%2)"/>
      <w:numFmt w:val="lowerLetter"/>
      <w:start w:val="1"/>
    </w:lvl>
  </w:abstractNum>
  <w:abstractNum w:abstractNumId="274">
    <w:nsid w:val="2121A81"/>
    <w:multiLevelType w:val="hybridMultilevel"/>
    <w:lvl w:ilvl="0">
      <w:lvlJc w:val="left"/>
      <w:lvlText w:val="%1"/>
      <w:numFmt w:val="decimal"/>
      <w:start w:val="1"/>
    </w:lvl>
    <w:lvl w:ilvl="1">
      <w:lvlJc w:val="left"/>
      <w:lvlText w:val="(%2)"/>
      <w:numFmt w:val="lowerLetter"/>
      <w:start w:val="9"/>
    </w:lvl>
  </w:abstractNum>
  <w:abstractNum w:abstractNumId="275">
    <w:nsid w:val="6C2CFC88"/>
    <w:multiLevelType w:val="hybridMultilevel"/>
    <w:lvl w:ilvl="0">
      <w:lvlJc w:val="left"/>
      <w:lvlText w:val="%1."/>
      <w:numFmt w:val="decimal"/>
      <w:start w:val="7"/>
    </w:lvl>
    <w:lvl w:ilvl="1">
      <w:lvlJc w:val="left"/>
      <w:lvlText w:val="(%2)"/>
      <w:numFmt w:val="lowerLetter"/>
      <w:start w:val="1"/>
    </w:lvl>
  </w:abstractNum>
  <w:abstractNum w:abstractNumId="276">
    <w:nsid w:val="6D1BCF1C"/>
    <w:multiLevelType w:val="hybridMultilevel"/>
    <w:lvl w:ilvl="0">
      <w:lvlJc w:val="left"/>
      <w:lvlText w:val="%1"/>
      <w:numFmt w:val="decimal"/>
      <w:start w:val="1"/>
    </w:lvl>
    <w:lvl w:ilvl="1">
      <w:lvlJc w:val="left"/>
      <w:lvlText w:val="(%2)"/>
      <w:numFmt w:val="lowerLetter"/>
      <w:start w:val="4"/>
    </w:lvl>
  </w:abstractNum>
  <w:abstractNum w:abstractNumId="277">
    <w:nsid w:val="4CE5CA53"/>
    <w:multiLevelType w:val="hybridMultilevel"/>
    <w:lvl w:ilvl="0">
      <w:lvlJc w:val="left"/>
      <w:lvlText w:val="%1."/>
      <w:numFmt w:val="decimal"/>
      <w:start w:val="8"/>
    </w:lvl>
    <w:lvl w:ilvl="1">
      <w:lvlJc w:val="left"/>
      <w:lvlText w:val="%2"/>
      <w:numFmt w:val="lowerLetter"/>
      <w:start w:val="1"/>
    </w:lvl>
  </w:abstractNum>
  <w:abstractNum w:abstractNumId="278">
    <w:nsid w:val="29262D1A"/>
    <w:multiLevelType w:val="hybridMultilevel"/>
    <w:lvl w:ilvl="0">
      <w:lvlJc w:val="left"/>
      <w:lvlText w:val="(%1)"/>
      <w:numFmt w:val="lowerRoman"/>
      <w:start w:val="1"/>
    </w:lvl>
  </w:abstractNum>
  <w:abstractNum w:abstractNumId="279">
    <w:nsid w:val="557FB7EE"/>
    <w:multiLevelType w:val="hybridMultilevel"/>
    <w:lvl w:ilvl="0">
      <w:lvlJc w:val="left"/>
      <w:lvlText w:val="(%1)"/>
      <w:numFmt w:val="lowerRoman"/>
      <w:start w:val="6"/>
    </w:lvl>
  </w:abstractNum>
  <w:abstractNum w:abstractNumId="280">
    <w:nsid w:val="436F2BEB"/>
    <w:multiLevelType w:val="hybridMultilevel"/>
    <w:lvl w:ilvl="0">
      <w:lvlJc w:val="left"/>
      <w:lvlText w:val="%1."/>
      <w:numFmt w:val="decimal"/>
      <w:start w:val="1"/>
    </w:lvl>
    <w:lvl w:ilvl="1">
      <w:lvlJc w:val="left"/>
      <w:lvlText w:val="(%2)"/>
      <w:numFmt w:val="lowerLetter"/>
      <w:start w:val="1"/>
    </w:lvl>
  </w:abstractNum>
  <w:abstractNum w:abstractNumId="281">
    <w:nsid w:val="6C8B4466"/>
    <w:multiLevelType w:val="hybridMultilevel"/>
    <w:lvl w:ilvl="0">
      <w:lvlJc w:val="left"/>
      <w:lvlText w:val="1"/>
      <w:numFmt w:val="bullet"/>
      <w:start w:val="1"/>
    </w:lvl>
  </w:abstractNum>
  <w:abstractNum w:abstractNumId="282">
    <w:nsid w:val="2006E424"/>
    <w:multiLevelType w:val="hybridMultilevel"/>
    <w:lvl w:ilvl="0">
      <w:lvlJc w:val="left"/>
      <w:lvlText w:val="(%1)"/>
      <w:numFmt w:val="lowerLetter"/>
      <w:start w:val="2"/>
    </w:lvl>
  </w:abstractNum>
  <w:abstractNum w:abstractNumId="283">
    <w:nsid w:val="20CC134C"/>
    <w:multiLevelType w:val="hybridMultilevel"/>
    <w:lvl w:ilvl="0">
      <w:lvlJc w:val="left"/>
      <w:lvlText w:val="%1"/>
      <w:numFmt w:val="decimal"/>
      <w:start w:val="1"/>
    </w:lvl>
    <w:lvl w:ilvl="1">
      <w:lvlJc w:val="left"/>
      <w:lvlText w:val="(%2)"/>
      <w:numFmt w:val="lowerLetter"/>
      <w:start w:val="10"/>
    </w:lvl>
  </w:abstractNum>
  <w:abstractNum w:abstractNumId="284">
    <w:nsid w:val="95FC93B"/>
    <w:multiLevelType w:val="hybridMultilevel"/>
    <w:lvl w:ilvl="0">
      <w:lvlJc w:val="left"/>
      <w:lvlText w:val="%1."/>
      <w:numFmt w:val="decimal"/>
      <w:start w:val="6"/>
    </w:lvl>
    <w:lvl w:ilvl="1">
      <w:lvlJc w:val="left"/>
      <w:lvlText w:val="(%2)"/>
      <w:numFmt w:val="lowerLetter"/>
      <w:start w:val="1"/>
    </w:lvl>
  </w:abstractNum>
  <w:abstractNum w:abstractNumId="285">
    <w:nsid w:val="41D74679"/>
    <w:multiLevelType w:val="hybridMultilevel"/>
    <w:lvl w:ilvl="0">
      <w:lvlJc w:val="left"/>
      <w:lvlText w:val="%1."/>
      <w:numFmt w:val="decimal"/>
      <w:start w:val="7"/>
    </w:lvl>
  </w:abstractNum>
  <w:abstractNum w:abstractNumId="286">
    <w:nsid w:val="71E5621E"/>
    <w:multiLevelType w:val="hybridMultilevel"/>
    <w:lvl w:ilvl="0">
      <w:lvlJc w:val="left"/>
      <w:lvlText w:val="2"/>
      <w:numFmt w:val="bullet"/>
      <w:start w:val="1"/>
    </w:lvl>
  </w:abstractNum>
  <w:abstractNum w:abstractNumId="287">
    <w:nsid w:val="4E42B6A8"/>
    <w:multiLevelType w:val="hybridMultilevel"/>
    <w:lvl w:ilvl="0">
      <w:lvlJc w:val="left"/>
      <w:lvlText w:val="%1."/>
      <w:numFmt w:val="decimal"/>
      <w:start w:val="1"/>
    </w:lvl>
  </w:abstractNum>
  <w:abstractNum w:abstractNumId="288">
    <w:nsid w:val="43F8E1AC"/>
    <w:multiLevelType w:val="hybridMultilevel"/>
    <w:lvl w:ilvl="0">
      <w:lvlJc w:val="left"/>
      <w:lvlText w:val="%1."/>
      <w:numFmt w:val="decimal"/>
      <w:start w:val="2"/>
    </w:lvl>
  </w:abstractNum>
  <w:abstractNum w:abstractNumId="289">
    <w:nsid w:val="69215D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0">
    <w:nsid w:val="7ABF19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91">
    <w:nsid w:val="5E4DB96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2">
    <w:nsid w:val="2C06DCF3"/>
    <w:multiLevelType w:val="hybridMultilevel"/>
    <w:lvl w:ilvl="0">
      <w:lvlJc w:val="left"/>
      <w:lvlText w:val="(%1)"/>
      <w:numFmt w:val="lowerLetter"/>
      <w:start w:val="4"/>
    </w:lvl>
  </w:abstractNum>
  <w:abstractNum w:abstractNumId="293">
    <w:nsid w:val="2E129658"/>
    <w:multiLevelType w:val="hybridMultilevel"/>
    <w:lvl w:ilvl="0">
      <w:lvlJc w:val="left"/>
      <w:lvlText w:val="%1."/>
      <w:numFmt w:val="decimal"/>
      <w:start w:val="6"/>
    </w:lvl>
    <w:lvl w:ilvl="1">
      <w:lvlJc w:val="left"/>
      <w:lvlText w:val="(%2)"/>
      <w:numFmt w:val="lowerLetter"/>
      <w:start w:val="1"/>
    </w:lvl>
  </w:abstractNum>
  <w:abstractNum w:abstractNumId="294">
    <w:nsid w:val="59F0446"/>
    <w:multiLevelType w:val="hybridMultilevel"/>
    <w:lvl w:ilvl="0">
      <w:lvlJc w:val="left"/>
      <w:lvlText w:val="%1."/>
      <w:numFmt w:val="decimal"/>
      <w:start w:val="7"/>
    </w:lvl>
  </w:abstractNum>
  <w:abstractNum w:abstractNumId="295">
    <w:nsid w:val="30DF306"/>
    <w:multiLevelType w:val="hybridMultilevel"/>
    <w:lvl w:ilvl="0">
      <w:lvlJc w:val="left"/>
      <w:lvlText w:val="%1."/>
      <w:numFmt w:val="decimal"/>
      <w:start w:val="1"/>
    </w:lvl>
  </w:abstractNum>
  <w:abstractNum w:abstractNumId="296">
    <w:nsid w:val="A65647"/>
    <w:multiLevelType w:val="hybridMultilevel"/>
    <w:lvl w:ilvl="0">
      <w:lvlJc w:val="left"/>
      <w:lvlText w:val="(%1)"/>
      <w:numFmt w:val="lowerLetter"/>
      <w:start w:val="1"/>
    </w:lvl>
  </w:abstractNum>
  <w:abstractNum w:abstractNumId="297">
    <w:nsid w:val="3E5E582B"/>
    <w:multiLevelType w:val="hybridMultilevel"/>
    <w:lvl w:ilvl="0">
      <w:lvlJc w:val="left"/>
      <w:lvlText w:val="%1."/>
      <w:numFmt w:val="decimal"/>
      <w:start w:val="3"/>
    </w:lvl>
  </w:abstractNum>
  <w:abstractNum w:abstractNumId="298">
    <w:nsid w:val="257D4626"/>
    <w:multiLevelType w:val="hybridMultilevel"/>
    <w:lvl w:ilvl="0">
      <w:lvlJc w:val="left"/>
      <w:lvlText w:val="%1."/>
      <w:numFmt w:val="decimal"/>
      <w:start w:val="4"/>
    </w:lvl>
  </w:abstractNum>
  <w:abstractNum w:abstractNumId="299">
    <w:nsid w:val="5AA8580E"/>
    <w:multiLevelType w:val="hybridMultilevel"/>
    <w:lvl w:ilvl="0">
      <w:lvlJc w:val="left"/>
      <w:lvlText w:val="(%1)"/>
      <w:numFmt w:val="lowerLetter"/>
      <w:start w:val="1"/>
    </w:lvl>
  </w:abstractNum>
  <w:abstractNum w:abstractNumId="300">
    <w:nsid w:val="68FA8D0D"/>
    <w:multiLevelType w:val="hybridMultilevel"/>
    <w:lvl w:ilvl="0">
      <w:lvlJc w:val="left"/>
      <w:lvlText w:val="(%1)"/>
      <w:numFmt w:val="decimal"/>
      <w:start w:val="3"/>
    </w:lvl>
  </w:abstractNum>
  <w:abstractNum w:abstractNumId="301">
    <w:nsid w:val="40F2CBD2"/>
    <w:multiLevelType w:val="hybridMultilevel"/>
    <w:lvl w:ilvl="0">
      <w:lvlJc w:val="left"/>
      <w:lvlText w:val="%1."/>
      <w:numFmt w:val="decimal"/>
      <w:start w:val="5"/>
    </w:lvl>
  </w:abstractNum>
  <w:abstractNum w:abstractNumId="302">
    <w:nsid w:val="3BD615EB"/>
    <w:multiLevelType w:val="hybridMultilevel"/>
    <w:lvl w:ilvl="0">
      <w:lvlJc w:val="left"/>
      <w:lvlText w:val="%1."/>
      <w:numFmt w:val="decimal"/>
      <w:start w:val="6"/>
    </w:lvl>
  </w:abstractNum>
  <w:abstractNum w:abstractNumId="303">
    <w:nsid w:val="A045AB2"/>
    <w:multiLevelType w:val="hybridMultilevel"/>
    <w:lvl w:ilvl="0">
      <w:lvlJc w:val="left"/>
      <w:lvlText w:val="%1."/>
      <w:numFmt w:val="decimal"/>
      <w:start w:val="7"/>
    </w:lvl>
  </w:abstractNum>
  <w:abstractNum w:abstractNumId="304">
    <w:nsid w:val="1872261F"/>
    <w:multiLevelType w:val="hybridMultilevel"/>
    <w:lvl w:ilvl="0">
      <w:lvlJc w:val="left"/>
      <w:lvlText w:val="%1."/>
      <w:numFmt w:val="decimal"/>
      <w:start w:val="8"/>
    </w:lvl>
  </w:abstractNum>
  <w:abstractNum w:abstractNumId="305">
    <w:nsid w:val="3DE8306C"/>
    <w:multiLevelType w:val="hybridMultilevel"/>
    <w:lvl w:ilvl="0">
      <w:lvlJc w:val="left"/>
      <w:lvlText w:val="(%1)"/>
      <w:numFmt w:val="lowerLetter"/>
      <w:start w:val="1"/>
    </w:lvl>
  </w:abstractNum>
  <w:abstractNum w:abstractNumId="306">
    <w:nsid w:val="7631573A"/>
    <w:multiLevelType w:val="hybridMultilevel"/>
    <w:lvl w:ilvl="0">
      <w:lvlJc w:val="left"/>
      <w:lvlText w:val="%1."/>
      <w:numFmt w:val="decimal"/>
      <w:start w:val="9"/>
    </w:lvl>
  </w:abstractNum>
  <w:abstractNum w:abstractNumId="307">
    <w:nsid w:val="58DF53B"/>
    <w:multiLevelType w:val="hybridMultilevel"/>
    <w:lvl w:ilvl="0">
      <w:lvlJc w:val="left"/>
      <w:lvlText w:val="%1."/>
      <w:numFmt w:val="decimal"/>
      <w:start w:val="10"/>
    </w:lvl>
  </w:abstractNum>
  <w:abstractNum w:abstractNumId="308">
    <w:nsid w:val="ACDFAC0"/>
    <w:multiLevelType w:val="hybridMultilevel"/>
    <w:lvl w:ilvl="0">
      <w:lvlJc w:val="left"/>
      <w:lvlText w:val="%1."/>
      <w:numFmt w:val="decimal"/>
      <w:start w:val="11"/>
    </w:lvl>
  </w:abstractNum>
  <w:abstractNum w:abstractNumId="309">
    <w:nsid w:val="1F578454"/>
    <w:multiLevelType w:val="hybridMultilevel"/>
    <w:lvl w:ilvl="0">
      <w:lvlJc w:val="left"/>
      <w:lvlText w:val="(%1)"/>
      <w:numFmt w:val="lowerLetter"/>
      <w:start w:val="1"/>
    </w:lvl>
  </w:abstractNum>
  <w:abstractNum w:abstractNumId="310">
    <w:nsid w:val="5B0DAD2A"/>
    <w:multiLevelType w:val="hybridMultilevel"/>
    <w:lvl w:ilvl="0">
      <w:lvlJc w:val="left"/>
      <w:lvlText w:val="(%1)"/>
      <w:numFmt w:val="lowerLetter"/>
      <w:start w:val="2"/>
    </w:lvl>
  </w:abstractNum>
  <w:abstractNum w:abstractNumId="311">
    <w:nsid w:val="4E3D26AB"/>
    <w:multiLevelType w:val="hybridMultilevel"/>
    <w:lvl w:ilvl="0">
      <w:lvlJc w:val="left"/>
      <w:lvlText w:val="%1."/>
      <w:numFmt w:val="decimal"/>
      <w:start w:val="12"/>
    </w:lvl>
  </w:abstractNum>
  <w:abstractNum w:abstractNumId="312">
    <w:nsid w:val="BE2C8BA"/>
    <w:multiLevelType w:val="hybridMultilevel"/>
    <w:lvl w:ilvl="0">
      <w:lvlJc w:val="left"/>
      <w:lvlText w:val="(%1)"/>
      <w:numFmt w:val="lowerLetter"/>
      <w:start w:val="1"/>
    </w:lvl>
  </w:abstractNum>
  <w:abstractNum w:abstractNumId="313">
    <w:nsid w:val="7B14914E"/>
    <w:multiLevelType w:val="hybridMultilevel"/>
    <w:lvl w:ilvl="0">
      <w:lvlJc w:val="left"/>
      <w:lvlText w:val="(%1)"/>
      <w:numFmt w:val="lowerLetter"/>
      <w:start w:val="10"/>
    </w:lvl>
  </w:abstractNum>
  <w:abstractNum w:abstractNumId="314">
    <w:nsid w:val="6F0939F8"/>
    <w:multiLevelType w:val="hybridMultilevel"/>
    <w:lvl w:ilvl="0">
      <w:lvlJc w:val="left"/>
      <w:lvlText w:val="%1."/>
      <w:numFmt w:val="decimal"/>
      <w:start w:val="13"/>
    </w:lvl>
  </w:abstractNum>
  <w:abstractNum w:abstractNumId="315">
    <w:nsid w:val="154291F6"/>
    <w:multiLevelType w:val="hybridMultilevel"/>
    <w:lvl w:ilvl="0">
      <w:lvlJc w:val="left"/>
      <w:lvlText w:val="(%1)"/>
      <w:numFmt w:val="lowerLetter"/>
      <w:start w:val="2"/>
    </w:lvl>
  </w:abstractNum>
  <w:abstractNum w:abstractNumId="316">
    <w:nsid w:val="3CEBD7C7"/>
    <w:multiLevelType w:val="hybridMultilevel"/>
    <w:lvl w:ilvl="0">
      <w:lvlJc w:val="left"/>
      <w:lvlText w:val="%1."/>
      <w:numFmt w:val="decimal"/>
      <w:start w:val="14"/>
    </w:lvl>
    <w:lvl w:ilvl="1">
      <w:lvlJc w:val="left"/>
      <w:lvlText w:val="(%2)"/>
      <w:numFmt w:val="lowerLetter"/>
      <w:start w:val="1"/>
    </w:lvl>
  </w:abstractNum>
  <w:abstractNum w:abstractNumId="317">
    <w:nsid w:val="60EE9C16"/>
    <w:multiLevelType w:val="hybridMultilevel"/>
    <w:lvl w:ilvl="0">
      <w:lvlJc w:val="left"/>
      <w:lvlText w:val="(%1)"/>
      <w:numFmt w:val="lowerLetter"/>
      <w:start w:val="2"/>
    </w:lvl>
  </w:abstractNum>
  <w:abstractNum w:abstractNumId="318">
    <w:nsid w:val="6385489E"/>
    <w:multiLevelType w:val="hybridMultilevel"/>
    <w:lvl w:ilvl="0">
      <w:lvlJc w:val="left"/>
      <w:lvlText w:val="(%1)"/>
      <w:numFmt w:val="lowerLetter"/>
      <w:start w:val="3"/>
    </w:lvl>
  </w:abstractNum>
  <w:abstractNum w:abstractNumId="319">
    <w:nsid w:val="E4B973"/>
    <w:multiLevelType w:val="hybridMultilevel"/>
    <w:lvl w:ilvl="0">
      <w:lvlJc w:val="left"/>
      <w:lvlText w:val="(%1)"/>
      <w:numFmt w:val="lowerLetter"/>
      <w:start w:val="1"/>
    </w:lvl>
  </w:abstractNum>
  <w:abstractNum w:abstractNumId="320">
    <w:nsid w:val="4A0FFA11"/>
    <w:multiLevelType w:val="hybridMultilevel"/>
    <w:lvl w:ilvl="0">
      <w:lvlJc w:val="left"/>
      <w:lvlText w:val="%1."/>
      <w:numFmt w:val="decimal"/>
      <w:start w:val="1"/>
    </w:lvl>
  </w:abstractNum>
  <w:abstractNum w:abstractNumId="321">
    <w:nsid w:val="5E446208"/>
    <w:multiLevelType w:val="hybridMultilevel"/>
    <w:lvl w:ilvl="0">
      <w:lvlJc w:val="left"/>
      <w:lvlText w:val="(%1)"/>
      <w:numFmt w:val="lowerLetter"/>
      <w:start w:val="1"/>
    </w:lvl>
  </w:abstractNum>
  <w:abstractNum w:abstractNumId="322">
    <w:nsid w:val="5F3272DB"/>
    <w:multiLevelType w:val="hybridMultilevel"/>
    <w:lvl w:ilvl="0">
      <w:lvlJc w:val="left"/>
      <w:lvlText w:val="(%1)"/>
      <w:numFmt w:val="lowerLetter"/>
      <w:start w:val="2"/>
    </w:lvl>
  </w:abstractNum>
  <w:abstractNum w:abstractNumId="323">
    <w:nsid w:val="7616D704"/>
    <w:multiLevelType w:val="hybridMultilevel"/>
    <w:lvl w:ilvl="0">
      <w:lvlJc w:val="left"/>
      <w:lvlText w:val="%1"/>
      <w:numFmt w:val="decimal"/>
      <w:start w:val="1"/>
    </w:lvl>
    <w:lvl w:ilvl="1">
      <w:lvlJc w:val="left"/>
      <w:lvlText w:val="%2."/>
      <w:numFmt w:val="decimal"/>
      <w:start w:val="5"/>
    </w:lvl>
  </w:abstractNum>
  <w:abstractNum w:abstractNumId="324">
    <w:nsid w:val="C56F860"/>
    <w:multiLevelType w:val="hybridMultilevel"/>
    <w:lvl w:ilvl="0">
      <w:lvlJc w:val="left"/>
      <w:lvlText w:val="%1."/>
      <w:numFmt w:val="decimal"/>
      <w:start w:val="701"/>
    </w:lvl>
    <w:lvl w:ilvl="1">
      <w:lvlJc w:val="left"/>
      <w:lvlText w:val="%2"/>
      <w:numFmt w:val="decimal"/>
      <w:start w:val="1"/>
    </w:lvl>
  </w:abstractNum>
  <w:abstractNum w:abstractNumId="325">
    <w:nsid w:val="64D17722"/>
    <w:multiLevelType w:val="hybridMultilevel"/>
    <w:lvl w:ilvl="0">
      <w:lvlJc w:val="left"/>
      <w:lvlText w:val="%1."/>
      <w:numFmt w:val="decimal"/>
      <w:start w:val="6"/>
    </w:lvl>
  </w:abstractNum>
  <w:abstractNum w:abstractNumId="326">
    <w:nsid w:val="7924CA0A"/>
    <w:multiLevelType w:val="hybridMultilevel"/>
    <w:lvl w:ilvl="0">
      <w:lvlJc w:val="left"/>
      <w:lvlText w:val="(%1)"/>
      <w:numFmt w:val="lowerLetter"/>
      <w:start w:val="1"/>
    </w:lvl>
  </w:abstractNum>
  <w:abstractNum w:abstractNumId="327">
    <w:nsid w:val="CFD4EA7"/>
    <w:multiLevelType w:val="hybridMultilevel"/>
    <w:lvl w:ilvl="0">
      <w:lvlJc w:val="left"/>
      <w:lvlText w:val="%1."/>
      <w:numFmt w:val="decimal"/>
      <w:start w:val="8"/>
    </w:lvl>
  </w:abstractNum>
  <w:abstractNum w:abstractNumId="328">
    <w:nsid w:val="232FCF4D"/>
    <w:multiLevelType w:val="hybridMultilevel"/>
    <w:lvl w:ilvl="0">
      <w:lvlJc w:val="left"/>
      <w:lvlText w:val="%1."/>
      <w:numFmt w:val="decimal"/>
      <w:start w:val="9"/>
    </w:lvl>
  </w:abstractNum>
  <w:abstractNum w:abstractNumId="329">
    <w:nsid w:val="1EA21031"/>
    <w:multiLevelType w:val="hybridMultilevel"/>
    <w:lvl w:ilvl="0">
      <w:lvlJc w:val="left"/>
      <w:lvlText w:val="(%1)"/>
      <w:numFmt w:val="lowerRoman"/>
      <w:start w:val="1"/>
    </w:lvl>
  </w:abstractNum>
  <w:abstractNum w:abstractNumId="330">
    <w:nsid w:val="67A5A6B5"/>
    <w:multiLevelType w:val="hybridMultilevel"/>
    <w:lvl w:ilvl="0">
      <w:lvlJc w:val="left"/>
      <w:lvlText w:val="(%1)"/>
      <w:numFmt w:val="lowerRoman"/>
      <w:start w:val="6"/>
    </w:lvl>
  </w:abstractNum>
  <w:abstractNum w:abstractNumId="331">
    <w:nsid w:val="C2A5C5B"/>
    <w:multiLevelType w:val="hybridMultilevel"/>
    <w:lvl w:ilvl="0">
      <w:lvlJc w:val="left"/>
      <w:lvlText w:val="(%1)"/>
      <w:numFmt w:val="lowerRoman"/>
      <w:start w:val="1"/>
    </w:lvl>
    <w:lvl w:ilvl="1">
      <w:lvlJc w:val="left"/>
      <w:lvlText w:val="%2."/>
      <w:numFmt w:val="decimal"/>
      <w:start w:val="10"/>
    </w:lvl>
  </w:abstractNum>
  <w:abstractNum w:abstractNumId="332">
    <w:nsid w:val="5F94DC03"/>
    <w:multiLevelType w:val="hybridMultilevel"/>
    <w:lvl w:ilvl="0">
      <w:lvlJc w:val="left"/>
      <w:lvlText w:val="(%1)"/>
      <w:numFmt w:val="lowerLetter"/>
      <w:start w:val="1"/>
    </w:lvl>
  </w:abstractNum>
  <w:abstractNum w:abstractNumId="333">
    <w:nsid w:val="237BBCA0"/>
    <w:multiLevelType w:val="hybridMultilevel"/>
    <w:lvl w:ilvl="0">
      <w:lvlJc w:val="left"/>
      <w:lvlText w:val="%1."/>
      <w:numFmt w:val="decimal"/>
      <w:start w:val="14"/>
    </w:lvl>
  </w:abstractNum>
  <w:abstractNum w:abstractNumId="334">
    <w:nsid w:val="162EB70D"/>
    <w:multiLevelType w:val="hybridMultilevel"/>
    <w:lvl w:ilvl="0">
      <w:lvlJc w:val="left"/>
      <w:lvlText w:val="%1"/>
      <w:numFmt w:val="decimal"/>
      <w:start w:val="1"/>
    </w:lvl>
    <w:lvl w:ilvl="1">
      <w:lvlJc w:val="left"/>
      <w:lvlText w:val="(%2)"/>
      <w:numFmt w:val="lowerLetter"/>
      <w:start w:val="1"/>
    </w:lvl>
  </w:abstractNum>
  <w:abstractNum w:abstractNumId="335">
    <w:nsid w:val="78070222"/>
    <w:multiLevelType w:val="hybridMultilevel"/>
    <w:lvl w:ilvl="0">
      <w:lvlJc w:val="left"/>
      <w:lvlText w:val="%1."/>
      <w:numFmt w:val="decimal"/>
      <w:start w:val="15"/>
    </w:lvl>
    <w:lvl w:ilvl="1">
      <w:lvlJc w:val="left"/>
      <w:lvlText w:val="%2"/>
      <w:numFmt w:val="lowerLetter"/>
      <w:start w:val="1"/>
    </w:lvl>
  </w:abstractNum>
  <w:abstractNum w:abstractNumId="336">
    <w:nsid w:val="6163ED0D"/>
    <w:multiLevelType w:val="hybridMultilevel"/>
    <w:lvl w:ilvl="0">
      <w:lvlJc w:val="left"/>
      <w:lvlText w:val="%1."/>
      <w:numFmt w:val="decimal"/>
      <w:start w:val="16"/>
    </w:lvl>
  </w:abstractNum>
  <w:abstractNum w:abstractNumId="337">
    <w:nsid w:val="C600E47"/>
    <w:multiLevelType w:val="hybridMultilevel"/>
    <w:lvl w:ilvl="0">
      <w:lvlJc w:val="left"/>
      <w:lvlText w:val="%1."/>
      <w:numFmt w:val="decimal"/>
      <w:start w:val="17"/>
    </w:lvl>
    <w:lvl w:ilvl="1">
      <w:lvlJc w:val="left"/>
      <w:lvlText w:val="*"/>
      <w:numFmt w:val="bullet"/>
      <w:start w:val="1"/>
    </w:lvl>
  </w:abstractNum>
  <w:abstractNum w:abstractNumId="338">
    <w:nsid w:val="7D94F75D"/>
    <w:multiLevelType w:val="hybridMultilevel"/>
    <w:lvl w:ilvl="0">
      <w:lvlJc w:val="left"/>
      <w:lvlText w:val="%1."/>
      <w:numFmt w:val="decimal"/>
      <w:start w:val="1"/>
    </w:lvl>
  </w:abstractNum>
  <w:abstractNum w:abstractNumId="339">
    <w:nsid w:val="6C31E7CD"/>
    <w:multiLevelType w:val="hybridMultilevel"/>
    <w:lvl w:ilvl="0">
      <w:lvlJc w:val="left"/>
      <w:lvlText w:val="%1."/>
      <w:numFmt w:val="decimal"/>
      <w:start w:val="2"/>
    </w:lvl>
  </w:abstractNum>
  <w:abstractNum w:abstractNumId="340">
    <w:nsid w:val="2BB7929B"/>
    <w:multiLevelType w:val="hybridMultilevel"/>
    <w:lvl w:ilvl="0">
      <w:lvlJc w:val="left"/>
      <w:lvlText w:val="%1."/>
      <w:numFmt w:val="decimal"/>
      <w:start w:val="9"/>
    </w:lvl>
  </w:abstractNum>
  <w:abstractNum w:abstractNumId="341">
    <w:nsid w:val="58A2A487"/>
    <w:multiLevelType w:val="hybridMultilevel"/>
    <w:lvl w:ilvl="0">
      <w:lvlJc w:val="left"/>
      <w:lvlText w:val="%1."/>
      <w:numFmt w:val="decimal"/>
      <w:start w:val="1"/>
    </w:lvl>
  </w:abstractNum>
  <w:abstractNum w:abstractNumId="342">
    <w:nsid w:val="3A6F0E78"/>
    <w:multiLevelType w:val="hybridMultilevel"/>
    <w:lvl w:ilvl="0">
      <w:lvlJc w:val="left"/>
      <w:lvlText w:val="(%1)"/>
      <w:numFmt w:val="lowerLetter"/>
      <w:start w:val="1"/>
    </w:lvl>
  </w:abstractNum>
  <w:abstractNum w:abstractNumId="343">
    <w:nsid w:val="379A5B56"/>
    <w:multiLevelType w:val="hybridMultilevel"/>
    <w:lvl w:ilvl="0">
      <w:lvlJc w:val="left"/>
      <w:lvlText w:val="(%1)"/>
      <w:numFmt w:val="lowerLetter"/>
      <w:start w:val="2"/>
    </w:lvl>
  </w:abstractNum>
  <w:abstractNum w:abstractNumId="344">
    <w:nsid w:val="53B735D5"/>
    <w:multiLevelType w:val="hybridMultilevel"/>
    <w:lvl w:ilvl="0">
      <w:lvlJc w:val="left"/>
      <w:lvlText w:val="%1"/>
      <w:numFmt w:val="decimal"/>
      <w:start w:val="1"/>
    </w:lvl>
    <w:lvl w:ilvl="1">
      <w:lvlJc w:val="left"/>
      <w:lvlText w:val="%2."/>
      <w:numFmt w:val="decimal"/>
      <w:start w:val="5"/>
    </w:lvl>
  </w:abstractNum>
  <w:abstractNum w:abstractNumId="345">
    <w:nsid w:val="29784870"/>
    <w:multiLevelType w:val="hybridMultilevel"/>
    <w:lvl w:ilvl="0">
      <w:lvlJc w:val="left"/>
      <w:lvlText w:val="%1."/>
      <w:numFmt w:val="decimal"/>
      <w:start w:val="701"/>
    </w:lvl>
    <w:lvl w:ilvl="1">
      <w:lvlJc w:val="left"/>
      <w:lvlText w:val="%2"/>
      <w:numFmt w:val="decimal"/>
      <w:start w:val="1"/>
    </w:lvl>
  </w:abstractNum>
  <w:abstractNum w:abstractNumId="346">
    <w:nsid w:val="4CDCED4C"/>
    <w:multiLevelType w:val="hybridMultilevel"/>
    <w:lvl w:ilvl="0">
      <w:lvlJc w:val="left"/>
      <w:lvlText w:val="%1."/>
      <w:numFmt w:val="decimal"/>
      <w:start w:val="6"/>
    </w:lvl>
  </w:abstractNum>
  <w:abstractNum w:abstractNumId="347">
    <w:nsid w:val="10A30D9C"/>
    <w:multiLevelType w:val="hybridMultilevel"/>
    <w:lvl w:ilvl="0">
      <w:lvlJc w:val="left"/>
      <w:lvlText w:val="(%1)"/>
      <w:numFmt w:val="lowerLetter"/>
      <w:start w:val="1"/>
    </w:lvl>
  </w:abstractNum>
  <w:abstractNum w:abstractNumId="348">
    <w:nsid w:val="A66E486"/>
    <w:multiLevelType w:val="hybridMultilevel"/>
    <w:lvl w:ilvl="0">
      <w:lvlJc w:val="left"/>
      <w:lvlText w:val="(%1)"/>
      <w:numFmt w:val="lowerLetter"/>
      <w:start w:val="3"/>
    </w:lvl>
  </w:abstractNum>
  <w:abstractNum w:abstractNumId="349">
    <w:nsid w:val="306235EA"/>
    <w:multiLevelType w:val="hybridMultilevel"/>
    <w:lvl w:ilvl="0">
      <w:lvlJc w:val="left"/>
      <w:lvlText w:val="%1"/>
      <w:numFmt w:val="lowerLetter"/>
      <w:start w:val="1"/>
    </w:lvl>
    <w:lvl w:ilvl="1">
      <w:lvlJc w:val="left"/>
      <w:lvlText w:val="%2."/>
      <w:numFmt w:val="decimal"/>
      <w:start w:val="9"/>
    </w:lvl>
  </w:abstractNum>
  <w:abstractNum w:abstractNumId="350">
    <w:nsid w:val="1187C70F"/>
    <w:multiLevelType w:val="hybridMultilevel"/>
    <w:lvl w:ilvl="0">
      <w:lvlJc w:val="left"/>
      <w:lvlText w:val="(%1)"/>
      <w:numFmt w:val="lowerLetter"/>
      <w:start w:val="2"/>
    </w:lvl>
    <w:lvl w:ilvl="1">
      <w:lvlJc w:val="left"/>
      <w:lvlText w:val="%2"/>
      <w:numFmt w:val="decimal"/>
      <w:start w:val="1"/>
    </w:lvl>
  </w:abstractNum>
  <w:abstractNum w:abstractNumId="351">
    <w:nsid w:val="5476DE98"/>
    <w:multiLevelType w:val="hybridMultilevel"/>
    <w:lvl w:ilvl="0">
      <w:lvlJc w:val="left"/>
      <w:lvlText w:val="%1."/>
      <w:numFmt w:val="decimal"/>
      <w:start w:val="10"/>
    </w:lvl>
  </w:abstractNum>
  <w:abstractNum w:abstractNumId="352">
    <w:nsid w:val="EA697F2"/>
    <w:multiLevelType w:val="hybridMultilevel"/>
    <w:lvl w:ilvl="0">
      <w:lvlJc w:val="left"/>
      <w:lvlText w:val="(%1)"/>
      <w:numFmt w:val="lowerRoman"/>
      <w:start w:val="1"/>
    </w:lvl>
  </w:abstractNum>
  <w:abstractNum w:abstractNumId="353">
    <w:nsid w:val="70BA39EB"/>
    <w:multiLevelType w:val="hybridMultilevel"/>
    <w:lvl w:ilvl="0">
      <w:lvlJc w:val="left"/>
      <w:lvlText w:val="(%1)"/>
      <w:numFmt w:val="lowerRoman"/>
      <w:start w:val="1"/>
    </w:lvl>
  </w:abstractNum>
  <w:abstractNum w:abstractNumId="354">
    <w:nsid w:val="4A8DB59C"/>
    <w:multiLevelType w:val="hybridMultilevel"/>
    <w:lvl w:ilvl="0">
      <w:lvlJc w:val="left"/>
      <w:lvlText w:val="(%1)"/>
      <w:numFmt w:val="lowerRoman"/>
      <w:start w:val="1"/>
    </w:lvl>
  </w:abstractNum>
  <w:abstractNum w:abstractNumId="355">
    <w:nsid w:val="1AFD9053"/>
    <w:multiLevelType w:val="hybridMultilevel"/>
    <w:lvl w:ilvl="0">
      <w:lvlJc w:val="left"/>
      <w:lvlText w:val="%1."/>
      <w:numFmt w:val="decimal"/>
      <w:start w:val="11"/>
    </w:lvl>
  </w:abstractNum>
  <w:abstractNum w:abstractNumId="356">
    <w:nsid w:val="558BB10D"/>
    <w:multiLevelType w:val="hybridMultilevel"/>
    <w:lvl w:ilvl="0">
      <w:lvlJc w:val="left"/>
      <w:lvlText w:val="(%1)"/>
      <w:numFmt w:val="lowerLetter"/>
      <w:start w:val="1"/>
    </w:lvl>
  </w:abstractNum>
  <w:abstractNum w:abstractNumId="357">
    <w:nsid w:val="43B27FA7"/>
    <w:multiLevelType w:val="hybridMultilevel"/>
    <w:lvl w:ilvl="0">
      <w:lvlJc w:val="left"/>
      <w:lvlText w:val="%1."/>
      <w:numFmt w:val="decimal"/>
      <w:start w:val="15"/>
    </w:lvl>
  </w:abstractNum>
  <w:abstractNum w:abstractNumId="358">
    <w:nsid w:val="27FADEFA"/>
    <w:multiLevelType w:val="hybridMultilevel"/>
    <w:lvl w:ilvl="0">
      <w:lvlJc w:val="left"/>
      <w:lvlText w:val="%1"/>
      <w:numFmt w:val="decimal"/>
      <w:start w:val="1"/>
    </w:lvl>
    <w:lvl w:ilvl="1">
      <w:lvlJc w:val="left"/>
      <w:lvlText w:val="(%2)"/>
      <w:numFmt w:val="lowerLetter"/>
      <w:start w:val="1"/>
    </w:lvl>
  </w:abstractNum>
  <w:abstractNum w:abstractNumId="359">
    <w:nsid w:val="78BB805A"/>
    <w:multiLevelType w:val="hybridMultilevel"/>
    <w:lvl w:ilvl="0">
      <w:lvlJc w:val="left"/>
      <w:lvlText w:val="(%1)"/>
      <w:numFmt w:val="decimal"/>
      <w:start w:val="1"/>
    </w:lvl>
    <w:lvl w:ilvl="1">
      <w:lvlJc w:val="left"/>
      <w:lvlText w:val="(%2)"/>
      <w:numFmt w:val="lowerLetter"/>
      <w:start w:val="2"/>
    </w:lvl>
  </w:abstractNum>
  <w:abstractNum w:abstractNumId="360">
    <w:nsid w:val="62548FD8"/>
    <w:multiLevelType w:val="hybridMultilevel"/>
    <w:lvl w:ilvl="0">
      <w:lvlJc w:val="left"/>
      <w:lvlText w:val="%1."/>
      <w:numFmt w:val="decimal"/>
      <w:start w:val="17"/>
    </w:lvl>
  </w:abstractNum>
  <w:abstractNum w:abstractNumId="361">
    <w:nsid w:val="FA085B0"/>
    <w:multiLevelType w:val="hybridMultilevel"/>
    <w:lvl w:ilvl="0">
      <w:lvlJc w:val="left"/>
      <w:lvlText w:val="☐"/>
      <w:numFmt w:val="bullet"/>
      <w:start w:val="1"/>
    </w:lvl>
  </w:abstractNum>
  <w:abstractNum w:abstractNumId="362">
    <w:nsid w:val="4E5DCB5"/>
    <w:multiLevelType w:val="hybridMultilevel"/>
    <w:lvl w:ilvl="0">
      <w:lvlJc w:val="left"/>
      <w:lvlText w:val="%1."/>
      <w:numFmt w:val="decimal"/>
      <w:start w:val="1"/>
    </w:lvl>
  </w:abstractNum>
  <w:abstractNum w:abstractNumId="363">
    <w:nsid w:val="41E96BDB"/>
    <w:multiLevelType w:val="hybridMultilevel"/>
    <w:lvl w:ilvl="0">
      <w:lvlJc w:val="left"/>
      <w:lvlText w:val="%1."/>
      <w:numFmt w:val="decimal"/>
      <w:start w:val="2"/>
    </w:lvl>
  </w:abstractNum>
  <w:abstractNum w:abstractNumId="364">
    <w:nsid w:val="331C4250"/>
    <w:multiLevelType w:val="hybridMultilevel"/>
    <w:lvl w:ilvl="0">
      <w:lvlJc w:val="left"/>
      <w:lvlText w:val="%1."/>
      <w:numFmt w:val="decimal"/>
      <w:start w:val="9"/>
    </w:lvl>
  </w:abstractNum>
  <w:abstractNum w:abstractNumId="365">
    <w:nsid w:val="1B1493C2"/>
    <w:multiLevelType w:val="hybridMultilevel"/>
    <w:lvl w:ilvl="0">
      <w:lvlJc w:val="left"/>
      <w:lvlText w:val="%1."/>
      <w:numFmt w:val="decimal"/>
      <w:start w:val="1"/>
    </w:lvl>
  </w:abstractNum>
  <w:abstractNum w:abstractNumId="366">
    <w:nsid w:val="39F06DFD"/>
    <w:multiLevelType w:val="hybridMultilevel"/>
    <w:lvl w:ilvl="0">
      <w:lvlJc w:val="left"/>
      <w:lvlText w:val="%1."/>
      <w:numFmt w:val="decimal"/>
      <w:start w:val="1"/>
    </w:lvl>
  </w:abstractNum>
  <w:abstractNum w:abstractNumId="367">
    <w:nsid w:val="14802F5D"/>
    <w:multiLevelType w:val="hybridMultilevel"/>
    <w:lvl w:ilvl="0">
      <w:lvlJc w:val="left"/>
      <w:lvlText w:val="%1."/>
      <w:numFmt w:val="decimal"/>
      <w:start w:val="2"/>
    </w:lvl>
  </w:abstractNum>
  <w:abstractNum w:abstractNumId="368">
    <w:nsid w:val="2774A209"/>
    <w:multiLevelType w:val="hybridMultilevel"/>
    <w:lvl w:ilvl="0">
      <w:lvlJc w:val="left"/>
      <w:lvlText w:val="%1."/>
      <w:numFmt w:val="decimal"/>
      <w:start w:val="3"/>
    </w:lvl>
  </w:abstractNum>
  <w:abstractNum w:abstractNumId="369">
    <w:nsid w:val="3785655A"/>
    <w:multiLevelType w:val="hybridMultilevel"/>
    <w:lvl w:ilvl="0">
      <w:lvlJc w:val="left"/>
      <w:lvlText w:val="%1"/>
      <w:numFmt w:val="decimal"/>
      <w:start w:val="1"/>
    </w:lvl>
    <w:lvl w:ilvl="1">
      <w:lvlJc w:val="left"/>
      <w:lvlText w:val="%2."/>
      <w:numFmt w:val="decimal"/>
      <w:start w:val="4"/>
    </w:lvl>
  </w:abstractNum>
  <w:abstractNum w:abstractNumId="370">
    <w:nsid w:val="B2172A"/>
    <w:multiLevelType w:val="hybridMultilevel"/>
    <w:lvl w:ilvl="0">
      <w:lvlJc w:val="left"/>
      <w:lvlText w:val="(%1)"/>
      <w:numFmt w:val="decimal"/>
      <w:start w:val="180"/>
    </w:lvl>
    <w:lvl w:ilvl="1">
      <w:lvlJc w:val="left"/>
      <w:lvlText w:val="%2"/>
      <w:numFmt w:val="decimal"/>
      <w:start w:val="1"/>
    </w:lvl>
  </w:abstractNum>
  <w:abstractNum w:abstractNumId="371">
    <w:nsid w:val="532C34A5"/>
    <w:multiLevelType w:val="hybridMultilevel"/>
    <w:lvl w:ilvl="0">
      <w:lvlJc w:val="left"/>
      <w:lvlText w:val="%1."/>
      <w:numFmt w:val="decimal"/>
      <w:start w:val="5"/>
    </w:lvl>
  </w:abstractNum>
  <w:abstractNum w:abstractNumId="372">
    <w:nsid w:val="102809E2"/>
    <w:multiLevelType w:val="hybridMultilevel"/>
    <w:lvl w:ilvl="0">
      <w:lvlJc w:val="left"/>
      <w:lvlText w:val="(%1)"/>
      <w:numFmt w:val="lowerLetter"/>
      <w:start w:val="1"/>
    </w:lvl>
  </w:abstractNum>
  <w:abstractNum w:abstractNumId="373">
    <w:nsid w:val="3B2125A3"/>
    <w:multiLevelType w:val="hybridMultilevel"/>
    <w:lvl w:ilvl="0">
      <w:lvlJc w:val="left"/>
      <w:lvlText w:val="%1."/>
      <w:numFmt w:val="decimal"/>
      <w:start w:val="6"/>
    </w:lvl>
  </w:abstractNum>
  <w:abstractNum w:abstractNumId="374">
    <w:nsid w:val="AC68FFB"/>
    <w:multiLevelType w:val="hybridMultilevel"/>
    <w:lvl w:ilvl="0">
      <w:lvlJc w:val="left"/>
      <w:lvlText w:val="(%1)"/>
      <w:numFmt w:val="lowerLetter"/>
      <w:start w:val="1"/>
    </w:lvl>
  </w:abstractNum>
  <w:abstractNum w:abstractNumId="375">
    <w:nsid w:val="63DF3FB7"/>
    <w:multiLevelType w:val="hybridMultilevel"/>
    <w:lvl w:ilvl="0">
      <w:lvlJc w:val="left"/>
      <w:lvlText w:val="(%1)"/>
      <w:numFmt w:val="lowerLetter"/>
      <w:start w:val="5"/>
    </w:lvl>
  </w:abstractNum>
  <w:abstractNum w:abstractNumId="376">
    <w:nsid w:val="64996E13"/>
    <w:multiLevelType w:val="hybridMultilevel"/>
    <w:lvl w:ilvl="0">
      <w:lvlJc w:val="left"/>
      <w:lvlText w:val="(%1)"/>
      <w:numFmt w:val="lowerLetter"/>
      <w:start w:val="1"/>
    </w:lvl>
  </w:abstractNum>
  <w:abstractNum w:abstractNumId="377">
    <w:nsid w:val="57A37D47"/>
    <w:multiLevelType w:val="hybridMultilevel"/>
    <w:lvl w:ilvl="0">
      <w:lvlJc w:val="left"/>
      <w:lvlText w:val="(%1)"/>
      <w:numFmt w:val="lowerLetter"/>
      <w:start w:val="2"/>
    </w:lvl>
  </w:abstractNum>
  <w:abstractNum w:abstractNumId="378">
    <w:nsid w:val="74824D54"/>
    <w:multiLevelType w:val="hybridMultilevel"/>
    <w:lvl w:ilvl="0">
      <w:lvlJc w:val="left"/>
      <w:lvlText w:val="(%1)"/>
      <w:numFmt w:val="lowerRoman"/>
      <w:start w:val="1"/>
    </w:lvl>
  </w:abstractNum>
  <w:abstractNum w:abstractNumId="379">
    <w:nsid w:val="6F00529A"/>
    <w:multiLevelType w:val="hybridMultilevel"/>
    <w:lvl w:ilvl="0">
      <w:lvlJc w:val="left"/>
      <w:lvlText w:val="(%1)"/>
      <w:numFmt w:val="lowerLetter"/>
      <w:start w:val="1"/>
    </w:lvl>
  </w:abstractNum>
  <w:abstractNum w:abstractNumId="380">
    <w:nsid w:val="805B331"/>
    <w:multiLevelType w:val="hybridMultilevel"/>
    <w:lvl w:ilvl="0">
      <w:lvlJc w:val="left"/>
      <w:lvlText w:val="%1."/>
      <w:numFmt w:val="decimal"/>
      <w:start w:val="8"/>
    </w:lvl>
  </w:abstractNum>
  <w:abstractNum w:abstractNumId="381">
    <w:nsid w:val="60A1463"/>
    <w:multiLevelType w:val="hybridMultilevel"/>
    <w:lvl w:ilvl="0">
      <w:lvlJc w:val="left"/>
      <w:lvlText w:val="%1."/>
      <w:numFmt w:val="decimal"/>
      <w:start w:val="1"/>
    </w:lvl>
  </w:abstractNum>
  <w:abstractNum w:abstractNumId="382">
    <w:nsid w:val="43773132"/>
    <w:multiLevelType w:val="hybridMultilevel"/>
    <w:lvl w:ilvl="0">
      <w:lvlJc w:val="left"/>
      <w:lvlText w:val="%1."/>
      <w:numFmt w:val="decimal"/>
      <w:start w:val="2"/>
    </w:lvl>
  </w:abstractNum>
  <w:abstractNum w:abstractNumId="383">
    <w:nsid w:val="16AC4B23"/>
    <w:multiLevelType w:val="hybridMultilevel"/>
    <w:lvl w:ilvl="0">
      <w:lvlJc w:val="left"/>
      <w:lvlText w:val="%1."/>
      <w:numFmt w:val="decimal"/>
      <w:start w:val="1"/>
    </w:lvl>
  </w:abstractNum>
  <w:abstractNum w:abstractNumId="384">
    <w:nsid w:val="76C44E4E"/>
    <w:multiLevelType w:val="hybridMultilevel"/>
    <w:lvl w:ilvl="0">
      <w:lvlJc w:val="left"/>
      <w:lvlText w:val="%1."/>
      <w:numFmt w:val="decimal"/>
      <w:start w:val="2"/>
    </w:lvl>
  </w:abstractNum>
  <w:abstractNum w:abstractNumId="385">
    <w:nsid w:val="E04E6CE"/>
    <w:multiLevelType w:val="hybridMultilevel"/>
    <w:lvl w:ilvl="0">
      <w:lvlJc w:val="left"/>
      <w:lvlText w:val="%1."/>
      <w:numFmt w:val="decimal"/>
      <w:start w:val="3"/>
    </w:lvl>
  </w:abstractNum>
  <w:abstractNum w:abstractNumId="386">
    <w:nsid w:val="31A9DB76"/>
    <w:multiLevelType w:val="hybridMultilevel"/>
    <w:lvl w:ilvl="0">
      <w:lvlJc w:val="left"/>
      <w:lvlText w:val="%1."/>
      <w:numFmt w:val="decimal"/>
      <w:start w:val="5"/>
    </w:lvl>
  </w:abstractNum>
  <w:abstractNum w:abstractNumId="387">
    <w:nsid w:val="4C4FFF5B"/>
    <w:multiLevelType w:val="hybridMultilevel"/>
    <w:lvl w:ilvl="0">
      <w:lvlJc w:val="left"/>
      <w:lvlText w:val="%1."/>
      <w:numFmt w:val="decimal"/>
      <w:start w:val="6"/>
    </w:lvl>
  </w:abstractNum>
  <w:abstractNum w:abstractNumId="388">
    <w:nsid w:val="51B76675"/>
    <w:multiLevelType w:val="hybridMultilevel"/>
    <w:lvl w:ilvl="0">
      <w:lvlJc w:val="left"/>
      <w:lvlText w:val="%1."/>
      <w:numFmt w:val="decimal"/>
      <w:start w:val="7"/>
    </w:lvl>
  </w:abstractNum>
  <w:abstractNum w:abstractNumId="389">
    <w:nsid w:val="59A4BA71"/>
    <w:multiLevelType w:val="hybridMultilevel"/>
    <w:lvl w:ilvl="0">
      <w:lvlJc w:val="left"/>
      <w:lvlText w:val="%1."/>
      <w:numFmt w:val="decimal"/>
      <w:start w:val="12"/>
    </w:lvl>
  </w:abstractNum>
  <w:abstractNum w:abstractNumId="390">
    <w:nsid w:val="450B7FB6"/>
    <w:multiLevelType w:val="hybridMultilevel"/>
    <w:lvl w:ilvl="0">
      <w:lvlJc w:val="left"/>
      <w:lvlText w:val="%1"/>
      <w:numFmt w:val="decimal"/>
      <w:start w:val="1"/>
    </w:lvl>
    <w:lvl w:ilvl="1">
      <w:lvlJc w:val="left"/>
      <w:lvlText w:val="(%2)"/>
      <w:numFmt w:val="lowerLetter"/>
      <w:start w:val="1"/>
    </w:lvl>
  </w:abstractNum>
  <w:abstractNum w:abstractNumId="391">
    <w:nsid w:val="340BF64D"/>
    <w:multiLevelType w:val="hybridMultilevel"/>
    <w:lvl w:ilvl="0">
      <w:lvlJc w:val="left"/>
      <w:lvlText w:val="(%1)"/>
      <w:numFmt w:val="decimal"/>
      <w:start w:val="45"/>
    </w:lvl>
    <w:lvl w:ilvl="1">
      <w:lvlJc w:val="left"/>
      <w:lvlText w:val="(%2)"/>
      <w:numFmt w:val="lowerLetter"/>
      <w:start w:val="2"/>
    </w:lvl>
  </w:abstractNum>
  <w:abstractNum w:abstractNumId="392">
    <w:nsid w:val="69454021"/>
    <w:multiLevelType w:val="hybridMultilevel"/>
    <w:lvl w:ilvl="0">
      <w:lvlJc w:val="left"/>
      <w:lvlText w:val="(%1)"/>
      <w:numFmt w:val="lowerRoman"/>
      <w:start w:val="1"/>
    </w:lvl>
  </w:abstractNum>
  <w:abstractNum w:abstractNumId="393">
    <w:nsid w:val="49F15C6B"/>
    <w:multiLevelType w:val="hybridMultilevel"/>
    <w:lvl w:ilvl="0">
      <w:lvlJc w:val="left"/>
      <w:lvlText w:val="(%1)"/>
      <w:numFmt w:val="lowerLetter"/>
      <w:start w:val="1"/>
    </w:lvl>
  </w:abstractNum>
  <w:abstractNum w:abstractNumId="394">
    <w:nsid w:val="75F56228"/>
    <w:multiLevelType w:val="hybridMultilevel"/>
    <w:lvl w:ilvl="0">
      <w:lvlJc w:val="left"/>
      <w:lvlText w:val="(%1)"/>
      <w:numFmt w:val="lowerRoman"/>
      <w:start w:val="1"/>
    </w:lvl>
  </w:abstractNum>
  <w:abstractNum w:abstractNumId="395">
    <w:nsid w:val="1C618271"/>
    <w:multiLevelType w:val="hybridMultilevel"/>
    <w:lvl w:ilvl="0">
      <w:lvlJc w:val="left"/>
      <w:lvlText w:val="(%1)"/>
      <w:numFmt w:val="lowerLetter"/>
      <w:start w:val="1"/>
    </w:lvl>
    <w:lvl w:ilvl="1">
      <w:lvlJc w:val="left"/>
      <w:lvlText w:val="•"/>
      <w:numFmt w:val="bullet"/>
      <w:start w:val="1"/>
    </w:lvl>
  </w:abstractNum>
  <w:abstractNum w:abstractNumId="396">
    <w:nsid w:val="6505F02E"/>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9"/>
    </w:lvl>
  </w:abstractNum>
  <w:abstractNum w:abstractNumId="397">
    <w:nsid w:val="2FE5D025"/>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398">
    <w:nsid w:val="30E1B1C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399">
    <w:nsid w:val="C7A9237"/>
    <w:multiLevelType w:val="hybridMultilevel"/>
    <w:lvl w:ilvl="0">
      <w:lvlJc w:val="left"/>
      <w:lvlText w:val="(%1)"/>
      <w:numFmt w:val="lowerRoman"/>
      <w:start w:val="3"/>
    </w:lvl>
    <w:lvl w:ilvl="1">
      <w:lvlJc w:val="left"/>
      <w:lvlText w:val="(%2)"/>
      <w:numFmt w:val="lowerLetter"/>
      <w:start w:val="2"/>
    </w:lvl>
    <w:lvl w:ilvl="2">
      <w:lvlJc w:val="left"/>
      <w:lvlText w:val="(%3)"/>
      <w:numFmt w:val="lowerRoman"/>
      <w:start w:val="4"/>
    </w:lvl>
  </w:abstractNum>
  <w:abstractNum w:abstractNumId="400">
    <w:nsid w:val="676B358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01">
    <w:nsid w:val="3193C8F9"/>
    <w:multiLevelType w:val="hybridMultilevel"/>
    <w:lvl w:ilvl="0">
      <w:lvlJc w:val="left"/>
      <w:lvlText w:val="(%1)"/>
      <w:numFmt w:val="lowerRoman"/>
      <w:start w:val="2"/>
    </w:lvl>
  </w:abstractNum>
  <w:abstractNum w:abstractNumId="402">
    <w:nsid w:val="5FA6C6DC"/>
    <w:multiLevelType w:val="hybridMultilevel"/>
    <w:lvl w:ilvl="0">
      <w:lvlJc w:val="left"/>
      <w:lvlText w:val="(%1)"/>
      <w:numFmt w:val="lowerLetter"/>
      <w:start w:val="1"/>
    </w:lvl>
  </w:abstractNum>
  <w:abstractNum w:abstractNumId="403">
    <w:nsid w:val="77933F62"/>
    <w:multiLevelType w:val="hybridMultilevel"/>
    <w:lvl w:ilvl="0">
      <w:lvlJc w:val="left"/>
      <w:lvlText w:val="(%1)"/>
      <w:numFmt w:val="lowerLetter"/>
      <w:start w:val="1"/>
    </w:lvl>
  </w:abstractNum>
  <w:abstractNum w:abstractNumId="404">
    <w:nsid w:val="6CB4EE9C"/>
    <w:multiLevelType w:val="hybridMultilevel"/>
    <w:lvl w:ilvl="0">
      <w:lvlJc w:val="left"/>
      <w:lvlText w:val="(%1)"/>
      <w:numFmt w:val="lowerLetter"/>
      <w:start w:val="1"/>
    </w:lvl>
  </w:abstractNum>
  <w:abstractNum w:abstractNumId="405">
    <w:nsid w:val="6A6D56D7"/>
    <w:multiLevelType w:val="hybridMultilevel"/>
    <w:lvl w:ilvl="0">
      <w:lvlJc w:val="left"/>
      <w:lvlText w:val="(%1)"/>
      <w:numFmt w:val="lowerLetter"/>
      <w:start w:val="3"/>
    </w:lvl>
  </w:abstractNum>
  <w:abstractNum w:abstractNumId="406">
    <w:nsid w:val="5B727F19"/>
    <w:multiLevelType w:val="hybridMultilevel"/>
    <w:lvl w:ilvl="0">
      <w:lvlJc w:val="left"/>
      <w:lvlText w:val="(%1)"/>
      <w:numFmt w:val="lowerLetter"/>
      <w:start w:val="4"/>
    </w:lvl>
  </w:abstractNum>
  <w:abstractNum w:abstractNumId="407">
    <w:nsid w:val="514E5CB0"/>
    <w:multiLevelType w:val="hybridMultilevel"/>
    <w:lvl w:ilvl="0">
      <w:lvlJc w:val="left"/>
      <w:lvlText w:val="(%1)"/>
      <w:numFmt w:val="lowerLetter"/>
      <w:start w:val="1"/>
    </w:lvl>
  </w:abstractNum>
  <w:abstractNum w:abstractNumId="408">
    <w:nsid w:val="4210D41E"/>
    <w:multiLevelType w:val="hybridMultilevel"/>
    <w:lvl w:ilvl="0">
      <w:lvlJc w:val="left"/>
      <w:lvlText w:val="%1."/>
      <w:numFmt w:val="decimal"/>
      <w:start w:val="5"/>
    </w:lvl>
  </w:abstractNum>
  <w:abstractNum w:abstractNumId="409">
    <w:nsid w:val="4FF4CC6D"/>
    <w:multiLevelType w:val="hybridMultilevel"/>
    <w:lvl w:ilvl="0">
      <w:lvlJc w:val="left"/>
      <w:lvlText w:val="%1."/>
      <w:numFmt w:val="decimal"/>
      <w:start w:val="6"/>
    </w:lvl>
  </w:abstractNum>
  <w:abstractNum w:abstractNumId="410">
    <w:nsid w:val="404EAF4A"/>
    <w:multiLevelType w:val="hybridMultilevel"/>
    <w:lvl w:ilvl="0">
      <w:lvlJc w:val="left"/>
      <w:lvlText w:val="%1"/>
      <w:numFmt w:val="lowerRoman"/>
      <w:start w:val="1"/>
    </w:lvl>
    <w:lvl w:ilvl="1">
      <w:lvlJc w:val="left"/>
      <w:lvlText w:val="(%2)"/>
      <w:numFmt w:val="lowerLetter"/>
      <w:start w:val="1"/>
    </w:lvl>
  </w:abstractNum>
  <w:abstractNum w:abstractNumId="411">
    <w:nsid w:val="4A16874F"/>
    <w:multiLevelType w:val="hybridMultilevel"/>
    <w:lvl w:ilvl="0">
      <w:lvlJc w:val="left"/>
      <w:lvlText w:val="(%1)"/>
      <w:numFmt w:val="lowerRoman"/>
      <w:start w:val="6"/>
    </w:lvl>
    <w:lvl w:ilvl="1">
      <w:lvlJc w:val="left"/>
      <w:lvlText w:val="%2"/>
      <w:numFmt w:val="lowerLetter"/>
      <w:start w:val="1"/>
    </w:lvl>
  </w:abstractNum>
  <w:abstractNum w:abstractNumId="412">
    <w:nsid w:val="55FEE0D1"/>
    <w:multiLevelType w:val="hybridMultilevel"/>
    <w:lvl w:ilvl="0">
      <w:lvlJc w:val="left"/>
      <w:lvlText w:val="(%1)"/>
      <w:numFmt w:val="lowerLetter"/>
      <w:start w:val="2"/>
    </w:lvl>
  </w:abstractNum>
  <w:abstractNum w:abstractNumId="413">
    <w:nsid w:val="3C5E07C"/>
    <w:multiLevelType w:val="hybridMultilevel"/>
    <w:lvl w:ilvl="0">
      <w:lvlJc w:val="left"/>
      <w:lvlText w:val="(%1)"/>
      <w:numFmt w:val="lowerRoman"/>
      <w:start w:val="6"/>
    </w:lvl>
  </w:abstractNum>
  <w:abstractNum w:abstractNumId="414">
    <w:nsid w:val="60C2D273"/>
    <w:multiLevelType w:val="hybridMultilevel"/>
    <w:lvl w:ilvl="0">
      <w:lvlJc w:val="left"/>
      <w:lvlText w:val="(%1)"/>
      <w:numFmt w:val="lowerLetter"/>
      <w:start w:val="1"/>
    </w:lvl>
  </w:abstractNum>
  <w:abstractNum w:abstractNumId="415">
    <w:nsid w:val="4CC32F1F"/>
    <w:multiLevelType w:val="hybridMultilevel"/>
    <w:lvl w:ilvl="0">
      <w:lvlJc w:val="left"/>
      <w:lvlText w:val="(%1)"/>
      <w:numFmt w:val="lowerLetter"/>
      <w:start w:val="1"/>
    </w:lvl>
  </w:abstractNum>
  <w:abstractNum w:abstractNumId="416">
    <w:nsid w:val="11CAC74A"/>
    <w:multiLevelType w:val="hybridMultilevel"/>
    <w:lvl w:ilvl="0">
      <w:lvlJc w:val="left"/>
      <w:lvlText w:val="(%1)"/>
      <w:numFmt w:val="lowerLetter"/>
      <w:start w:val="6"/>
    </w:lvl>
  </w:abstractNum>
  <w:abstractNum w:abstractNumId="417">
    <w:nsid w:val="126CADE9"/>
    <w:multiLevelType w:val="hybridMultilevel"/>
    <w:lvl w:ilvl="0">
      <w:lvlJc w:val="left"/>
      <w:lvlText w:val="%1"/>
      <w:numFmt w:val="lowerLetter"/>
      <w:start w:val="1"/>
    </w:lvl>
    <w:lvl w:ilvl="1">
      <w:lvlJc w:val="left"/>
      <w:lvlText w:val="(%2)"/>
      <w:numFmt w:val="lowerLetter"/>
      <w:start w:val="1"/>
    </w:lvl>
  </w:abstractNum>
  <w:abstractNum w:abstractNumId="418">
    <w:nsid w:val="19132E7B"/>
    <w:multiLevelType w:val="hybridMultilevel"/>
    <w:lvl w:ilvl="0">
      <w:lvlJc w:val="left"/>
      <w:lvlText w:val="(%1)"/>
      <w:numFmt w:val="lowerLetter"/>
      <w:start w:val="35"/>
    </w:lvl>
    <w:lvl w:ilvl="1">
      <w:lvlJc w:val="left"/>
      <w:lvlText w:val="(%2)"/>
      <w:numFmt w:val="lowerLetter"/>
      <w:start w:val="2"/>
    </w:lvl>
  </w:abstractNum>
  <w:abstractNum w:abstractNumId="419">
    <w:nsid w:val="63822DC0"/>
    <w:multiLevelType w:val="hybridMultilevel"/>
    <w:lvl w:ilvl="0">
      <w:lvlJc w:val="left"/>
      <w:lvlText w:val="(%1)"/>
      <w:numFmt w:val="lowerLetter"/>
      <w:start w:val="1"/>
    </w:lvl>
  </w:abstractNum>
  <w:abstractNum w:abstractNumId="420">
    <w:nsid w:val="6C11685A"/>
    <w:multiLevelType w:val="hybridMultilevel"/>
    <w:lvl w:ilvl="0">
      <w:lvlJc w:val="left"/>
      <w:lvlText w:val="(%1)"/>
      <w:numFmt w:val="lowerRoman"/>
      <w:start w:val="3"/>
    </w:lvl>
  </w:abstractNum>
  <w:abstractNum w:abstractNumId="421">
    <w:nsid w:val="5E1EAE31"/>
    <w:multiLevelType w:val="hybridMultilevel"/>
    <w:lvl w:ilvl="0">
      <w:lvlJc w:val="left"/>
      <w:lvlText w:val="(%1)"/>
      <w:numFmt w:val="lowerLetter"/>
      <w:start w:val="1"/>
    </w:lvl>
  </w:abstractNum>
  <w:abstractNum w:abstractNumId="422">
    <w:nsid w:val="178E240D"/>
    <w:multiLevelType w:val="hybridMultilevel"/>
    <w:lvl w:ilvl="0">
      <w:lvlJc w:val="left"/>
      <w:lvlText w:val="(%1)"/>
      <w:numFmt w:val="lowerLetter"/>
      <w:start w:val="6"/>
    </w:lvl>
  </w:abstractNum>
  <w:abstractNum w:abstractNumId="423">
    <w:nsid w:val="5556A87B"/>
    <w:multiLevelType w:val="hybridMultilevel"/>
    <w:lvl w:ilvl="0">
      <w:lvlJc w:val="left"/>
      <w:lvlText w:val="(%1)"/>
      <w:numFmt w:val="lowerLetter"/>
      <w:start w:val="1"/>
    </w:lvl>
  </w:abstractNum>
  <w:abstractNum w:abstractNumId="424">
    <w:nsid w:val="28100A9C"/>
    <w:multiLevelType w:val="hybridMultilevel"/>
    <w:lvl w:ilvl="0">
      <w:lvlJc w:val="left"/>
      <w:lvlText w:val="(%1)"/>
      <w:numFmt w:val="lowerLetter"/>
      <w:start w:val="9"/>
    </w:lvl>
  </w:abstractNum>
  <w:abstractNum w:abstractNumId="425">
    <w:nsid w:val="D838636"/>
    <w:multiLevelType w:val="hybridMultilevel"/>
    <w:lvl w:ilvl="0">
      <w:lvlJc w:val="left"/>
      <w:lvlText w:val="(%1)"/>
      <w:numFmt w:val="lowerLetter"/>
      <w:start w:val="1"/>
    </w:lvl>
  </w:abstractNum>
  <w:abstractNum w:abstractNumId="426">
    <w:nsid w:val="71B82AED"/>
    <w:multiLevelType w:val="hybridMultilevel"/>
    <w:lvl w:ilvl="0">
      <w:lvlJc w:val="left"/>
      <w:lvlText w:val="(%1)"/>
      <w:numFmt w:val="lowerLetter"/>
      <w:start w:val="8"/>
    </w:lvl>
  </w:abstractNum>
  <w:abstractNum w:abstractNumId="427">
    <w:nsid w:val="D15FACA"/>
    <w:multiLevelType w:val="hybridMultilevel"/>
    <w:lvl w:ilvl="0">
      <w:lvlJc w:val="left"/>
      <w:lvlText w:val="(%1)"/>
      <w:numFmt w:val="lowerLetter"/>
      <w:start w:val="6"/>
    </w:lvl>
  </w:abstractNum>
  <w:abstractNum w:abstractNumId="428">
    <w:nsid w:val="3D69565B"/>
    <w:multiLevelType w:val="hybridMultilevel"/>
    <w:lvl w:ilvl="0">
      <w:lvlJc w:val="left"/>
      <w:lvlText w:val="(%1)"/>
      <w:numFmt w:val="lowerLetter"/>
      <w:start w:val="1"/>
    </w:lvl>
  </w:abstractNum>
  <w:abstractNum w:abstractNumId="429">
    <w:nsid w:val="2299DCBC"/>
    <w:multiLevelType w:val="hybridMultilevel"/>
    <w:lvl w:ilvl="0">
      <w:lvlJc w:val="left"/>
      <w:lvlText w:val="(%1)"/>
      <w:numFmt w:val="lowerLetter"/>
      <w:start w:val="1"/>
    </w:lvl>
  </w:abstractNum>
  <w:abstractNum w:abstractNumId="430">
    <w:nsid w:val="19908D02"/>
    <w:multiLevelType w:val="hybridMultilevel"/>
    <w:lvl w:ilvl="0">
      <w:lvlJc w:val="left"/>
      <w:lvlText w:val="%1."/>
      <w:numFmt w:val="decimal"/>
      <w:start w:val="13"/>
    </w:lvl>
  </w:abstractNum>
  <w:abstractNum w:abstractNumId="431">
    <w:nsid w:val="24D48BDB"/>
    <w:multiLevelType w:val="hybridMultilevel"/>
    <w:lvl w:ilvl="0">
      <w:lvlJc w:val="left"/>
      <w:lvlText w:val="(%1)"/>
      <w:numFmt w:val="lowerLetter"/>
      <w:start w:val="1"/>
    </w:lvl>
  </w:abstractNum>
  <w:abstractNum w:abstractNumId="432">
    <w:nsid w:val="542DA5B5"/>
    <w:multiLevelType w:val="hybridMultilevel"/>
    <w:lvl w:ilvl="0">
      <w:lvlJc w:val="left"/>
      <w:lvlText w:val="%1."/>
      <w:numFmt w:val="decimal"/>
      <w:start w:val="16"/>
    </w:lvl>
  </w:abstractNum>
  <w:abstractNum w:abstractNumId="433">
    <w:nsid w:val="793753DE"/>
    <w:multiLevelType w:val="hybridMultilevel"/>
    <w:lvl w:ilvl="0">
      <w:lvlJc w:val="left"/>
      <w:lvlText w:val="(%1)"/>
      <w:numFmt w:val="lowerLetter"/>
      <w:start w:val="2"/>
    </w:lvl>
  </w:abstractNum>
  <w:abstractNum w:abstractNumId="434">
    <w:nsid w:val="1C67CB3D"/>
    <w:multiLevelType w:val="hybridMultilevel"/>
    <w:lvl w:ilvl="0">
      <w:lvlJc w:val="left"/>
      <w:lvlText w:val="(%1)"/>
      <w:numFmt w:val="lowerLetter"/>
      <w:start w:val="1"/>
    </w:lvl>
    <w:lvl w:ilvl="1">
      <w:lvlJc w:val="left"/>
      <w:lvlText w:val="(%2)"/>
      <w:numFmt w:val="lowerRoman"/>
      <w:start w:val="1"/>
    </w:lvl>
  </w:abstractNum>
  <w:abstractNum w:abstractNumId="435">
    <w:nsid w:val="40E29452"/>
    <w:multiLevelType w:val="hybridMultilevel"/>
    <w:lvl w:ilvl="0">
      <w:lvlJc w:val="left"/>
      <w:lvlText w:val="(%1)"/>
      <w:numFmt w:val="lowerLetter"/>
      <w:start w:val="2"/>
    </w:lvl>
  </w:abstractNum>
  <w:abstractNum w:abstractNumId="436">
    <w:nsid w:val="63A4AAB6"/>
    <w:multiLevelType w:val="hybridMultilevel"/>
    <w:lvl w:ilvl="0">
      <w:lvlJc w:val="left"/>
      <w:lvlText w:val="(%1)"/>
      <w:numFmt w:val="lowerLetter"/>
      <w:start w:val="1"/>
    </w:lvl>
  </w:abstractNum>
  <w:abstractNum w:abstractNumId="437">
    <w:nsid w:val="77DA4A57"/>
    <w:multiLevelType w:val="hybridMultilevel"/>
    <w:lvl w:ilvl="0">
      <w:lvlJc w:val="left"/>
      <w:lvlText w:val="(%1)"/>
      <w:numFmt w:val="lowerLetter"/>
      <w:start w:val="1"/>
    </w:lvl>
  </w:abstractNum>
  <w:abstractNum w:abstractNumId="438">
    <w:nsid w:val="1230F102"/>
    <w:multiLevelType w:val="hybridMultilevel"/>
    <w:lvl w:ilvl="0">
      <w:lvlJc w:val="left"/>
      <w:lvlText w:val="(%1)"/>
      <w:numFmt w:val="lowerLetter"/>
      <w:start w:val="1"/>
    </w:lvl>
  </w:abstractNum>
  <w:abstractNum w:abstractNumId="439">
    <w:nsid w:val="25B57ED4"/>
    <w:multiLevelType w:val="hybridMultilevel"/>
    <w:lvl w:ilvl="0">
      <w:lvlJc w:val="left"/>
      <w:lvlText w:val="(%1)"/>
      <w:numFmt w:val="lowerLetter"/>
      <w:start w:val="1"/>
    </w:lvl>
  </w:abstractNum>
  <w:abstractNum w:abstractNumId="440">
    <w:nsid w:val="47CF16C4"/>
    <w:multiLevelType w:val="hybridMultilevel"/>
    <w:lvl w:ilvl="0">
      <w:lvlJc w:val="left"/>
      <w:lvlText w:val="(%1)"/>
      <w:numFmt w:val="lowerLetter"/>
      <w:start w:val="5"/>
    </w:lvl>
  </w:abstractNum>
  <w:abstractNum w:abstractNumId="441">
    <w:nsid w:val="527FA04C"/>
    <w:multiLevelType w:val="hybridMultilevel"/>
    <w:lvl w:ilvl="0">
      <w:lvlJc w:val="left"/>
      <w:lvlText w:val="(%1)"/>
      <w:numFmt w:val="lowerLetter"/>
      <w:start w:val="1"/>
    </w:lvl>
  </w:abstractNum>
  <w:abstractNum w:abstractNumId="442">
    <w:nsid w:val="6FCC0624"/>
    <w:multiLevelType w:val="hybridMultilevel"/>
    <w:lvl w:ilvl="0">
      <w:lvlJc w:val="left"/>
      <w:lvlText w:val="(%1)"/>
      <w:numFmt w:val="lowerLetter"/>
      <w:start w:val="2"/>
    </w:lvl>
  </w:abstractNum>
  <w:abstractNum w:abstractNumId="443">
    <w:nsid w:val="1DCDF795"/>
    <w:multiLevelType w:val="hybridMultilevel"/>
    <w:lvl w:ilvl="0">
      <w:lvlJc w:val="left"/>
      <w:lvlText w:val="(%1)"/>
      <w:numFmt w:val="lowerLetter"/>
      <w:start w:val="2"/>
    </w:lvl>
  </w:abstractNum>
  <w:abstractNum w:abstractNumId="444">
    <w:nsid w:val="564580C8"/>
    <w:multiLevelType w:val="hybridMultilevel"/>
    <w:lvl w:ilvl="0">
      <w:lvlJc w:val="left"/>
      <w:lvlText w:val="(%1)"/>
      <w:numFmt w:val="lowerLetter"/>
      <w:start w:val="1"/>
    </w:lvl>
  </w:abstractNum>
  <w:abstractNum w:abstractNumId="445">
    <w:nsid w:val="508ED897"/>
    <w:multiLevelType w:val="hybridMultilevel"/>
    <w:lvl w:ilvl="0">
      <w:lvlJc w:val="left"/>
      <w:lvlText w:val="(%1)"/>
      <w:numFmt w:val="lowerLetter"/>
      <w:start w:val="1"/>
    </w:lvl>
  </w:abstractNum>
  <w:abstractNum w:abstractNumId="446">
    <w:nsid w:val="6A9126B5"/>
    <w:multiLevelType w:val="hybridMultilevel"/>
    <w:lvl w:ilvl="0">
      <w:lvlJc w:val="left"/>
      <w:lvlText w:val="(%1)"/>
      <w:numFmt w:val="lowerLetter"/>
      <w:start w:val="2"/>
    </w:lvl>
  </w:abstractNum>
  <w:abstractNum w:abstractNumId="447">
    <w:nsid w:val="68104812"/>
    <w:multiLevelType w:val="hybridMultilevel"/>
    <w:lvl w:ilvl="0">
      <w:lvlJc w:val="left"/>
      <w:lvlText w:val="(%1)"/>
      <w:numFmt w:val="lowerLetter"/>
      <w:start w:val="1"/>
    </w:lvl>
  </w:abstractNum>
  <w:abstractNum w:abstractNumId="448">
    <w:nsid w:val="62FB8680"/>
    <w:multiLevelType w:val="hybridMultilevel"/>
    <w:lvl w:ilvl="0">
      <w:lvlJc w:val="left"/>
      <w:lvlText w:val="(%1)"/>
      <w:numFmt w:val="lowerLetter"/>
      <w:start w:val="1"/>
    </w:lvl>
  </w:abstractNum>
  <w:abstractNum w:abstractNumId="449">
    <w:nsid w:val="3A45530"/>
    <w:multiLevelType w:val="hybridMultilevel"/>
    <w:lvl w:ilvl="0">
      <w:lvlJc w:val="left"/>
      <w:lvlText w:val="(%1)"/>
      <w:numFmt w:val="lowerLetter"/>
      <w:start w:val="1"/>
    </w:lvl>
  </w:abstractNum>
  <w:abstractNum w:abstractNumId="450">
    <w:nsid w:val="4B9275D2"/>
    <w:multiLevelType w:val="hybridMultilevel"/>
    <w:lvl w:ilvl="0">
      <w:lvlJc w:val="left"/>
      <w:lvlText w:val="(%1)"/>
      <w:numFmt w:val="lowerLetter"/>
      <w:start w:val="1"/>
    </w:lvl>
  </w:abstractNum>
  <w:abstractNum w:abstractNumId="451">
    <w:nsid w:val="4F0CEEDB"/>
    <w:multiLevelType w:val="hybridMultilevel"/>
    <w:lvl w:ilvl="0">
      <w:lvlJc w:val="left"/>
      <w:lvlText w:val="(%1)"/>
      <w:numFmt w:val="lowerLetter"/>
      <w:start w:val="1"/>
    </w:lvl>
  </w:abstractNum>
  <w:abstractNum w:abstractNumId="452">
    <w:nsid w:val="61C30361"/>
    <w:multiLevelType w:val="hybridMultilevel"/>
    <w:lvl w:ilvl="0">
      <w:lvlJc w:val="left"/>
      <w:lvlText w:val="(%1)"/>
      <w:numFmt w:val="lowerLetter"/>
      <w:start w:val="2"/>
    </w:lvl>
  </w:abstractNum>
  <w:abstractNum w:abstractNumId="453">
    <w:nsid w:val="632099E0"/>
    <w:multiLevelType w:val="hybridMultilevel"/>
    <w:lvl w:ilvl="0">
      <w:lvlJc w:val="left"/>
      <w:lvlText w:val="(%1)"/>
      <w:numFmt w:val="lowerLetter"/>
      <w:start w:val="1"/>
    </w:lvl>
  </w:abstractNum>
  <w:abstractNum w:abstractNumId="454">
    <w:nsid w:val="24639756"/>
    <w:multiLevelType w:val="hybridMultilevel"/>
    <w:lvl w:ilvl="0">
      <w:lvlJc w:val="left"/>
      <w:lvlText w:val="(%1)"/>
      <w:numFmt w:val="lowerLetter"/>
      <w:start w:val="2"/>
    </w:lvl>
  </w:abstractNum>
  <w:abstractNum w:abstractNumId="455">
    <w:nsid w:val="9D30DFD"/>
    <w:multiLevelType w:val="hybridMultilevel"/>
    <w:lvl w:ilvl="0">
      <w:lvlJc w:val="left"/>
      <w:lvlText w:val="[***]"/>
      <w:numFmt w:val="bullet"/>
      <w:start w:val="1"/>
    </w:lvl>
    <w:lvl w:ilvl="1">
      <w:lvlJc w:val="left"/>
      <w:lvlText w:val="(%2)"/>
      <w:numFmt w:val="lowerLetter"/>
      <w:start w:val="1"/>
    </w:lvl>
  </w:abstractNum>
  <w:abstractNum w:abstractNumId="456">
    <w:nsid w:val="70A42016"/>
    <w:multiLevelType w:val="hybridMultilevel"/>
    <w:lvl w:ilvl="0">
      <w:lvlJc w:val="left"/>
      <w:lvlText w:val="(%1)"/>
      <w:numFmt w:val="lowerLetter"/>
      <w:start w:val="4"/>
    </w:lvl>
  </w:abstractNum>
  <w:abstractNum w:abstractNumId="457">
    <w:nsid w:val="161BC243"/>
    <w:multiLevelType w:val="hybridMultilevel"/>
    <w:lvl w:ilvl="0">
      <w:lvlJc w:val="left"/>
      <w:lvlText w:val="(%1)"/>
      <w:numFmt w:val="lowerRoman"/>
      <w:start w:val="2"/>
    </w:lvl>
  </w:abstractNum>
  <w:abstractNum w:abstractNumId="458">
    <w:nsid w:val="16E908C8"/>
    <w:multiLevelType w:val="hybridMultilevel"/>
    <w:lvl w:ilvl="0">
      <w:lvlJc w:val="left"/>
      <w:lvlText w:val="(%1)"/>
      <w:numFmt w:val="lowerLetter"/>
      <w:start w:val="1"/>
    </w:lvl>
  </w:abstractNum>
  <w:abstractNum w:abstractNumId="459">
    <w:nsid w:val="2E0D7671"/>
    <w:multiLevelType w:val="hybridMultilevel"/>
    <w:lvl w:ilvl="0">
      <w:lvlJc w:val="left"/>
      <w:lvlText w:val="(%1)"/>
      <w:numFmt w:val="lowerLetter"/>
      <w:start w:val="1"/>
    </w:lvl>
  </w:abstractNum>
  <w:abstractNum w:abstractNumId="460">
    <w:nsid w:val="38B59EFF"/>
    <w:multiLevelType w:val="hybridMultilevel"/>
    <w:lvl w:ilvl="0">
      <w:lvlJc w:val="left"/>
      <w:lvlText w:val="(%1)"/>
      <w:numFmt w:val="lowerLetter"/>
      <w:start w:val="5"/>
    </w:lvl>
  </w:abstractNum>
  <w:abstractNum w:abstractNumId="461">
    <w:nsid w:val="307995CA"/>
    <w:multiLevelType w:val="hybridMultilevel"/>
    <w:lvl w:ilvl="0">
      <w:lvlJc w:val="left"/>
      <w:lvlText w:val="(%1)"/>
      <w:numFmt w:val="lowerLetter"/>
      <w:start w:val="1"/>
    </w:lvl>
  </w:abstractNum>
  <w:abstractNum w:abstractNumId="462">
    <w:nsid w:val="52E2024D"/>
    <w:multiLevelType w:val="hybridMultilevel"/>
    <w:lvl w:ilvl="0">
      <w:lvlJc w:val="left"/>
      <w:lvlText w:val="(%1)"/>
      <w:numFmt w:val="lowerLetter"/>
      <w:start w:val="1"/>
    </w:lvl>
  </w:abstractNum>
  <w:abstractNum w:abstractNumId="463">
    <w:nsid w:val="CE344B5"/>
    <w:multiLevelType w:val="hybridMultilevel"/>
    <w:lvl w:ilvl="0">
      <w:lvlJc w:val="left"/>
      <w:lvlText w:val="(%1)"/>
      <w:numFmt w:val="lowerLetter"/>
      <w:start w:val="3"/>
    </w:lvl>
    <w:lvl w:ilvl="1">
      <w:lvlJc w:val="left"/>
      <w:lvlText w:val="(%2)"/>
      <w:numFmt w:val="lowerLetter"/>
      <w:start w:val="9"/>
    </w:lvl>
  </w:abstractNum>
  <w:abstractNum w:abstractNumId="464">
    <w:nsid w:val="29B0E9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465">
    <w:nsid w:val="6F49CD8A"/>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
    </w:lvl>
  </w:abstractNum>
  <w:abstractNum w:abstractNumId="466">
    <w:nsid w:val="4DC5D907"/>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467">
    <w:nsid w:val="D55945E"/>
    <w:multiLevelType w:val="hybridMultilevel"/>
    <w:lvl w:ilvl="0">
      <w:lvlJc w:val="left"/>
      <w:lvlText w:val="(%1)"/>
      <w:numFmt w:val="lowerRoman"/>
      <w:start w:val="2"/>
    </w:lvl>
  </w:abstractNum>
  <w:abstractNum w:abstractNumId="468">
    <w:nsid w:val="672417E1"/>
    <w:multiLevelType w:val="hybridMultilevel"/>
    <w:lvl w:ilvl="0">
      <w:lvlJc w:val="left"/>
      <w:lvlText w:val="(%1)"/>
      <w:numFmt w:val="lowerRoman"/>
      <w:start w:val="2"/>
    </w:lvl>
  </w:abstractNum>
  <w:abstractNum w:abstractNumId="469">
    <w:nsid w:val="5FF6CA09"/>
    <w:multiLevelType w:val="hybridMultilevel"/>
    <w:lvl w:ilvl="0">
      <w:lvlJc w:val="left"/>
      <w:lvlText w:val="(%1)"/>
      <w:numFmt w:val="lowerLetter"/>
      <w:start w:val="4"/>
    </w:lvl>
  </w:abstractNum>
  <w:abstractNum w:abstractNumId="470">
    <w:nsid w:val="330B1333"/>
    <w:multiLevelType w:val="hybridMultilevel"/>
    <w:lvl w:ilvl="0">
      <w:lvlJc w:val="left"/>
      <w:lvlText w:val="%1"/>
      <w:numFmt w:val="upperLetter"/>
      <w:start w:val="1"/>
    </w:lvl>
    <w:lvl w:ilvl="1">
      <w:lvlJc w:val="left"/>
      <w:lvlText w:val="(%2)"/>
      <w:numFmt w:val="lowerLetter"/>
      <w:start w:val="1"/>
    </w:lvl>
  </w:abstractNum>
  <w:abstractNum w:abstractNumId="471">
    <w:nsid w:val="2EF32EA6"/>
    <w:multiLevelType w:val="hybridMultilevel"/>
    <w:lvl w:ilvl="0">
      <w:lvlJc w:val="left"/>
      <w:lvlText w:val="(%1)"/>
      <w:numFmt w:val="upperLetter"/>
      <w:start w:val="2"/>
    </w:lvl>
    <w:lvl w:ilvl="1">
      <w:lvlJc w:val="left"/>
      <w:lvlText w:val="%2"/>
      <w:numFmt w:val="lowerLetter"/>
      <w:start w:val="1"/>
    </w:lvl>
  </w:abstractNum>
  <w:abstractNum w:abstractNumId="472">
    <w:nsid w:val="32766A55"/>
    <w:multiLevelType w:val="hybridMultilevel"/>
    <w:lvl w:ilvl="0">
      <w:lvlJc w:val="left"/>
      <w:lvlText w:val="(%1)"/>
      <w:numFmt w:val="lowerLetter"/>
      <w:start w:val="3"/>
    </w:lvl>
  </w:abstractNum>
  <w:abstractNum w:abstractNumId="473">
    <w:nsid w:val="22D71957"/>
    <w:multiLevelType w:val="hybridMultilevel"/>
    <w:lvl w:ilvl="0">
      <w:lvlJc w:val="left"/>
      <w:lvlText w:val="(%1)"/>
      <w:numFmt w:val="lowerLetter"/>
      <w:start w:val="8"/>
    </w:lvl>
  </w:abstractNum>
  <w:abstractNum w:abstractNumId="474">
    <w:nsid w:val="4CC1263B"/>
    <w:multiLevelType w:val="hybridMultilevel"/>
    <w:lvl w:ilvl="0">
      <w:lvlJc w:val="left"/>
      <w:lvlText w:val="(%1)"/>
      <w:numFmt w:val="lowerLetter"/>
      <w:start w:val="1"/>
    </w:lvl>
  </w:abstractNum>
  <w:abstractNum w:abstractNumId="475">
    <w:nsid w:val="8BBEB1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2025-01-10T23:26:57Z</dcterms:created>
  <dcterms:modified xsi:type="dcterms:W3CDTF">2025-01-10T23:26:57Z</dcterms:modified>
</cp:coreProperties>
</file>