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490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49033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Coloma Jason V</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MAZE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171 OYSTER POINT BOULEVARD,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Maze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MAZE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06/22/2026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65" w:lineRule="exact"/>
        <w:rPr>
          <w:sz w:val="24"/>
          <w:szCs w:val="24"/>
          <w:color w:val="auto"/>
        </w:rPr>
      </w:pPr>
    </w:p>
    <w:p>
      <w:pPr>
        <w:sectPr>
          <w:pgSz w:w="11900" w:h="16838" w:orient="portrait"/>
          <w:cols w:equalWidth="0" w:num="3">
            <w:col w:w="3620" w:space="300"/>
            <w:col w:w="3095" w:space="720"/>
            <w:col w:w="3345"/>
          </w:cols>
          <w:pgMar w:left="460" w:top="219" w:right="359" w:bottom="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11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10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0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2"/>
                <w:szCs w:val="12"/>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2"/>
                <w:szCs w:val="12"/>
                <w:color w:val="auto"/>
              </w:rPr>
            </w:pPr>
          </w:p>
        </w:tc>
        <w:tc>
          <w:tcPr>
            <w:tcW w:w="21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2"/>
                <w:szCs w:val="12"/>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jc w:val="center"/>
              <w:ind w:right="10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 or</w:t>
            </w:r>
          </w:p>
        </w:tc>
        <w:tc>
          <w:tcPr>
            <w:tcW w:w="500" w:type="dxa"/>
            <w:vAlign w:val="bottom"/>
          </w:tcPr>
          <w:p>
            <w:pPr>
              <w:spacing w:after="0"/>
              <w:rPr>
                <w:sz w:val="11"/>
                <w:szCs w:val="11"/>
                <w:color w:val="auto"/>
              </w:rPr>
            </w:pP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9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540" w:type="dxa"/>
            <w:vAlign w:val="bottom"/>
          </w:tcPr>
          <w:p>
            <w:pPr>
              <w:spacing w:after="0"/>
              <w:rPr>
                <w:sz w:val="13"/>
                <w:szCs w:val="13"/>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1360" w:type="dxa"/>
            <w:vAlign w:val="bottom"/>
            <w:tcBorders>
              <w:top w:val="single" w:sz="8" w:color="2C2C2C"/>
            </w:tcBorders>
            <w:gridSpan w:val="3"/>
            <w:vMerge w:val="restart"/>
          </w:tcPr>
          <w:p>
            <w:pPr>
              <w:ind w:left="8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60" w:type="dxa"/>
            <w:vAlign w:val="bottom"/>
            <w:tcBorders>
              <w:top w:val="single" w:sz="8" w:color="2C2C2C"/>
            </w:tcBorders>
          </w:tcPr>
          <w:p>
            <w:pPr>
              <w:spacing w:after="0"/>
              <w:rPr>
                <w:sz w:val="7"/>
                <w:szCs w:val="7"/>
                <w:color w:val="auto"/>
              </w:rPr>
            </w:pPr>
          </w:p>
        </w:tc>
        <w:tc>
          <w:tcPr>
            <w:tcW w:w="6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tcPr>
          <w:p>
            <w:pPr>
              <w:ind w:left="1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36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9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Coloma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06/22/2026</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4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1,953</w:t>
            </w:r>
          </w:p>
        </w:tc>
        <w:tc>
          <w:tcPr>
            <w:tcW w:w="340" w:type="dxa"/>
            <w:vAlign w:val="bottom"/>
          </w:tcPr>
          <w:p>
            <w:pPr>
              <w:jc w:val="center"/>
              <w:ind w:left="104"/>
              <w:spacing w:after="0"/>
              <w:rPr>
                <w:sz w:val="20"/>
                <w:szCs w:val="20"/>
                <w:color w:val="auto"/>
              </w:rPr>
            </w:pPr>
            <w:r>
              <w:rPr>
                <w:rFonts w:ascii="Times New Roman" w:cs="Times New Roman" w:eastAsia="Times New Roman" w:hAnsi="Times New Roman"/>
                <w:sz w:val="17"/>
                <w:szCs w:val="17"/>
                <w:color w:val="0000FF"/>
                <w:w w:val="97"/>
              </w:rPr>
              <w:t>D</w:t>
            </w:r>
          </w:p>
        </w:tc>
        <w:tc>
          <w:tcPr>
            <w:tcW w:w="1020" w:type="dxa"/>
            <w:vAlign w:val="bottom"/>
            <w:gridSpan w:val="2"/>
          </w:tcPr>
          <w:p>
            <w:pPr>
              <w:jc w:val="center"/>
              <w:ind w:left="135"/>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26.0015</w:t>
            </w:r>
            <w:r>
              <w:rPr>
                <w:rFonts w:ascii="Times New Roman" w:cs="Times New Roman" w:eastAsia="Times New Roman" w:hAnsi="Times New Roman"/>
                <w:sz w:val="22"/>
                <w:szCs w:val="22"/>
                <w:color w:val="008000"/>
                <w:w w:val="95"/>
                <w:vertAlign w:val="superscript"/>
              </w:rPr>
              <w:t>(2)</w:t>
            </w: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342,944</w:t>
            </w:r>
          </w:p>
        </w:tc>
        <w:tc>
          <w:tcPr>
            <w:tcW w:w="34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94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0"/>
              </w:rPr>
              <w:t>The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Coloma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06/22/2026</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4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2,040</w:t>
            </w:r>
          </w:p>
        </w:tc>
        <w:tc>
          <w:tcPr>
            <w:tcW w:w="340" w:type="dxa"/>
            <w:vAlign w:val="bottom"/>
          </w:tcPr>
          <w:p>
            <w:pPr>
              <w:jc w:val="center"/>
              <w:ind w:left="104"/>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Pr>
          <w:p>
            <w:pPr>
              <w:jc w:val="center"/>
              <w:ind w:left="23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w:t>
            </w:r>
          </w:p>
        </w:tc>
        <w:tc>
          <w:tcPr>
            <w:tcW w:w="80" w:type="dxa"/>
            <w:vAlign w:val="bottom"/>
          </w:tcPr>
          <w:p>
            <w:pPr>
              <w:spacing w:after="0"/>
              <w:rPr>
                <w:sz w:val="18"/>
                <w:szCs w:val="18"/>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25,930</w:t>
            </w:r>
          </w:p>
        </w:tc>
        <w:tc>
          <w:tcPr>
            <w:tcW w:w="34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2021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(4)</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Coloma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06/23/2026</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4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23,865</w:t>
            </w:r>
          </w:p>
        </w:tc>
        <w:tc>
          <w:tcPr>
            <w:tcW w:w="340" w:type="dxa"/>
            <w:vAlign w:val="bottom"/>
          </w:tcPr>
          <w:p>
            <w:pPr>
              <w:jc w:val="center"/>
              <w:ind w:left="104"/>
              <w:spacing w:after="0"/>
              <w:rPr>
                <w:sz w:val="20"/>
                <w:szCs w:val="20"/>
                <w:color w:val="auto"/>
              </w:rPr>
            </w:pPr>
            <w:r>
              <w:rPr>
                <w:rFonts w:ascii="Times New Roman" w:cs="Times New Roman" w:eastAsia="Times New Roman" w:hAnsi="Times New Roman"/>
                <w:sz w:val="17"/>
                <w:szCs w:val="17"/>
                <w:color w:val="0000FF"/>
                <w:w w:val="97"/>
              </w:rPr>
              <w:t>D</w:t>
            </w:r>
          </w:p>
        </w:tc>
        <w:tc>
          <w:tcPr>
            <w:tcW w:w="1020" w:type="dxa"/>
            <w:vAlign w:val="bottom"/>
            <w:gridSpan w:val="2"/>
          </w:tcPr>
          <w:p>
            <w:pPr>
              <w:jc w:val="center"/>
              <w:ind w:left="135"/>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26.0496</w:t>
            </w:r>
            <w:r>
              <w:rPr>
                <w:rFonts w:ascii="Times New Roman" w:cs="Times New Roman" w:eastAsia="Times New Roman" w:hAnsi="Times New Roman"/>
                <w:sz w:val="22"/>
                <w:szCs w:val="22"/>
                <w:color w:val="008000"/>
                <w:w w:val="95"/>
                <w:vertAlign w:val="superscript"/>
              </w:rPr>
              <w:t>(5)</w:t>
            </w: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319,079</w:t>
            </w:r>
          </w:p>
        </w:tc>
        <w:tc>
          <w:tcPr>
            <w:tcW w:w="34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gridSpan w:val="4"/>
          </w:tcPr>
          <w:p>
            <w:pPr>
              <w:ind w:left="8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4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Reported</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gridSpan w:val="2"/>
          </w:tcPr>
          <w:p>
            <w:pPr>
              <w:ind w:left="4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February 6, 2026.</w:t>
      </w:r>
    </w:p>
    <w:p>
      <w:pPr>
        <w:spacing w:after="0" w:line="50"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$26.00 to $26.025 per share,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and in footnote 5 of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directly held by the Coloma Family Trust (the "Family Trust"), for which the reporting person and his spouse serve as co-trustees.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directly held by The Coloma 2021 Irrevocable Trust (the "Irrevocable Trust"), for which the reporting person and his spouse serve as co-trustees.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$26.00 to $26.185 per share, inclusive.</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Courtney Phillips,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06/24/2026</w:t>
            </w:r>
          </w:p>
        </w:tc>
        <w:tc>
          <w:tcPr>
            <w:tcW w:w="0" w:type="dxa"/>
            <w:vAlign w:val="bottom"/>
          </w:tcPr>
          <w:p>
            <w:pPr>
              <w:spacing w:after="0"/>
              <w:rPr>
                <w:sz w:val="1"/>
                <w:szCs w:val="1"/>
                <w:color w:val="auto"/>
              </w:rPr>
            </w:pPr>
          </w:p>
        </w:tc>
      </w:tr>
      <w:tr>
        <w:trPr>
          <w:trHeight w:val="87"/>
        </w:trPr>
        <w:tc>
          <w:tcPr>
            <w:tcW w:w="16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60" w:type="dxa"/>
            <w:vAlign w:val="bottom"/>
            <w:tcBorders>
              <w:top w:val="single" w:sz="8" w:color="auto"/>
            </w:tcBorders>
            <w:gridSpan w:val="2"/>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76170" TargetMode="External"/><Relationship Id="rId14" Type="http://schemas.openxmlformats.org/officeDocument/2006/relationships/hyperlink" Target="http://www.sec.gov/cgi-bin/browse-edgar?action=getcompany&amp;CIK=00018422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2026-06-24T15:25:06Z</dcterms:created>
  <dcterms:modified xsi:type="dcterms:W3CDTF">2026-06-24T15:25:06Z</dcterms:modified>
</cp:coreProperties>
</file>